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85" w:rsidRPr="00406CC0" w:rsidRDefault="00770585" w:rsidP="00BF7ABA">
      <w:pPr>
        <w:pStyle w:val="Nadpis1"/>
        <w:jc w:val="right"/>
      </w:pPr>
      <w:r w:rsidRPr="00BF7ABA">
        <w:rPr>
          <w:b w:val="0"/>
        </w:rPr>
        <w:tab/>
      </w:r>
      <w:r w:rsidRPr="00BF7ABA">
        <w:rPr>
          <w:b w:val="0"/>
          <w:sz w:val="22"/>
        </w:rPr>
        <w:t>Evidenční číslo smlouvy:</w:t>
      </w:r>
      <w:r w:rsidRPr="00BF7ABA">
        <w:rPr>
          <w:sz w:val="22"/>
        </w:rPr>
        <w:t xml:space="preserve"> </w:t>
      </w:r>
      <w:r w:rsidRPr="0030215C">
        <w:rPr>
          <w:noProof/>
        </w:rPr>
        <w:t>KK01326/2020</w:t>
      </w:r>
    </w:p>
    <w:p w:rsidR="00770585" w:rsidRPr="0096502F" w:rsidRDefault="00770585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0585" w:rsidRPr="0096502F" w:rsidRDefault="00770585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770585" w:rsidRPr="0096502F" w:rsidRDefault="00770585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770585" w:rsidRPr="0096502F" w:rsidRDefault="00770585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770585" w:rsidRPr="0096502F" w:rsidRDefault="00770585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Smluvní strany: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Karlovarský kraj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sídla: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Závodní 353/88, 360 06 Karlovy Vary – Dvory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Identifikační číslo:</w:t>
      </w:r>
      <w:r>
        <w:rPr>
          <w:rFonts w:ascii="Times New Roman" w:eastAsia="Times New Roman" w:hAnsi="Times New Roman"/>
        </w:rPr>
        <w:tab/>
        <w:t>70891168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CZ70891168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Zastoupený: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Josef Váňa, radní pro oblast tělovýchovy a sportu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4933FC" w:rsidRDefault="004933FC" w:rsidP="004933FC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číslo účtu</w:t>
      </w:r>
      <w:r>
        <w:rPr>
          <w:rFonts w:ascii="Times New Roman" w:eastAsia="Times New Roman" w:hAnsi="Times New Roman"/>
        </w:rPr>
        <w:tab/>
        <w:t>XXXX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4933FC" w:rsidRDefault="004933FC" w:rsidP="004933F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XXXX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933FC" w:rsidRDefault="004933FC" w:rsidP="004933F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číslo účtu</w:t>
      </w:r>
      <w:r>
        <w:rPr>
          <w:rFonts w:ascii="Times New Roman" w:hAnsi="Times New Roman"/>
          <w:color w:val="000000"/>
        </w:rPr>
        <w:tab/>
        <w:t>XXXX</w:t>
      </w:r>
    </w:p>
    <w:p w:rsidR="004933FC" w:rsidRDefault="004933FC" w:rsidP="004933F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Datová schránka:</w:t>
      </w:r>
      <w:r>
        <w:rPr>
          <w:rFonts w:ascii="Times New Roman" w:eastAsia="Times New Roman" w:hAnsi="Times New Roman"/>
        </w:rPr>
        <w:tab/>
        <w:t>siqbxt2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Administrující odbor:</w:t>
      </w:r>
      <w:r>
        <w:rPr>
          <w:rFonts w:ascii="Times New Roman" w:eastAsia="Times New Roman" w:hAnsi="Times New Roman"/>
        </w:rPr>
        <w:tab/>
        <w:t>odbor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(dále jen „poskytovatel“)</w:t>
      </w: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</w:p>
    <w:p w:rsidR="004933FC" w:rsidRDefault="004933FC" w:rsidP="004933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</w:p>
    <w:p w:rsidR="00770585" w:rsidRPr="00BF7ABA" w:rsidRDefault="00770585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30215C">
        <w:rPr>
          <w:rFonts w:ascii="Times New Roman" w:eastAsia="Times New Roman" w:hAnsi="Times New Roman"/>
          <w:b/>
          <w:bCs/>
          <w:noProof/>
        </w:rPr>
        <w:t>FB Hurrican, z.s.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Adresa sídla: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Západní 1781/69, 360 01 Karlovy Vary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Identifikační číslo: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26518571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DIČ: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---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Právní forma: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Spolek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BF7ABA">
        <w:rPr>
          <w:rFonts w:ascii="Times New Roman" w:eastAsia="Times New Roman" w:hAnsi="Times New Roman"/>
        </w:rPr>
        <w:t>Zastoupený:</w:t>
      </w:r>
      <w:r w:rsidRPr="00BF7ABA">
        <w:rPr>
          <w:rFonts w:ascii="Times New Roman" w:eastAsia="Times New Roman" w:hAnsi="Times New Roman"/>
        </w:rPr>
        <w:tab/>
      </w:r>
      <w:r w:rsidRPr="0030215C">
        <w:rPr>
          <w:rFonts w:ascii="Times New Roman" w:eastAsia="Times New Roman" w:hAnsi="Times New Roman"/>
          <w:noProof/>
        </w:rPr>
        <w:t>Jaroslav Vébr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BF7ABA">
        <w:rPr>
          <w:rFonts w:ascii="Times New Roman" w:eastAsia="Arial Unicode MS" w:hAnsi="Times New Roman"/>
        </w:rPr>
        <w:t xml:space="preserve">Registrace ve veřejném rejstříku: </w:t>
      </w:r>
      <w:r w:rsidRPr="00BF7ABA">
        <w:rPr>
          <w:rFonts w:ascii="Times New Roman" w:eastAsia="Arial Unicode MS" w:hAnsi="Times New Roman"/>
        </w:rPr>
        <w:tab/>
      </w:r>
      <w:r w:rsidRPr="0030215C">
        <w:rPr>
          <w:rFonts w:ascii="Times New Roman" w:eastAsia="Arial Unicode MS" w:hAnsi="Times New Roman"/>
          <w:noProof/>
        </w:rPr>
        <w:t>L 3162 vedená u Krajského soudu v Plzni</w:t>
      </w:r>
    </w:p>
    <w:p w:rsidR="00770585" w:rsidRPr="00BF7ABA" w:rsidRDefault="00770585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Bankovní spojení:</w:t>
      </w:r>
      <w:r w:rsidRPr="00BF7ABA">
        <w:rPr>
          <w:rFonts w:ascii="Times New Roman" w:eastAsia="Times New Roman" w:hAnsi="Times New Roman"/>
        </w:rPr>
        <w:tab/>
      </w:r>
      <w:r w:rsidR="004933FC">
        <w:rPr>
          <w:rFonts w:ascii="Times New Roman" w:eastAsia="Times New Roman" w:hAnsi="Times New Roman"/>
          <w:noProof/>
        </w:rPr>
        <w:t>XXXX</w:t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</w:p>
    <w:p w:rsidR="00770585" w:rsidRPr="00BF7ABA" w:rsidRDefault="00770585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číslo účtu:</w:t>
      </w:r>
      <w:r w:rsidRPr="00BF7ABA">
        <w:rPr>
          <w:rFonts w:ascii="Times New Roman" w:eastAsia="Times New Roman" w:hAnsi="Times New Roman"/>
        </w:rPr>
        <w:tab/>
      </w:r>
      <w:r w:rsidR="004933FC">
        <w:rPr>
          <w:rFonts w:ascii="Times New Roman" w:eastAsia="Times New Roman" w:hAnsi="Times New Roman"/>
          <w:noProof/>
        </w:rPr>
        <w:t>XXXX</w:t>
      </w:r>
    </w:p>
    <w:p w:rsidR="00770585" w:rsidRPr="00BF7ABA" w:rsidRDefault="00770585" w:rsidP="00BE65AC">
      <w:pPr>
        <w:spacing w:after="0" w:line="240" w:lineRule="auto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E-mail:</w:t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  <w:r w:rsidR="004933FC">
        <w:rPr>
          <w:rFonts w:ascii="Times New Roman" w:eastAsia="Times New Roman" w:hAnsi="Times New Roman"/>
          <w:noProof/>
        </w:rPr>
        <w:t>XXXX</w:t>
      </w:r>
    </w:p>
    <w:p w:rsidR="00770585" w:rsidRPr="00BF7ABA" w:rsidRDefault="00770585" w:rsidP="00BE65AC">
      <w:pPr>
        <w:spacing w:after="0" w:line="240" w:lineRule="auto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Datová schránka</w:t>
      </w:r>
      <w:r w:rsidRPr="00BF7ABA">
        <w:rPr>
          <w:rFonts w:ascii="Times New Roman" w:eastAsia="Times New Roman" w:hAnsi="Times New Roman"/>
        </w:rPr>
        <w:tab/>
      </w:r>
      <w:r w:rsidRPr="0030215C">
        <w:rPr>
          <w:rFonts w:ascii="Times New Roman" w:eastAsia="Times New Roman" w:hAnsi="Times New Roman"/>
          <w:noProof/>
        </w:rPr>
        <w:t>---</w:t>
      </w:r>
    </w:p>
    <w:p w:rsidR="00770585" w:rsidRPr="00BF7ABA" w:rsidRDefault="00770585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30215C">
        <w:rPr>
          <w:rFonts w:ascii="Times New Roman" w:eastAsia="Times New Roman" w:hAnsi="Times New Roman"/>
          <w:noProof/>
        </w:rPr>
        <w:t>Není plátce DPH.</w:t>
      </w:r>
    </w:p>
    <w:p w:rsidR="00770585" w:rsidRPr="0096502F" w:rsidRDefault="00770585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770585" w:rsidRPr="0096502F" w:rsidRDefault="00770585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770585" w:rsidRPr="0096502F" w:rsidRDefault="00770585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 xml:space="preserve">na podporu vrcholového sportu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770585" w:rsidRDefault="00770585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770585" w:rsidRPr="0096502F" w:rsidRDefault="00770585" w:rsidP="00770585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770585" w:rsidRPr="0096502F" w:rsidRDefault="0077058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770585" w:rsidRPr="0096502F" w:rsidRDefault="00770585" w:rsidP="00770585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770585" w:rsidRPr="00644044" w:rsidRDefault="0077058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644044">
        <w:rPr>
          <w:b/>
          <w:sz w:val="22"/>
          <w:szCs w:val="22"/>
        </w:rPr>
        <w:t>2020</w:t>
      </w:r>
    </w:p>
    <w:p w:rsidR="00770585" w:rsidRPr="00BF7ABA" w:rsidRDefault="0077058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BF7ABA">
        <w:rPr>
          <w:sz w:val="22"/>
          <w:szCs w:val="22"/>
        </w:rPr>
        <w:t>poskytuje ve výši:</w:t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30215C">
        <w:rPr>
          <w:b/>
          <w:noProof/>
        </w:rPr>
        <w:t>200.000 Kč</w:t>
      </w:r>
    </w:p>
    <w:p w:rsidR="00770585" w:rsidRPr="00BF7ABA" w:rsidRDefault="00770585" w:rsidP="002415E5">
      <w:pPr>
        <w:pStyle w:val="Normlnweb"/>
        <w:ind w:left="426"/>
        <w:jc w:val="both"/>
        <w:rPr>
          <w:sz w:val="22"/>
          <w:szCs w:val="22"/>
        </w:rPr>
      </w:pPr>
      <w:r w:rsidRPr="00BF7ABA">
        <w:rPr>
          <w:sz w:val="22"/>
          <w:szCs w:val="22"/>
        </w:rPr>
        <w:tab/>
        <w:t xml:space="preserve">(Slovy: </w:t>
      </w:r>
      <w:r w:rsidRPr="0030215C">
        <w:rPr>
          <w:b/>
          <w:noProof/>
        </w:rPr>
        <w:t>dvě stě tisíc</w:t>
      </w:r>
      <w:r w:rsidRPr="00BF7ABA">
        <w:rPr>
          <w:b/>
          <w:sz w:val="22"/>
          <w:szCs w:val="22"/>
        </w:rPr>
        <w:t xml:space="preserve"> korun českých</w:t>
      </w:r>
      <w:r w:rsidRPr="00BF7ABA">
        <w:rPr>
          <w:sz w:val="22"/>
          <w:szCs w:val="22"/>
        </w:rPr>
        <w:t>)</w:t>
      </w:r>
    </w:p>
    <w:p w:rsidR="00770585" w:rsidRPr="00BF7ABA" w:rsidRDefault="00770585" w:rsidP="00BF7ABA">
      <w:pPr>
        <w:pStyle w:val="Normlnweb"/>
        <w:ind w:left="5664" w:hanging="5238"/>
        <w:rPr>
          <w:b/>
          <w:bCs/>
          <w:sz w:val="22"/>
          <w:szCs w:val="22"/>
        </w:rPr>
      </w:pPr>
      <w:r w:rsidRPr="00BF7ABA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30215C">
        <w:rPr>
          <w:b/>
          <w:noProof/>
        </w:rPr>
        <w:t>Podpora vrcholového sportu.</w:t>
      </w:r>
    </w:p>
    <w:p w:rsidR="00770585" w:rsidRPr="00BF7ABA" w:rsidRDefault="00770585" w:rsidP="002415E5">
      <w:pPr>
        <w:pStyle w:val="Normlnweb"/>
        <w:ind w:left="426"/>
        <w:jc w:val="both"/>
        <w:rPr>
          <w:sz w:val="22"/>
          <w:szCs w:val="22"/>
        </w:rPr>
      </w:pPr>
    </w:p>
    <w:p w:rsidR="00770585" w:rsidRPr="00BF7ABA" w:rsidRDefault="0077058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BF7ABA">
        <w:rPr>
          <w:sz w:val="22"/>
          <w:szCs w:val="22"/>
        </w:rPr>
        <w:t>Platba dotace bude opatřena variabilním symbolem:</w:t>
      </w:r>
      <w:r w:rsidRPr="00BF7ABA">
        <w:rPr>
          <w:sz w:val="22"/>
          <w:szCs w:val="22"/>
        </w:rPr>
        <w:tab/>
      </w:r>
      <w:r w:rsidR="004933FC">
        <w:rPr>
          <w:b/>
          <w:noProof/>
        </w:rPr>
        <w:t>XXXX</w:t>
      </w:r>
    </w:p>
    <w:p w:rsidR="00770585" w:rsidRPr="0096502F" w:rsidRDefault="00770585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770585" w:rsidRPr="0096502F" w:rsidRDefault="00770585" w:rsidP="00770585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C156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770585" w:rsidRPr="0096502F" w:rsidRDefault="00770585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770585" w:rsidRPr="0096502F" w:rsidRDefault="00770585" w:rsidP="00770585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770585" w:rsidRPr="0096502F" w:rsidRDefault="00770585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770585" w:rsidRPr="00644044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644044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770585" w:rsidRPr="0096502F" w:rsidRDefault="00770585" w:rsidP="00644044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770585" w:rsidRPr="0096502F" w:rsidRDefault="00770585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2F38CB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2F38CB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BF7ABA">
        <w:rPr>
          <w:rFonts w:ascii="Times New Roman" w:eastAsia="Arial Unicode MS" w:hAnsi="Times New Roman"/>
          <w:b/>
        </w:rPr>
        <w:t>3</w:t>
      </w:r>
      <w:r w:rsidR="009F466D">
        <w:rPr>
          <w:rFonts w:ascii="Times New Roman" w:eastAsia="Arial Unicode MS" w:hAnsi="Times New Roman"/>
          <w:b/>
        </w:rPr>
        <w:t>1</w:t>
      </w:r>
      <w:r w:rsidRPr="00BF7ABA">
        <w:rPr>
          <w:rFonts w:ascii="Times New Roman" w:eastAsia="Arial Unicode MS" w:hAnsi="Times New Roman"/>
          <w:b/>
        </w:rPr>
        <w:t>. 1</w:t>
      </w:r>
      <w:r w:rsidR="009F466D">
        <w:rPr>
          <w:rFonts w:ascii="Times New Roman" w:eastAsia="Arial Unicode MS" w:hAnsi="Times New Roman"/>
          <w:b/>
        </w:rPr>
        <w:t>2</w:t>
      </w:r>
      <w:r w:rsidRPr="00BF7ABA">
        <w:rPr>
          <w:rFonts w:ascii="Times New Roman" w:eastAsia="Arial Unicode MS" w:hAnsi="Times New Roman"/>
          <w:b/>
        </w:rPr>
        <w:t>. 2020</w:t>
      </w:r>
      <w:r w:rsidRPr="00BF7ABA">
        <w:rPr>
          <w:rFonts w:ascii="Times New Roman" w:eastAsia="Arial Unicode MS" w:hAnsi="Times New Roman"/>
        </w:rPr>
        <w:t>.</w:t>
      </w:r>
    </w:p>
    <w:p w:rsidR="00770585" w:rsidRPr="00644044" w:rsidRDefault="00770585" w:rsidP="00CF7125">
      <w:pPr>
        <w:spacing w:after="0" w:line="240" w:lineRule="auto"/>
        <w:jc w:val="both"/>
        <w:rPr>
          <w:rFonts w:ascii="Times New Roman" w:eastAsia="Arial Unicode MS" w:hAnsi="Times New Roman"/>
          <w:highlight w:val="yellow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770585" w:rsidRPr="0096502F" w:rsidRDefault="00770585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644044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644044">
        <w:rPr>
          <w:rFonts w:ascii="Times New Roman" w:eastAsia="Times New Roman" w:hAnsi="Times New Roman"/>
          <w:bCs/>
        </w:rPr>
        <w:t>Dotace je neinvestičního charakteru a příjemce je povinen ji použít výhradně k účelům uvedeným v žádosti o poskytnutí dotace v roce 2020.</w:t>
      </w:r>
    </w:p>
    <w:p w:rsidR="00770585" w:rsidRDefault="00770585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770585" w:rsidRDefault="00770585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</w:t>
      </w:r>
      <w:bookmarkStart w:id="0" w:name="_GoBack"/>
      <w:bookmarkEnd w:id="0"/>
      <w:r w:rsidRPr="0096502F">
        <w:rPr>
          <w:rFonts w:ascii="Times New Roman" w:eastAsia="Arial Unicode MS" w:hAnsi="Times New Roman"/>
        </w:rPr>
        <w:t xml:space="preserve">i do </w:t>
      </w:r>
      <w:r w:rsidRPr="00BF7ABA">
        <w:rPr>
          <w:rFonts w:ascii="Times New Roman" w:eastAsia="Arial Unicode MS" w:hAnsi="Times New Roman"/>
          <w:b/>
        </w:rPr>
        <w:t>3</w:t>
      </w:r>
      <w:r w:rsidR="009F466D">
        <w:rPr>
          <w:rFonts w:ascii="Times New Roman" w:eastAsia="Arial Unicode MS" w:hAnsi="Times New Roman"/>
          <w:b/>
        </w:rPr>
        <w:t>1</w:t>
      </w:r>
      <w:r w:rsidRPr="00BF7ABA">
        <w:rPr>
          <w:rFonts w:ascii="Times New Roman" w:eastAsia="Arial Unicode MS" w:hAnsi="Times New Roman"/>
          <w:b/>
        </w:rPr>
        <w:t>. 1</w:t>
      </w:r>
      <w:r w:rsidR="009F466D">
        <w:rPr>
          <w:rFonts w:ascii="Times New Roman" w:eastAsia="Arial Unicode MS" w:hAnsi="Times New Roman"/>
          <w:b/>
        </w:rPr>
        <w:t>2</w:t>
      </w:r>
      <w:r w:rsidRPr="00BF7ABA">
        <w:rPr>
          <w:rFonts w:ascii="Times New Roman" w:eastAsia="Arial Unicode MS" w:hAnsi="Times New Roman"/>
          <w:b/>
        </w:rPr>
        <w:t>. 2020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770585" w:rsidRPr="0096502F" w:rsidRDefault="00770585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770585" w:rsidRPr="0096502F" w:rsidRDefault="00770585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770585" w:rsidRPr="0096502F" w:rsidRDefault="00770585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770585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770585" w:rsidRPr="00CF7125" w:rsidRDefault="00770585" w:rsidP="00CF712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770585" w:rsidRPr="0096502F" w:rsidRDefault="00770585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prostředky na účet uvedený v odst. 10 tohoto článku, jestliže odpadne účel, na který je dotace poskytována, a to </w:t>
      </w:r>
      <w:r w:rsidRPr="008C156A">
        <w:rPr>
          <w:rFonts w:ascii="Times New Roman" w:eastAsia="Arial Unicode MS" w:hAnsi="Times New Roman"/>
        </w:rPr>
        <w:t>do 10 pracovních</w:t>
      </w:r>
      <w:r w:rsidRPr="0096502F">
        <w:rPr>
          <w:rFonts w:ascii="Times New Roman" w:eastAsia="Arial Unicode MS" w:hAnsi="Times New Roman"/>
        </w:rPr>
        <w:t xml:space="preserve"> dnů ode dne, kdy se příjemce o této skutečnosti dozví. Platba bude opatřena variabilním symbolem uvedeným v odst. 2 čl. II.</w:t>
      </w:r>
    </w:p>
    <w:p w:rsidR="00770585" w:rsidRPr="0096502F" w:rsidRDefault="00770585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770585" w:rsidRPr="0096502F" w:rsidRDefault="00770585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C0DAD" w:rsidRDefault="009C0DAD" w:rsidP="009C0DAD">
      <w:pPr>
        <w:pStyle w:val="Odstavecseseznamem"/>
        <w:rPr>
          <w:rFonts w:ascii="Times New Roman" w:eastAsia="Arial Unicode MS" w:hAnsi="Times New Roman"/>
        </w:rPr>
      </w:pPr>
    </w:p>
    <w:p w:rsidR="009C0DAD" w:rsidRPr="0096502F" w:rsidRDefault="009C0DAD" w:rsidP="009C0DA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zejména povinen oznámit poskytovateli </w:t>
      </w:r>
      <w:r w:rsidRPr="008C156A">
        <w:rPr>
          <w:rFonts w:ascii="Times New Roman" w:eastAsia="Arial Unicode MS" w:hAnsi="Times New Roman"/>
        </w:rPr>
        <w:t>do 10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770585" w:rsidRPr="0096502F" w:rsidRDefault="00770585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770585" w:rsidRDefault="00770585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770585" w:rsidRPr="0096502F" w:rsidRDefault="00770585" w:rsidP="0077058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770585" w:rsidRPr="0096502F" w:rsidRDefault="00770585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770585" w:rsidRPr="0096502F" w:rsidRDefault="00770585" w:rsidP="00770585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770585" w:rsidRPr="0096502F" w:rsidRDefault="00770585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77058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770585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770585" w:rsidRPr="0096502F" w:rsidRDefault="00770585" w:rsidP="00770585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770585" w:rsidRPr="0096502F" w:rsidRDefault="00770585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770585" w:rsidRPr="0096502F" w:rsidRDefault="00770585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770585" w:rsidRPr="0096502F" w:rsidRDefault="00770585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770585" w:rsidRPr="0096502F" w:rsidRDefault="00770585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770585" w:rsidRPr="0096502F" w:rsidRDefault="00770585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770585" w:rsidRPr="0096502F" w:rsidRDefault="00770585" w:rsidP="00363D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770585" w:rsidRPr="0096502F" w:rsidRDefault="00770585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770585" w:rsidRPr="0096502F" w:rsidRDefault="00770585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9C0DA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770585" w:rsidRPr="0096502F" w:rsidRDefault="007705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770585" w:rsidRDefault="00770585" w:rsidP="00770585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770585" w:rsidRPr="0096502F" w:rsidRDefault="00770585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770585" w:rsidRPr="0096502F" w:rsidRDefault="00770585" w:rsidP="00770585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obdržel v předchozích 3 fiskálních letech od data účinnosti této smlouvy podporu de minimis</w:t>
      </w:r>
      <w:r>
        <w:rPr>
          <w:rFonts w:ascii="Times New Roman" w:hAnsi="Times New Roman"/>
        </w:rPr>
        <w:t>. C</w:t>
      </w:r>
      <w:r w:rsidRPr="0096502F">
        <w:rPr>
          <w:rFonts w:ascii="Times New Roman" w:hAnsi="Times New Roman"/>
        </w:rPr>
        <w:t>elková výše podpory de minimis, kterou tak přijal, nepřesáhne 200.000 EUR.</w:t>
      </w:r>
    </w:p>
    <w:p w:rsidR="00770585" w:rsidRPr="0096502F" w:rsidRDefault="00770585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</w:p>
    <w:p w:rsidR="00770585" w:rsidRPr="0096502F" w:rsidRDefault="00770585" w:rsidP="00770585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:rsidR="00770585" w:rsidRPr="0096502F" w:rsidRDefault="00770585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770585" w:rsidRPr="0096502F" w:rsidRDefault="00770585" w:rsidP="00770585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:rsidR="00770585" w:rsidRPr="0096502F" w:rsidRDefault="00770585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770585" w:rsidRDefault="00770585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770585" w:rsidRPr="0096502F" w:rsidRDefault="00770585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770585" w:rsidRPr="0096502F" w:rsidRDefault="00770585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770585" w:rsidRPr="0037751D" w:rsidRDefault="00770585" w:rsidP="0037751D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770585" w:rsidRDefault="00770585" w:rsidP="0037751D">
      <w:pPr>
        <w:tabs>
          <w:tab w:val="left" w:pos="-1134"/>
        </w:tabs>
        <w:spacing w:after="0" w:line="240" w:lineRule="auto"/>
        <w:ind w:left="1680"/>
        <w:jc w:val="both"/>
        <w:rPr>
          <w:rFonts w:ascii="Times New Roman" w:eastAsia="Times New Roman" w:hAnsi="Times New Roman"/>
        </w:rPr>
      </w:pPr>
    </w:p>
    <w:p w:rsidR="00770585" w:rsidRDefault="00770585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770585" w:rsidRPr="0096502F" w:rsidRDefault="00770585" w:rsidP="0037751D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Pr="0096502F" w:rsidRDefault="00770585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770585" w:rsidRPr="0096502F" w:rsidRDefault="00770585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770585" w:rsidRDefault="00770585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770585" w:rsidRDefault="00770585" w:rsidP="00974F0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Pr="008C156A" w:rsidRDefault="00770585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C156A">
        <w:rPr>
          <w:rFonts w:ascii="Times New Roman" w:eastAsia="Times New Roman" w:hAnsi="Times New Roman"/>
        </w:rPr>
        <w:t xml:space="preserve">Smlouva nabývá platnosti dnem podpisu smluvních stran. </w:t>
      </w:r>
    </w:p>
    <w:p w:rsidR="00770585" w:rsidRPr="0096502F" w:rsidRDefault="00770585" w:rsidP="008C156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Default="00770585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770585" w:rsidRPr="0096502F" w:rsidRDefault="00770585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770585" w:rsidRDefault="00770585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770585" w:rsidRDefault="00770585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Default="00770585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0585" w:rsidRDefault="00770585" w:rsidP="00FE6471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O poskytnutí dotace a uzavření veřejnoprávní smlouvy rozhodlo v souladu s ustanovením § 36 písm. c) příp. d) zákona č. 129/2000 Sb., o krajích (krajské zřízení), ve znění pozdějších předpisů, Zastupitelstvo Karlovarského kraje usnesením č. ZK 156/06/20 ze dne 15. 6. 2020.</w:t>
      </w:r>
    </w:p>
    <w:p w:rsidR="00770585" w:rsidRDefault="00770585" w:rsidP="00355348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770585" w:rsidRDefault="00770585" w:rsidP="003553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770585" w:rsidTr="00355348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5" w:rsidRDefault="0077058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585" w:rsidRDefault="0077058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770585" w:rsidRDefault="0077058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5" w:rsidRDefault="0077058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770585" w:rsidTr="00355348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0585" w:rsidRDefault="0077058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770585" w:rsidRDefault="0077058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770585" w:rsidRDefault="00770585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770585" w:rsidRDefault="00770585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770585" w:rsidRDefault="00770585" w:rsidP="00F8123C">
      <w:pPr>
        <w:spacing w:after="0" w:line="240" w:lineRule="auto"/>
        <w:rPr>
          <w:rFonts w:ascii="Times New Roman" w:eastAsia="Times New Roman" w:hAnsi="Times New Roman"/>
        </w:rPr>
      </w:pPr>
    </w:p>
    <w:p w:rsidR="00770585" w:rsidRDefault="00770585" w:rsidP="00F8123C">
      <w:pPr>
        <w:spacing w:after="0" w:line="240" w:lineRule="auto"/>
        <w:rPr>
          <w:rFonts w:ascii="Times New Roman" w:eastAsia="Times New Roman" w:hAnsi="Times New Roman"/>
        </w:rPr>
      </w:pPr>
    </w:p>
    <w:p w:rsidR="00770585" w:rsidRDefault="00770585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770585" w:rsidRDefault="00770585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Martina Fučíková</w:t>
      </w:r>
    </w:p>
    <w:p w:rsidR="00770585" w:rsidRDefault="00770585" w:rsidP="00355348">
      <w:pPr>
        <w:spacing w:after="0" w:line="240" w:lineRule="auto"/>
        <w:rPr>
          <w:rFonts w:ascii="Times New Roman" w:eastAsia="Times New Roman" w:hAnsi="Times New Roman"/>
        </w:rPr>
      </w:pPr>
    </w:p>
    <w:sectPr w:rsidR="0077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95" w:rsidRDefault="00724095" w:rsidP="00770585">
      <w:pPr>
        <w:spacing w:after="0" w:line="240" w:lineRule="auto"/>
      </w:pPr>
      <w:r>
        <w:separator/>
      </w:r>
    </w:p>
  </w:endnote>
  <w:endnote w:type="continuationSeparator" w:id="0">
    <w:p w:rsidR="00724095" w:rsidRDefault="00724095" w:rsidP="0077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95" w:rsidRDefault="00724095" w:rsidP="00770585">
      <w:pPr>
        <w:spacing w:after="0" w:line="240" w:lineRule="auto"/>
      </w:pPr>
      <w:r>
        <w:separator/>
      </w:r>
    </w:p>
  </w:footnote>
  <w:footnote w:type="continuationSeparator" w:id="0">
    <w:p w:rsidR="00724095" w:rsidRDefault="00724095" w:rsidP="00770585">
      <w:pPr>
        <w:spacing w:after="0" w:line="240" w:lineRule="auto"/>
      </w:pPr>
      <w:r>
        <w:continuationSeparator/>
      </w:r>
    </w:p>
  </w:footnote>
  <w:footnote w:id="1">
    <w:p w:rsidR="00770585" w:rsidRPr="0096502F" w:rsidRDefault="00770585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85"/>
    <w:rsid w:val="000937BD"/>
    <w:rsid w:val="004933FC"/>
    <w:rsid w:val="00724095"/>
    <w:rsid w:val="00770585"/>
    <w:rsid w:val="009C0DAD"/>
    <w:rsid w:val="009F466D"/>
    <w:rsid w:val="00F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4916"/>
  <w15:chartTrackingRefBased/>
  <w15:docId w15:val="{FFD47D79-4D21-4798-9EC7-757C4379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705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705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058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77058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0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70585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70585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77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705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2544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2020-07-14T06:49:00Z</dcterms:created>
  <dcterms:modified xsi:type="dcterms:W3CDTF">2020-07-24T08:03:00Z</dcterms:modified>
</cp:coreProperties>
</file>