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4B" w:rsidRDefault="00B53E91" w:rsidP="00F56C4B">
      <w:pPr>
        <w:spacing w:after="0" w:line="240" w:lineRule="auto"/>
        <w:ind w:left="0" w:right="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71">
        <w:rPr>
          <w:rFonts w:ascii="Times New Roman" w:hAnsi="Times New Roman" w:cs="Times New Roman"/>
          <w:b/>
          <w:sz w:val="28"/>
          <w:szCs w:val="28"/>
        </w:rPr>
        <w:t xml:space="preserve">Smlouva o vzájemné spolupráci </w:t>
      </w:r>
      <w:r w:rsidR="00AC0DD6">
        <w:rPr>
          <w:rFonts w:ascii="Times New Roman" w:hAnsi="Times New Roman" w:cs="Times New Roman"/>
          <w:b/>
          <w:sz w:val="28"/>
          <w:szCs w:val="28"/>
        </w:rPr>
        <w:t>č. II-94/2020</w:t>
      </w:r>
    </w:p>
    <w:p w:rsidR="00AE02B7" w:rsidRPr="00F56C4B" w:rsidRDefault="00B53E91" w:rsidP="00F56C4B">
      <w:pPr>
        <w:spacing w:after="0" w:line="240" w:lineRule="auto"/>
        <w:ind w:left="0" w:right="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6C4B">
        <w:rPr>
          <w:rFonts w:ascii="Times New Roman" w:hAnsi="Times New Roman" w:cs="Times New Roman"/>
          <w:sz w:val="28"/>
          <w:szCs w:val="28"/>
        </w:rPr>
        <w:t xml:space="preserve">za účelem </w:t>
      </w:r>
      <w:r w:rsidR="009A65D0" w:rsidRPr="00F56C4B">
        <w:rPr>
          <w:rFonts w:ascii="Times New Roman" w:hAnsi="Times New Roman" w:cs="Times New Roman"/>
          <w:sz w:val="28"/>
          <w:szCs w:val="28"/>
        </w:rPr>
        <w:t xml:space="preserve">propojení </w:t>
      </w:r>
      <w:r w:rsidR="00AE02B7" w:rsidRPr="00F56C4B">
        <w:rPr>
          <w:rFonts w:ascii="Times New Roman" w:hAnsi="Times New Roman" w:cs="Times New Roman"/>
          <w:sz w:val="28"/>
          <w:szCs w:val="28"/>
        </w:rPr>
        <w:t xml:space="preserve">a zpřístupnění </w:t>
      </w:r>
      <w:r w:rsidR="009A65D0" w:rsidRPr="00F56C4B">
        <w:rPr>
          <w:rFonts w:ascii="Times New Roman" w:hAnsi="Times New Roman" w:cs="Times New Roman"/>
          <w:sz w:val="28"/>
          <w:szCs w:val="28"/>
        </w:rPr>
        <w:t>zahrad</w:t>
      </w:r>
      <w:r w:rsidR="00B613C3" w:rsidRPr="00F56C4B">
        <w:rPr>
          <w:rFonts w:ascii="Times New Roman" w:hAnsi="Times New Roman" w:cs="Times New Roman"/>
          <w:sz w:val="28"/>
          <w:szCs w:val="28"/>
        </w:rPr>
        <w:t xml:space="preserve"> </w:t>
      </w:r>
      <w:r w:rsidR="00AE02B7" w:rsidRPr="00F56C4B">
        <w:rPr>
          <w:rFonts w:ascii="Times New Roman" w:hAnsi="Times New Roman" w:cs="Times New Roman"/>
          <w:sz w:val="28"/>
          <w:szCs w:val="28"/>
        </w:rPr>
        <w:t xml:space="preserve">vily </w:t>
      </w:r>
      <w:proofErr w:type="spellStart"/>
      <w:proofErr w:type="gramStart"/>
      <w:r w:rsidR="00AE02B7" w:rsidRPr="00F56C4B">
        <w:rPr>
          <w:rFonts w:ascii="Times New Roman" w:hAnsi="Times New Roman" w:cs="Times New Roman"/>
          <w:sz w:val="28"/>
          <w:szCs w:val="28"/>
        </w:rPr>
        <w:t>L</w:t>
      </w:r>
      <w:r w:rsidR="00972CA0" w:rsidRPr="00F56C4B">
        <w:rPr>
          <w:rFonts w:ascii="Times New Roman" w:hAnsi="Times New Roman" w:cs="Times New Roman"/>
          <w:sz w:val="28"/>
          <w:szCs w:val="28"/>
        </w:rPr>
        <w:t>öw</w:t>
      </w:r>
      <w:proofErr w:type="spellEnd"/>
      <w:r w:rsidR="00972CA0" w:rsidRPr="00F56C4B">
        <w:rPr>
          <w:rFonts w:ascii="Times New Roman" w:hAnsi="Times New Roman" w:cs="Times New Roman"/>
          <w:sz w:val="28"/>
          <w:szCs w:val="28"/>
        </w:rPr>
        <w:t xml:space="preserve"> - Beer</w:t>
      </w:r>
      <w:proofErr w:type="gramEnd"/>
      <w:r w:rsidR="00972CA0" w:rsidRPr="00F56C4B">
        <w:rPr>
          <w:rFonts w:ascii="Times New Roman" w:hAnsi="Times New Roman" w:cs="Times New Roman"/>
          <w:sz w:val="28"/>
          <w:szCs w:val="28"/>
        </w:rPr>
        <w:t xml:space="preserve"> a vily Tugendhat</w:t>
      </w:r>
    </w:p>
    <w:p w:rsidR="005B7371" w:rsidRPr="005B7371" w:rsidRDefault="005B7371" w:rsidP="005B7371">
      <w:pPr>
        <w:spacing w:after="0" w:line="240" w:lineRule="auto"/>
        <w:ind w:left="11" w:right="6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98B" w:rsidRDefault="00B53E91" w:rsidP="00AE02B7">
      <w:pPr>
        <w:spacing w:after="0" w:line="259" w:lineRule="auto"/>
        <w:ind w:left="10" w:right="4" w:hanging="10"/>
        <w:jc w:val="center"/>
        <w:rPr>
          <w:rFonts w:ascii="Times New Roman" w:hAnsi="Times New Roman" w:cs="Times New Roman"/>
        </w:rPr>
      </w:pPr>
      <w:r w:rsidRPr="009E6F61">
        <w:rPr>
          <w:rFonts w:ascii="Times New Roman" w:hAnsi="Times New Roman" w:cs="Times New Roman"/>
        </w:rPr>
        <w:t xml:space="preserve">uzavřená podle ustanovení § 1746 odst. 2 zákona č. 89/2012 Sb., občanský zákoník, ve znění pozdějších předpisů (dále jen „občanský zákoník“) </w:t>
      </w:r>
    </w:p>
    <w:p w:rsidR="00C82D8D" w:rsidRDefault="00C82D8D" w:rsidP="00AE02B7">
      <w:pPr>
        <w:spacing w:after="0" w:line="259" w:lineRule="auto"/>
        <w:ind w:left="10" w:right="4" w:hanging="10"/>
        <w:jc w:val="center"/>
        <w:rPr>
          <w:rFonts w:ascii="Times New Roman" w:hAnsi="Times New Roman" w:cs="Times New Roman"/>
        </w:rPr>
      </w:pPr>
    </w:p>
    <w:p w:rsidR="00C82D8D" w:rsidRPr="009E6F61" w:rsidRDefault="00C82D8D" w:rsidP="00AE02B7">
      <w:pPr>
        <w:spacing w:after="0" w:line="259" w:lineRule="auto"/>
        <w:ind w:left="10" w:right="4" w:hanging="10"/>
        <w:jc w:val="center"/>
        <w:rPr>
          <w:rFonts w:ascii="Times New Roman" w:hAnsi="Times New Roman" w:cs="Times New Roman"/>
        </w:rPr>
      </w:pPr>
    </w:p>
    <w:p w:rsidR="0033698B" w:rsidRDefault="0033698B">
      <w:pPr>
        <w:spacing w:after="0" w:line="259" w:lineRule="auto"/>
        <w:ind w:left="49" w:firstLine="0"/>
        <w:jc w:val="center"/>
      </w:pPr>
    </w:p>
    <w:p w:rsidR="0033698B" w:rsidRPr="009E6F61" w:rsidRDefault="00972CA0">
      <w:pPr>
        <w:ind w:left="4258" w:right="4423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I.</w:t>
      </w:r>
    </w:p>
    <w:p w:rsidR="0033698B" w:rsidRPr="005B7371" w:rsidRDefault="00972CA0" w:rsidP="005B7371">
      <w:pPr>
        <w:ind w:left="10" w:right="30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Smluvní strany</w:t>
      </w:r>
    </w:p>
    <w:p w:rsidR="00AE02B7" w:rsidRDefault="00AE02B7">
      <w:pPr>
        <w:spacing w:after="0" w:line="259" w:lineRule="auto"/>
        <w:ind w:left="-5" w:hanging="10"/>
        <w:jc w:val="left"/>
        <w:rPr>
          <w:b/>
        </w:rPr>
      </w:pPr>
    </w:p>
    <w:p w:rsidR="00AE02B7" w:rsidRPr="00AE02B7" w:rsidRDefault="00AE02B7" w:rsidP="00AE02B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AE02B7">
        <w:rPr>
          <w:rFonts w:ascii="Times New Roman" w:eastAsia="Times New Roman" w:hAnsi="Times New Roman" w:cs="Times New Roman"/>
          <w:b/>
          <w:color w:val="auto"/>
          <w:szCs w:val="24"/>
        </w:rPr>
        <w:t>Muzeum města Brna, příspěvková organizace</w:t>
      </w:r>
    </w:p>
    <w:p w:rsidR="00AE02B7" w:rsidRPr="00AE02B7" w:rsidRDefault="00AE02B7" w:rsidP="00AE02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Cs w:val="24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 xml:space="preserve">se sídlem: </w:t>
      </w:r>
      <w:r w:rsidRPr="00AE02B7">
        <w:rPr>
          <w:rFonts w:ascii="Times New Roman" w:eastAsia="Times New Roman" w:hAnsi="Times New Roman" w:cs="Times New Roman"/>
          <w:bCs/>
          <w:szCs w:val="24"/>
        </w:rPr>
        <w:t>Brno, Špilberk 210/1, PSČ 662 24</w:t>
      </w:r>
    </w:p>
    <w:p w:rsidR="00AE02B7" w:rsidRPr="00AE02B7" w:rsidRDefault="00AE02B7" w:rsidP="00AE02B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>IČ</w:t>
      </w:r>
      <w:r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AE02B7">
        <w:rPr>
          <w:rFonts w:ascii="Times New Roman" w:eastAsia="Times New Roman" w:hAnsi="Times New Roman" w:cs="Times New Roman"/>
          <w:color w:val="auto"/>
          <w:szCs w:val="24"/>
        </w:rPr>
        <w:t>: 00101427</w:t>
      </w:r>
    </w:p>
    <w:p w:rsidR="00AE02B7" w:rsidRPr="00AE02B7" w:rsidRDefault="00AE02B7" w:rsidP="00AE02B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>DIČ: CZ00101427</w:t>
      </w:r>
    </w:p>
    <w:p w:rsidR="00AE02B7" w:rsidRPr="00AE02B7" w:rsidRDefault="00AE02B7" w:rsidP="00AE02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 xml:space="preserve">zastoupená PhDr. Pavlem </w:t>
      </w:r>
      <w:proofErr w:type="spellStart"/>
      <w:r w:rsidRPr="00AE02B7">
        <w:rPr>
          <w:rFonts w:ascii="Times New Roman" w:eastAsia="Times New Roman" w:hAnsi="Times New Roman" w:cs="Times New Roman"/>
          <w:color w:val="auto"/>
          <w:szCs w:val="24"/>
        </w:rPr>
        <w:t>Ciprianem</w:t>
      </w:r>
      <w:proofErr w:type="spellEnd"/>
      <w:r w:rsidRPr="00AE02B7">
        <w:rPr>
          <w:rFonts w:ascii="Times New Roman" w:eastAsia="Times New Roman" w:hAnsi="Times New Roman" w:cs="Times New Roman"/>
          <w:color w:val="auto"/>
          <w:szCs w:val="24"/>
        </w:rPr>
        <w:t>, ředitelem</w:t>
      </w:r>
      <w:r w:rsidR="000C1FF2">
        <w:rPr>
          <w:rFonts w:ascii="Times New Roman" w:eastAsia="Times New Roman" w:hAnsi="Times New Roman" w:cs="Times New Roman"/>
          <w:color w:val="auto"/>
          <w:szCs w:val="24"/>
        </w:rPr>
        <w:t xml:space="preserve"> organizace</w:t>
      </w:r>
    </w:p>
    <w:p w:rsidR="00AE02B7" w:rsidRPr="00AE02B7" w:rsidRDefault="00AE02B7" w:rsidP="00AE02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bookmarkStart w:id="0" w:name="_Hlk40701339"/>
      <w:r w:rsidRPr="00AE02B7">
        <w:rPr>
          <w:rFonts w:ascii="Times New Roman" w:eastAsia="Times New Roman" w:hAnsi="Times New Roman" w:cs="Times New Roman"/>
          <w:bCs/>
          <w:szCs w:val="24"/>
        </w:rPr>
        <w:t>zapsaná v</w:t>
      </w:r>
      <w:r w:rsidR="000C1FF2">
        <w:rPr>
          <w:rFonts w:ascii="Times New Roman" w:eastAsia="Times New Roman" w:hAnsi="Times New Roman" w:cs="Times New Roman"/>
          <w:bCs/>
          <w:szCs w:val="24"/>
        </w:rPr>
        <w:t>e veřejném</w:t>
      </w:r>
      <w:r w:rsidRPr="00AE02B7">
        <w:rPr>
          <w:rFonts w:ascii="Times New Roman" w:eastAsia="Times New Roman" w:hAnsi="Times New Roman" w:cs="Times New Roman"/>
          <w:bCs/>
          <w:szCs w:val="24"/>
        </w:rPr>
        <w:t xml:space="preserve"> rejstříku vedeném Krajským soudem v</w:t>
      </w:r>
      <w:r w:rsidR="009E6F61">
        <w:rPr>
          <w:rFonts w:ascii="Times New Roman" w:eastAsia="Times New Roman" w:hAnsi="Times New Roman" w:cs="Times New Roman"/>
          <w:bCs/>
          <w:szCs w:val="24"/>
        </w:rPr>
        <w:t> </w:t>
      </w:r>
      <w:r w:rsidRPr="00AE02B7">
        <w:rPr>
          <w:rFonts w:ascii="Times New Roman" w:eastAsia="Times New Roman" w:hAnsi="Times New Roman" w:cs="Times New Roman"/>
          <w:bCs/>
          <w:szCs w:val="24"/>
        </w:rPr>
        <w:t>Brně</w:t>
      </w:r>
      <w:r w:rsidR="009E6F61">
        <w:rPr>
          <w:rFonts w:ascii="Times New Roman" w:eastAsia="Times New Roman" w:hAnsi="Times New Roman" w:cs="Times New Roman"/>
          <w:bCs/>
          <w:szCs w:val="24"/>
        </w:rPr>
        <w:t xml:space="preserve">, </w:t>
      </w:r>
      <w:proofErr w:type="spellStart"/>
      <w:r w:rsidR="009E6F61">
        <w:rPr>
          <w:rFonts w:ascii="Times New Roman" w:eastAsia="Times New Roman" w:hAnsi="Times New Roman" w:cs="Times New Roman"/>
          <w:bCs/>
          <w:szCs w:val="24"/>
        </w:rPr>
        <w:t>sp</w:t>
      </w:r>
      <w:proofErr w:type="spellEnd"/>
      <w:r w:rsidR="009E6F61">
        <w:rPr>
          <w:rFonts w:ascii="Times New Roman" w:eastAsia="Times New Roman" w:hAnsi="Times New Roman" w:cs="Times New Roman"/>
          <w:bCs/>
          <w:szCs w:val="24"/>
        </w:rPr>
        <w:t xml:space="preserve">. zn. </w:t>
      </w:r>
      <w:proofErr w:type="spellStart"/>
      <w:r w:rsidR="009E6F61">
        <w:rPr>
          <w:rFonts w:ascii="Times New Roman" w:eastAsia="Times New Roman" w:hAnsi="Times New Roman" w:cs="Times New Roman"/>
          <w:bCs/>
          <w:szCs w:val="24"/>
        </w:rPr>
        <w:t>Pr</w:t>
      </w:r>
      <w:proofErr w:type="spellEnd"/>
      <w:r w:rsidR="009E6F61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Pr="00AE02B7">
        <w:rPr>
          <w:rFonts w:ascii="Times New Roman" w:eastAsia="Times New Roman" w:hAnsi="Times New Roman" w:cs="Times New Roman"/>
          <w:bCs/>
          <w:szCs w:val="24"/>
        </w:rPr>
        <w:t>34</w:t>
      </w:r>
    </w:p>
    <w:p w:rsidR="00AE02B7" w:rsidRPr="00AE02B7" w:rsidRDefault="00AE02B7" w:rsidP="00AE02B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bookmarkStart w:id="1" w:name="_Hlk40701662"/>
      <w:bookmarkEnd w:id="0"/>
      <w:r w:rsidRPr="00AE02B7">
        <w:rPr>
          <w:rFonts w:ascii="Times New Roman" w:eastAsia="Times New Roman" w:hAnsi="Times New Roman" w:cs="Times New Roman"/>
          <w:color w:val="auto"/>
          <w:szCs w:val="24"/>
        </w:rPr>
        <w:t>bankovní spojení: Komerční banka, a. s.</w:t>
      </w:r>
    </w:p>
    <w:p w:rsidR="00AE02B7" w:rsidRPr="003A489E" w:rsidRDefault="00AE02B7" w:rsidP="00AE02B7">
      <w:pPr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20"/>
          <w:szCs w:val="20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 xml:space="preserve">číslo účtu: </w:t>
      </w:r>
      <w:r w:rsidRPr="003A489E">
        <w:rPr>
          <w:rFonts w:ascii="Times New Roman" w:eastAsia="Times New Roman" w:hAnsi="Times New Roman" w:cs="Times New Roman"/>
          <w:color w:val="auto"/>
          <w:szCs w:val="24"/>
        </w:rPr>
        <w:t>9537621/0100</w:t>
      </w:r>
    </w:p>
    <w:bookmarkEnd w:id="1"/>
    <w:p w:rsidR="00AE02B7" w:rsidRPr="00972CA0" w:rsidRDefault="00AE02B7" w:rsidP="00AE02B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AE02B7">
        <w:rPr>
          <w:rFonts w:ascii="Times New Roman" w:eastAsia="Times New Roman" w:hAnsi="Times New Roman" w:cs="Times New Roman"/>
          <w:color w:val="auto"/>
          <w:szCs w:val="24"/>
        </w:rPr>
        <w:t>(dále „</w:t>
      </w:r>
      <w:proofErr w:type="spellStart"/>
      <w:r w:rsidR="009E6F61">
        <w:rPr>
          <w:rFonts w:ascii="Times New Roman" w:eastAsia="Times New Roman" w:hAnsi="Times New Roman" w:cs="Times New Roman"/>
          <w:color w:val="auto"/>
          <w:szCs w:val="24"/>
        </w:rPr>
        <w:t>Mu</w:t>
      </w:r>
      <w:r w:rsidR="00126386">
        <w:rPr>
          <w:rFonts w:ascii="Times New Roman" w:eastAsia="Times New Roman" w:hAnsi="Times New Roman" w:cs="Times New Roman"/>
          <w:color w:val="auto"/>
          <w:szCs w:val="24"/>
        </w:rPr>
        <w:t>MB</w:t>
      </w:r>
      <w:proofErr w:type="spellEnd"/>
      <w:r w:rsidRPr="00AE02B7">
        <w:rPr>
          <w:rFonts w:ascii="Times New Roman" w:eastAsia="Times New Roman" w:hAnsi="Times New Roman" w:cs="Times New Roman"/>
          <w:color w:val="auto"/>
          <w:szCs w:val="24"/>
        </w:rPr>
        <w:t xml:space="preserve">“) </w:t>
      </w:r>
    </w:p>
    <w:p w:rsidR="00AE02B7" w:rsidRDefault="00AE02B7">
      <w:pPr>
        <w:spacing w:after="0" w:line="259" w:lineRule="auto"/>
        <w:ind w:left="-5" w:hanging="10"/>
        <w:jc w:val="left"/>
        <w:rPr>
          <w:b/>
        </w:rPr>
      </w:pPr>
    </w:p>
    <w:p w:rsidR="00AE02B7" w:rsidRPr="005B7371" w:rsidRDefault="00AE02B7">
      <w:pPr>
        <w:spacing w:after="0" w:line="259" w:lineRule="auto"/>
        <w:ind w:left="-5" w:hanging="10"/>
        <w:jc w:val="left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a</w:t>
      </w:r>
    </w:p>
    <w:p w:rsidR="00AE02B7" w:rsidRDefault="00AE02B7">
      <w:pPr>
        <w:spacing w:after="0" w:line="259" w:lineRule="auto"/>
        <w:ind w:left="-5" w:hanging="10"/>
        <w:jc w:val="left"/>
        <w:rPr>
          <w:b/>
        </w:rPr>
      </w:pPr>
    </w:p>
    <w:p w:rsidR="00AE02B7" w:rsidRPr="009E6F61" w:rsidRDefault="00AE02B7" w:rsidP="009E6F61">
      <w:pPr>
        <w:spacing w:after="0" w:line="240" w:lineRule="auto"/>
        <w:ind w:left="-5" w:hanging="10"/>
        <w:jc w:val="left"/>
        <w:rPr>
          <w:rFonts w:ascii="Times New Roman" w:hAnsi="Times New Roman" w:cs="Times New Roman"/>
          <w:b/>
        </w:rPr>
      </w:pPr>
      <w:r w:rsidRPr="009E6F61">
        <w:rPr>
          <w:rFonts w:ascii="Times New Roman" w:hAnsi="Times New Roman" w:cs="Times New Roman"/>
          <w:b/>
        </w:rPr>
        <w:t>Muzeum Brněnska</w:t>
      </w:r>
      <w:r w:rsidR="009E6F61">
        <w:rPr>
          <w:rFonts w:ascii="Times New Roman" w:hAnsi="Times New Roman" w:cs="Times New Roman"/>
          <w:b/>
        </w:rPr>
        <w:t>, příspěvková organizace</w:t>
      </w:r>
      <w:r w:rsidRPr="009E6F61">
        <w:rPr>
          <w:rFonts w:ascii="Times New Roman" w:hAnsi="Times New Roman" w:cs="Times New Roman"/>
          <w:b/>
        </w:rPr>
        <w:t xml:space="preserve"> </w:t>
      </w:r>
    </w:p>
    <w:p w:rsidR="00AE02B7" w:rsidRPr="00DD1999" w:rsidRDefault="00AE02B7" w:rsidP="009E6F61">
      <w:pPr>
        <w:spacing w:after="0" w:line="240" w:lineRule="auto"/>
        <w:ind w:left="-5" w:hanging="10"/>
        <w:jc w:val="left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se sídlem</w:t>
      </w:r>
      <w:r w:rsidR="00B53E91" w:rsidRPr="00DD1999">
        <w:rPr>
          <w:rFonts w:ascii="Times New Roman" w:hAnsi="Times New Roman" w:cs="Times New Roman"/>
        </w:rPr>
        <w:t xml:space="preserve">: </w:t>
      </w:r>
      <w:r w:rsidRPr="00DD1999">
        <w:rPr>
          <w:rFonts w:ascii="Times New Roman" w:hAnsi="Times New Roman" w:cs="Times New Roman"/>
        </w:rPr>
        <w:t xml:space="preserve">Porta </w:t>
      </w:r>
      <w:proofErr w:type="spellStart"/>
      <w:r w:rsidR="00395403" w:rsidRPr="00DD1999">
        <w:rPr>
          <w:rFonts w:ascii="Times New Roman" w:hAnsi="Times New Roman" w:cs="Times New Roman"/>
        </w:rPr>
        <w:t>C</w:t>
      </w:r>
      <w:r w:rsidRPr="00DD1999">
        <w:rPr>
          <w:rFonts w:ascii="Times New Roman" w:hAnsi="Times New Roman" w:cs="Times New Roman"/>
        </w:rPr>
        <w:t>oeli</w:t>
      </w:r>
      <w:proofErr w:type="spellEnd"/>
      <w:r w:rsidRPr="00DD1999">
        <w:rPr>
          <w:rFonts w:ascii="Times New Roman" w:hAnsi="Times New Roman" w:cs="Times New Roman"/>
        </w:rPr>
        <w:t xml:space="preserve"> 1001, 666 02 Předklášteří </w:t>
      </w:r>
    </w:p>
    <w:p w:rsidR="00AE02B7" w:rsidRPr="00DD1999" w:rsidRDefault="00AE02B7" w:rsidP="009E6F61">
      <w:pPr>
        <w:spacing w:after="0" w:line="240" w:lineRule="auto"/>
        <w:ind w:left="-15" w:right="3180" w:firstLine="0"/>
        <w:rPr>
          <w:rStyle w:val="nowrap"/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IČO:</w:t>
      </w:r>
      <w:r w:rsidRPr="00DD1999">
        <w:rPr>
          <w:rStyle w:val="Nadpis1Char"/>
          <w:rFonts w:ascii="Times New Roman" w:hAnsi="Times New Roman" w:cs="Times New Roman"/>
        </w:rPr>
        <w:t xml:space="preserve"> </w:t>
      </w:r>
      <w:r w:rsidRPr="00DD1999">
        <w:rPr>
          <w:rStyle w:val="nowrap"/>
          <w:rFonts w:ascii="Times New Roman" w:hAnsi="Times New Roman" w:cs="Times New Roman"/>
        </w:rPr>
        <w:t>00089257</w:t>
      </w:r>
    </w:p>
    <w:p w:rsidR="009E6F61" w:rsidRPr="00DD1999" w:rsidRDefault="009E6F61" w:rsidP="009E6F61">
      <w:pPr>
        <w:spacing w:after="0" w:line="240" w:lineRule="auto"/>
        <w:ind w:left="-15" w:right="3180" w:firstLine="0"/>
        <w:rPr>
          <w:rFonts w:ascii="Times New Roman" w:hAnsi="Times New Roman" w:cs="Times New Roman"/>
        </w:rPr>
      </w:pPr>
      <w:r w:rsidRPr="00DD1999">
        <w:rPr>
          <w:rStyle w:val="nowrap"/>
          <w:rFonts w:ascii="Times New Roman" w:hAnsi="Times New Roman" w:cs="Times New Roman"/>
        </w:rPr>
        <w:t>DIČ</w:t>
      </w:r>
      <w:r w:rsidR="005673AC" w:rsidRPr="00DD1999">
        <w:rPr>
          <w:rStyle w:val="nowrap"/>
          <w:rFonts w:ascii="Times New Roman" w:hAnsi="Times New Roman" w:cs="Times New Roman"/>
        </w:rPr>
        <w:t xml:space="preserve">: </w:t>
      </w:r>
      <w:r w:rsidR="005673AC" w:rsidRPr="00DD1999">
        <w:rPr>
          <w:rFonts w:ascii="Times New Roman" w:hAnsi="Times New Roman" w:cs="Times New Roman"/>
          <w:color w:val="222222"/>
          <w:shd w:val="clear" w:color="auto" w:fill="FFFFFF"/>
        </w:rPr>
        <w:t>CZ00089257</w:t>
      </w:r>
    </w:p>
    <w:p w:rsidR="009E6F61" w:rsidRPr="00DD1999" w:rsidRDefault="00B53E91" w:rsidP="000C1FF2">
      <w:pPr>
        <w:tabs>
          <w:tab w:val="left" w:pos="9072"/>
        </w:tabs>
        <w:spacing w:after="0" w:line="240" w:lineRule="auto"/>
        <w:ind w:left="-15" w:right="5" w:firstLine="0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zastoupená:</w:t>
      </w:r>
      <w:r w:rsidR="009E6F61" w:rsidRPr="00DD1999">
        <w:rPr>
          <w:rFonts w:ascii="Times New Roman" w:hAnsi="Times New Roman" w:cs="Times New Roman"/>
        </w:rPr>
        <w:t xml:space="preserve"> </w:t>
      </w:r>
      <w:r w:rsidR="000C1FF2" w:rsidRPr="00DD1999">
        <w:rPr>
          <w:rFonts w:ascii="Times New Roman" w:hAnsi="Times New Roman" w:cs="Times New Roman"/>
        </w:rPr>
        <w:t xml:space="preserve">Ing., </w:t>
      </w:r>
      <w:proofErr w:type="spellStart"/>
      <w:r w:rsidR="000C1FF2" w:rsidRPr="00DD1999">
        <w:rPr>
          <w:rFonts w:ascii="Times New Roman" w:hAnsi="Times New Roman" w:cs="Times New Roman"/>
        </w:rPr>
        <w:t>ThLic</w:t>
      </w:r>
      <w:proofErr w:type="spellEnd"/>
      <w:r w:rsidR="000C1FF2" w:rsidRPr="00DD1999">
        <w:rPr>
          <w:rFonts w:ascii="Times New Roman" w:hAnsi="Times New Roman" w:cs="Times New Roman"/>
        </w:rPr>
        <w:t xml:space="preserve">. </w:t>
      </w:r>
      <w:r w:rsidR="009E6F61" w:rsidRPr="00DD1999">
        <w:rPr>
          <w:rFonts w:ascii="Times New Roman" w:hAnsi="Times New Roman" w:cs="Times New Roman"/>
        </w:rPr>
        <w:t xml:space="preserve">Evženem Martincem, </w:t>
      </w:r>
      <w:r w:rsidR="000C1FF2" w:rsidRPr="00DD1999">
        <w:rPr>
          <w:rFonts w:ascii="Times New Roman" w:hAnsi="Times New Roman" w:cs="Times New Roman"/>
        </w:rPr>
        <w:t>Ph.D., MBA, ř</w:t>
      </w:r>
      <w:r w:rsidR="009E6F61" w:rsidRPr="00DD1999">
        <w:rPr>
          <w:rFonts w:ascii="Times New Roman" w:hAnsi="Times New Roman" w:cs="Times New Roman"/>
        </w:rPr>
        <w:t>editelem</w:t>
      </w:r>
      <w:r w:rsidR="000C1FF2" w:rsidRPr="00DD1999">
        <w:rPr>
          <w:rFonts w:ascii="Times New Roman" w:hAnsi="Times New Roman" w:cs="Times New Roman"/>
        </w:rPr>
        <w:t xml:space="preserve"> organizace</w:t>
      </w:r>
      <w:r w:rsidR="009E6F61" w:rsidRPr="00DD1999">
        <w:rPr>
          <w:rFonts w:ascii="Times New Roman" w:hAnsi="Times New Roman" w:cs="Times New Roman"/>
        </w:rPr>
        <w:t xml:space="preserve"> </w:t>
      </w:r>
      <w:r w:rsidRPr="00DD1999">
        <w:rPr>
          <w:rFonts w:ascii="Times New Roman" w:hAnsi="Times New Roman" w:cs="Times New Roman"/>
        </w:rPr>
        <w:t xml:space="preserve"> </w:t>
      </w:r>
    </w:p>
    <w:p w:rsidR="009E6F61" w:rsidRPr="00DD1999" w:rsidRDefault="009E6F61" w:rsidP="009E6F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Cs w:val="24"/>
        </w:rPr>
      </w:pPr>
      <w:r w:rsidRPr="00DD1999">
        <w:rPr>
          <w:rFonts w:ascii="Times New Roman" w:eastAsia="Times New Roman" w:hAnsi="Times New Roman" w:cs="Times New Roman"/>
          <w:bCs/>
          <w:szCs w:val="24"/>
        </w:rPr>
        <w:t>zapsaná v</w:t>
      </w:r>
      <w:r w:rsidR="000C1FF2" w:rsidRPr="00DD1999">
        <w:rPr>
          <w:rFonts w:ascii="Times New Roman" w:eastAsia="Times New Roman" w:hAnsi="Times New Roman" w:cs="Times New Roman"/>
          <w:bCs/>
          <w:szCs w:val="24"/>
        </w:rPr>
        <w:t>e veřejném</w:t>
      </w:r>
      <w:r w:rsidRPr="00DD1999">
        <w:rPr>
          <w:rFonts w:ascii="Times New Roman" w:eastAsia="Times New Roman" w:hAnsi="Times New Roman" w:cs="Times New Roman"/>
          <w:bCs/>
          <w:szCs w:val="24"/>
        </w:rPr>
        <w:t xml:space="preserve"> rejstříku vedeném Krajským soudem v Brně, </w:t>
      </w:r>
      <w:proofErr w:type="spellStart"/>
      <w:r w:rsidRPr="00DD1999">
        <w:rPr>
          <w:rFonts w:ascii="Times New Roman" w:eastAsia="Times New Roman" w:hAnsi="Times New Roman" w:cs="Times New Roman"/>
          <w:bCs/>
          <w:szCs w:val="24"/>
        </w:rPr>
        <w:t>sp</w:t>
      </w:r>
      <w:proofErr w:type="spellEnd"/>
      <w:r w:rsidRPr="00DD1999">
        <w:rPr>
          <w:rFonts w:ascii="Times New Roman" w:eastAsia="Times New Roman" w:hAnsi="Times New Roman" w:cs="Times New Roman"/>
          <w:bCs/>
          <w:szCs w:val="24"/>
        </w:rPr>
        <w:t xml:space="preserve">. zn. </w:t>
      </w:r>
      <w:proofErr w:type="spellStart"/>
      <w:r w:rsidRPr="00DD1999">
        <w:rPr>
          <w:rFonts w:ascii="Times New Roman" w:eastAsia="Times New Roman" w:hAnsi="Times New Roman" w:cs="Times New Roman"/>
          <w:bCs/>
          <w:szCs w:val="24"/>
        </w:rPr>
        <w:t>Pr</w:t>
      </w:r>
      <w:proofErr w:type="spellEnd"/>
      <w:r w:rsidRPr="00DD1999">
        <w:rPr>
          <w:rFonts w:ascii="Times New Roman" w:eastAsia="Times New Roman" w:hAnsi="Times New Roman" w:cs="Times New Roman"/>
          <w:bCs/>
          <w:szCs w:val="24"/>
        </w:rPr>
        <w:t xml:space="preserve"> 1221</w:t>
      </w:r>
    </w:p>
    <w:p w:rsidR="009E6F61" w:rsidRPr="00DD1999" w:rsidRDefault="009E6F61" w:rsidP="009E6F6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DD1999">
        <w:rPr>
          <w:rFonts w:ascii="Times New Roman" w:eastAsia="Times New Roman" w:hAnsi="Times New Roman" w:cs="Times New Roman"/>
          <w:color w:val="auto"/>
          <w:szCs w:val="24"/>
        </w:rPr>
        <w:t xml:space="preserve">bankovní spojení: </w:t>
      </w:r>
      <w:r w:rsidR="005673AC" w:rsidRPr="00DD1999">
        <w:rPr>
          <w:rFonts w:ascii="Times New Roman" w:hAnsi="Times New Roman" w:cs="Times New Roman"/>
          <w:color w:val="222222"/>
          <w:shd w:val="clear" w:color="auto" w:fill="FFFFFF"/>
        </w:rPr>
        <w:t>Komerční banka, a.s.</w:t>
      </w:r>
    </w:p>
    <w:p w:rsidR="009E6F61" w:rsidRPr="00DD1999" w:rsidRDefault="005673AC" w:rsidP="009E6F6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1999">
        <w:rPr>
          <w:rFonts w:ascii="Times New Roman" w:eastAsia="Times New Roman" w:hAnsi="Times New Roman" w:cs="Times New Roman"/>
          <w:color w:val="auto"/>
          <w:szCs w:val="24"/>
        </w:rPr>
        <w:t xml:space="preserve">číslo účtu: </w:t>
      </w:r>
      <w:r w:rsidR="009E6F61" w:rsidRPr="00DD1999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DD1999">
        <w:rPr>
          <w:rFonts w:ascii="Times New Roman" w:hAnsi="Times New Roman" w:cs="Times New Roman"/>
          <w:color w:val="222222"/>
          <w:shd w:val="clear" w:color="auto" w:fill="FFFFFF"/>
        </w:rPr>
        <w:t>2532641/0100</w:t>
      </w:r>
    </w:p>
    <w:p w:rsidR="009E6F61" w:rsidRPr="00DD1999" w:rsidRDefault="009E6F61" w:rsidP="009E6F6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DD1999">
        <w:rPr>
          <w:rFonts w:ascii="Times New Roman" w:eastAsia="Times New Roman" w:hAnsi="Times New Roman" w:cs="Times New Roman"/>
          <w:color w:val="auto"/>
          <w:szCs w:val="24"/>
        </w:rPr>
        <w:t>(dále „M</w:t>
      </w:r>
      <w:r w:rsidR="00126386" w:rsidRPr="00DD1999">
        <w:rPr>
          <w:rFonts w:ascii="Times New Roman" w:eastAsia="Times New Roman" w:hAnsi="Times New Roman" w:cs="Times New Roman"/>
          <w:color w:val="auto"/>
          <w:szCs w:val="24"/>
        </w:rPr>
        <w:t>B</w:t>
      </w:r>
      <w:r w:rsidRPr="00DD1999">
        <w:rPr>
          <w:rFonts w:ascii="Times New Roman" w:eastAsia="Times New Roman" w:hAnsi="Times New Roman" w:cs="Times New Roman"/>
          <w:color w:val="auto"/>
          <w:szCs w:val="24"/>
        </w:rPr>
        <w:t xml:space="preserve">“) </w:t>
      </w:r>
    </w:p>
    <w:p w:rsidR="00126386" w:rsidRPr="00DD1999" w:rsidRDefault="00126386" w:rsidP="009E6F61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:rsidR="0033698B" w:rsidRPr="009E6F61" w:rsidRDefault="009E6F61" w:rsidP="009E6F61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nebo také „partneři“</w:t>
      </w:r>
      <w:r w:rsidR="00B53E91" w:rsidRPr="009E6F61">
        <w:rPr>
          <w:rFonts w:ascii="Times New Roman" w:hAnsi="Times New Roman" w:cs="Times New Roman"/>
        </w:rPr>
        <w:t xml:space="preserve"> </w:t>
      </w:r>
    </w:p>
    <w:p w:rsidR="0033698B" w:rsidRDefault="0033698B">
      <w:pPr>
        <w:spacing w:after="0" w:line="259" w:lineRule="auto"/>
        <w:ind w:left="0" w:firstLine="0"/>
        <w:jc w:val="left"/>
      </w:pPr>
    </w:p>
    <w:p w:rsidR="0033698B" w:rsidRPr="009E6F61" w:rsidRDefault="00B53E91">
      <w:pPr>
        <w:ind w:left="-15" w:firstLine="0"/>
        <w:rPr>
          <w:rFonts w:ascii="Times New Roman" w:hAnsi="Times New Roman" w:cs="Times New Roman"/>
        </w:rPr>
      </w:pPr>
      <w:r w:rsidRPr="009E6F61">
        <w:rPr>
          <w:rFonts w:ascii="Times New Roman" w:hAnsi="Times New Roman" w:cs="Times New Roman"/>
        </w:rPr>
        <w:t>uzavírají níže uve</w:t>
      </w:r>
      <w:r w:rsidR="00972CA0">
        <w:rPr>
          <w:rFonts w:ascii="Times New Roman" w:hAnsi="Times New Roman" w:cs="Times New Roman"/>
        </w:rPr>
        <w:t>deného dne, měsíce a roku tuto</w:t>
      </w:r>
    </w:p>
    <w:p w:rsidR="0033698B" w:rsidRDefault="0033698B">
      <w:pPr>
        <w:spacing w:after="17" w:line="259" w:lineRule="auto"/>
        <w:ind w:left="0" w:firstLine="0"/>
        <w:jc w:val="left"/>
      </w:pPr>
    </w:p>
    <w:p w:rsidR="0033698B" w:rsidRPr="009E6F61" w:rsidRDefault="00972CA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o vzájemné spolupráci</w:t>
      </w:r>
    </w:p>
    <w:p w:rsidR="0033698B" w:rsidRPr="009E6F61" w:rsidRDefault="0033698B">
      <w:pPr>
        <w:spacing w:after="0" w:line="259" w:lineRule="auto"/>
        <w:ind w:left="49" w:firstLine="0"/>
        <w:jc w:val="center"/>
        <w:rPr>
          <w:rFonts w:ascii="Times New Roman" w:hAnsi="Times New Roman" w:cs="Times New Roman"/>
          <w:szCs w:val="24"/>
        </w:rPr>
      </w:pPr>
    </w:p>
    <w:p w:rsidR="0033698B" w:rsidRPr="005B7371" w:rsidRDefault="00972CA0">
      <w:pPr>
        <w:ind w:left="10" w:right="4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</w:t>
      </w:r>
    </w:p>
    <w:p w:rsidR="0033698B" w:rsidRPr="00C80E16" w:rsidRDefault="00B53E91" w:rsidP="00C80E16">
      <w:pPr>
        <w:spacing w:after="120" w:line="240" w:lineRule="auto"/>
        <w:ind w:left="10" w:right="6" w:hanging="10"/>
        <w:jc w:val="center"/>
        <w:rPr>
          <w:rFonts w:ascii="Times New Roman" w:hAnsi="Times New Roman" w:cs="Times New Roman"/>
          <w:szCs w:val="24"/>
        </w:rPr>
      </w:pPr>
      <w:r w:rsidRPr="00C80E16">
        <w:rPr>
          <w:rFonts w:ascii="Times New Roman" w:eastAsia="Arial" w:hAnsi="Times New Roman" w:cs="Times New Roman"/>
          <w:b/>
          <w:szCs w:val="24"/>
        </w:rPr>
        <w:t>Úvodní ustanovení</w:t>
      </w:r>
    </w:p>
    <w:p w:rsidR="00ED39CC" w:rsidRPr="00593860" w:rsidRDefault="009E6F61" w:rsidP="00593860">
      <w:pPr>
        <w:numPr>
          <w:ilvl w:val="0"/>
          <w:numId w:val="1"/>
        </w:numPr>
        <w:spacing w:after="120" w:line="240" w:lineRule="auto"/>
        <w:ind w:left="142" w:hanging="425"/>
        <w:rPr>
          <w:rFonts w:ascii="Times New Roman" w:hAnsi="Times New Roman" w:cs="Times New Roman"/>
        </w:rPr>
      </w:pPr>
      <w:bookmarkStart w:id="2" w:name="_Hlk40702439"/>
      <w:r w:rsidRPr="00593860">
        <w:rPr>
          <w:rFonts w:ascii="Times New Roman" w:hAnsi="Times New Roman" w:cs="Times New Roman"/>
        </w:rPr>
        <w:t>Muzeum města B</w:t>
      </w:r>
      <w:r w:rsidR="00ED39CC" w:rsidRPr="00593860">
        <w:rPr>
          <w:rFonts w:ascii="Times New Roman" w:hAnsi="Times New Roman" w:cs="Times New Roman"/>
        </w:rPr>
        <w:t xml:space="preserve">rna </w:t>
      </w:r>
      <w:bookmarkEnd w:id="2"/>
      <w:r w:rsidR="00ED39CC" w:rsidRPr="00593860">
        <w:rPr>
          <w:rFonts w:ascii="Times New Roman" w:hAnsi="Times New Roman" w:cs="Times New Roman"/>
        </w:rPr>
        <w:t>je příspěvkovou organizací zřízenou statutárním městem Brnem. Dle zřizovací listiny má Muzeum města Brna</w:t>
      </w:r>
      <w:r w:rsidR="005B7371" w:rsidRPr="00593860">
        <w:rPr>
          <w:rFonts w:ascii="Times New Roman" w:hAnsi="Times New Roman" w:cs="Times New Roman"/>
        </w:rPr>
        <w:t xml:space="preserve">, p. o., </w:t>
      </w:r>
      <w:r w:rsidR="00ED39CC" w:rsidRPr="00593860">
        <w:rPr>
          <w:rFonts w:ascii="Times New Roman" w:hAnsi="Times New Roman" w:cs="Times New Roman"/>
        </w:rPr>
        <w:t>právo k hospodaření k nemovitým věcem mj. pozemku p. č. 3366, ostatní plocha, zeleň (NKP vila Tugendhat)</w:t>
      </w:r>
      <w:r w:rsidR="0052514E" w:rsidRPr="00593860">
        <w:rPr>
          <w:rFonts w:ascii="Times New Roman" w:hAnsi="Times New Roman" w:cs="Times New Roman"/>
        </w:rPr>
        <w:t>,</w:t>
      </w:r>
      <w:r w:rsidR="00ED39CC" w:rsidRPr="00593860">
        <w:rPr>
          <w:rFonts w:ascii="Times New Roman" w:hAnsi="Times New Roman" w:cs="Times New Roman"/>
        </w:rPr>
        <w:t xml:space="preserve"> v k. ú Černá Pole, obec Brno</w:t>
      </w:r>
      <w:r w:rsidR="00B247F4" w:rsidRPr="00593860">
        <w:rPr>
          <w:rFonts w:ascii="Times New Roman" w:hAnsi="Times New Roman" w:cs="Times New Roman"/>
        </w:rPr>
        <w:t xml:space="preserve"> (dále také</w:t>
      </w:r>
      <w:r w:rsidR="00243DB1" w:rsidRPr="00593860">
        <w:rPr>
          <w:rFonts w:ascii="Times New Roman" w:hAnsi="Times New Roman" w:cs="Times New Roman"/>
        </w:rPr>
        <w:t xml:space="preserve"> zahrada VT)</w:t>
      </w:r>
      <w:r w:rsidR="00ED39CC" w:rsidRPr="00593860">
        <w:rPr>
          <w:rFonts w:ascii="Times New Roman" w:hAnsi="Times New Roman" w:cs="Times New Roman"/>
        </w:rPr>
        <w:t>.</w:t>
      </w:r>
    </w:p>
    <w:p w:rsidR="00C244AD" w:rsidRPr="00593860" w:rsidRDefault="00EC7BD9" w:rsidP="00593860">
      <w:pPr>
        <w:numPr>
          <w:ilvl w:val="0"/>
          <w:numId w:val="1"/>
        </w:numPr>
        <w:spacing w:after="120" w:line="240" w:lineRule="auto"/>
        <w:ind w:left="142" w:hanging="425"/>
        <w:rPr>
          <w:rFonts w:ascii="Times New Roman" w:hAnsi="Times New Roman" w:cs="Times New Roman"/>
        </w:rPr>
      </w:pPr>
      <w:r w:rsidRPr="00593860">
        <w:rPr>
          <w:rFonts w:ascii="Times New Roman" w:hAnsi="Times New Roman" w:cs="Times New Roman"/>
        </w:rPr>
        <w:lastRenderedPageBreak/>
        <w:t>Muzeum Brněnska j</w:t>
      </w:r>
      <w:r w:rsidR="0052514E" w:rsidRPr="00593860">
        <w:rPr>
          <w:rFonts w:ascii="Times New Roman" w:hAnsi="Times New Roman" w:cs="Times New Roman"/>
        </w:rPr>
        <w:t>e příspěvkovou organizací zřízenou Jihomoravským krajem. Dle zřizovací listiny má Muzeum města Brněnska</w:t>
      </w:r>
      <w:r w:rsidR="005B7371" w:rsidRPr="00593860">
        <w:rPr>
          <w:rFonts w:ascii="Times New Roman" w:hAnsi="Times New Roman" w:cs="Times New Roman"/>
        </w:rPr>
        <w:t xml:space="preserve">, p. o., </w:t>
      </w:r>
      <w:r w:rsidR="0052514E" w:rsidRPr="00593860">
        <w:rPr>
          <w:rFonts w:ascii="Times New Roman" w:hAnsi="Times New Roman" w:cs="Times New Roman"/>
        </w:rPr>
        <w:t>právo k hospodaření k nemovitým věcem mj. pozemku p. č. 3328</w:t>
      </w:r>
      <w:r w:rsidRPr="00593860">
        <w:rPr>
          <w:rFonts w:ascii="Times New Roman" w:hAnsi="Times New Roman" w:cs="Times New Roman"/>
        </w:rPr>
        <w:t>, ostatní plocha, zeleň (ochranné pásmo</w:t>
      </w:r>
      <w:r w:rsidR="00C80E16" w:rsidRPr="00593860">
        <w:rPr>
          <w:rFonts w:ascii="Times New Roman" w:hAnsi="Times New Roman" w:cs="Times New Roman"/>
        </w:rPr>
        <w:t xml:space="preserve"> nemovité</w:t>
      </w:r>
      <w:r w:rsidRPr="00593860">
        <w:rPr>
          <w:rFonts w:ascii="Times New Roman" w:hAnsi="Times New Roman" w:cs="Times New Roman"/>
        </w:rPr>
        <w:t xml:space="preserve"> KP</w:t>
      </w:r>
      <w:r w:rsidR="00243DB1" w:rsidRPr="00593860">
        <w:rPr>
          <w:rFonts w:ascii="Times New Roman" w:hAnsi="Times New Roman" w:cs="Times New Roman"/>
        </w:rPr>
        <w:t xml:space="preserve">, vila </w:t>
      </w:r>
      <w:proofErr w:type="spellStart"/>
      <w:r w:rsidR="00243DB1" w:rsidRPr="00593860">
        <w:rPr>
          <w:rFonts w:ascii="Times New Roman" w:hAnsi="Times New Roman" w:cs="Times New Roman"/>
        </w:rPr>
        <w:t>L</w:t>
      </w:r>
      <w:r w:rsidR="007D034A" w:rsidRPr="00593860">
        <w:rPr>
          <w:rFonts w:ascii="Times New Roman" w:hAnsi="Times New Roman" w:cs="Times New Roman"/>
        </w:rPr>
        <w:t>ö</w:t>
      </w:r>
      <w:r w:rsidR="00106DEB" w:rsidRPr="00593860">
        <w:rPr>
          <w:rFonts w:ascii="Times New Roman" w:hAnsi="Times New Roman" w:cs="Times New Roman"/>
        </w:rPr>
        <w:t>w</w:t>
      </w:r>
      <w:proofErr w:type="spellEnd"/>
      <w:r w:rsidR="00106DEB" w:rsidRPr="00593860">
        <w:rPr>
          <w:rFonts w:ascii="Times New Roman" w:hAnsi="Times New Roman" w:cs="Times New Roman"/>
        </w:rPr>
        <w:t>-</w:t>
      </w:r>
      <w:r w:rsidR="00243DB1" w:rsidRPr="00593860">
        <w:rPr>
          <w:rFonts w:ascii="Times New Roman" w:hAnsi="Times New Roman" w:cs="Times New Roman"/>
        </w:rPr>
        <w:t>Beer</w:t>
      </w:r>
      <w:r w:rsidRPr="00593860">
        <w:rPr>
          <w:rFonts w:ascii="Times New Roman" w:hAnsi="Times New Roman" w:cs="Times New Roman"/>
        </w:rPr>
        <w:t>)</w:t>
      </w:r>
      <w:r w:rsidR="00CC0AC1" w:rsidRPr="00593860">
        <w:rPr>
          <w:rFonts w:ascii="Times New Roman" w:hAnsi="Times New Roman" w:cs="Times New Roman"/>
        </w:rPr>
        <w:t>,</w:t>
      </w:r>
      <w:r w:rsidRPr="00593860">
        <w:rPr>
          <w:rFonts w:ascii="Times New Roman" w:hAnsi="Times New Roman" w:cs="Times New Roman"/>
        </w:rPr>
        <w:t xml:space="preserve"> v k. </w:t>
      </w:r>
      <w:proofErr w:type="spellStart"/>
      <w:r w:rsidRPr="00593860">
        <w:rPr>
          <w:rFonts w:ascii="Times New Roman" w:hAnsi="Times New Roman" w:cs="Times New Roman"/>
        </w:rPr>
        <w:t>ú</w:t>
      </w:r>
      <w:r w:rsidR="00106DEB" w:rsidRPr="00593860">
        <w:rPr>
          <w:rFonts w:ascii="Times New Roman" w:hAnsi="Times New Roman" w:cs="Times New Roman"/>
        </w:rPr>
        <w:t>.</w:t>
      </w:r>
      <w:proofErr w:type="spellEnd"/>
      <w:r w:rsidRPr="00593860">
        <w:rPr>
          <w:rFonts w:ascii="Times New Roman" w:hAnsi="Times New Roman" w:cs="Times New Roman"/>
        </w:rPr>
        <w:t xml:space="preserve"> Černá pole, obec Brno</w:t>
      </w:r>
      <w:r w:rsidR="00B247F4" w:rsidRPr="00593860">
        <w:rPr>
          <w:rFonts w:ascii="Times New Roman" w:hAnsi="Times New Roman" w:cs="Times New Roman"/>
        </w:rPr>
        <w:t xml:space="preserve"> (dále také</w:t>
      </w:r>
      <w:r w:rsidR="00243DB1" w:rsidRPr="00593860">
        <w:rPr>
          <w:rFonts w:ascii="Times New Roman" w:hAnsi="Times New Roman" w:cs="Times New Roman"/>
        </w:rPr>
        <w:t xml:space="preserve"> zahrada VLB)</w:t>
      </w:r>
      <w:r w:rsidRPr="00593860">
        <w:rPr>
          <w:rFonts w:ascii="Times New Roman" w:hAnsi="Times New Roman" w:cs="Times New Roman"/>
        </w:rPr>
        <w:t>.</w:t>
      </w:r>
      <w:r w:rsidR="0052514E" w:rsidRPr="00593860">
        <w:rPr>
          <w:rFonts w:ascii="Times New Roman" w:hAnsi="Times New Roman" w:cs="Times New Roman"/>
        </w:rPr>
        <w:t xml:space="preserve">  </w:t>
      </w:r>
    </w:p>
    <w:p w:rsidR="00C82D8D" w:rsidRPr="00DD1999" w:rsidRDefault="00243DB1" w:rsidP="003A489E">
      <w:pPr>
        <w:pStyle w:val="Odstavecseseznamem"/>
        <w:numPr>
          <w:ilvl w:val="0"/>
          <w:numId w:val="1"/>
        </w:numPr>
        <w:spacing w:after="120" w:line="240" w:lineRule="auto"/>
        <w:ind w:left="142"/>
        <w:rPr>
          <w:rFonts w:ascii="Times New Roman" w:hAnsi="Times New Roman" w:cs="Times New Roman"/>
          <w:szCs w:val="24"/>
        </w:rPr>
      </w:pPr>
      <w:r w:rsidRPr="00593860">
        <w:rPr>
          <w:rFonts w:ascii="Times New Roman" w:hAnsi="Times New Roman" w:cs="Times New Roman"/>
          <w:szCs w:val="24"/>
        </w:rPr>
        <w:t>K</w:t>
      </w:r>
      <w:r w:rsidR="00B247F4" w:rsidRPr="00593860">
        <w:rPr>
          <w:rFonts w:ascii="Times New Roman" w:hAnsi="Times New Roman" w:cs="Times New Roman"/>
          <w:szCs w:val="24"/>
        </w:rPr>
        <w:t xml:space="preserve">  </w:t>
      </w:r>
      <w:r w:rsidRPr="00593860">
        <w:rPr>
          <w:rFonts w:ascii="Times New Roman" w:hAnsi="Times New Roman" w:cs="Times New Roman"/>
          <w:szCs w:val="24"/>
        </w:rPr>
        <w:t xml:space="preserve">propojení zahrad </w:t>
      </w:r>
      <w:r w:rsidRPr="00DD1999">
        <w:rPr>
          <w:rFonts w:ascii="Times New Roman" w:hAnsi="Times New Roman" w:cs="Times New Roman"/>
          <w:szCs w:val="24"/>
        </w:rPr>
        <w:t xml:space="preserve">došlo </w:t>
      </w:r>
      <w:r w:rsidR="00AD4C07" w:rsidRPr="00DD1999">
        <w:rPr>
          <w:rFonts w:ascii="Times New Roman" w:hAnsi="Times New Roman" w:cs="Times New Roman"/>
          <w:szCs w:val="24"/>
        </w:rPr>
        <w:t>v roce 20</w:t>
      </w:r>
      <w:r w:rsidR="00A1167A" w:rsidRPr="00DD1999">
        <w:rPr>
          <w:rFonts w:ascii="Times New Roman" w:hAnsi="Times New Roman" w:cs="Times New Roman"/>
          <w:szCs w:val="24"/>
        </w:rPr>
        <w:t>20</w:t>
      </w:r>
      <w:r w:rsidR="00AD4C07" w:rsidRPr="00DD1999">
        <w:rPr>
          <w:rFonts w:ascii="Times New Roman" w:hAnsi="Times New Roman" w:cs="Times New Roman"/>
          <w:szCs w:val="24"/>
        </w:rPr>
        <w:t xml:space="preserve">. </w:t>
      </w:r>
      <w:r w:rsidR="00ED39CC" w:rsidRPr="00DD1999">
        <w:rPr>
          <w:rFonts w:ascii="Times New Roman" w:hAnsi="Times New Roman" w:cs="Times New Roman"/>
        </w:rPr>
        <w:t xml:space="preserve">Partneři </w:t>
      </w:r>
      <w:r w:rsidRPr="00DD1999">
        <w:rPr>
          <w:rFonts w:ascii="Times New Roman" w:hAnsi="Times New Roman" w:cs="Times New Roman"/>
        </w:rPr>
        <w:t xml:space="preserve">mají společný zájem stanovit režim </w:t>
      </w:r>
      <w:r w:rsidR="00B247F4" w:rsidRPr="00DD1999">
        <w:rPr>
          <w:rFonts w:ascii="Times New Roman" w:hAnsi="Times New Roman" w:cs="Times New Roman"/>
        </w:rPr>
        <w:t xml:space="preserve">propojení </w:t>
      </w:r>
      <w:r w:rsidRPr="00DD1999">
        <w:rPr>
          <w:rFonts w:ascii="Times New Roman" w:hAnsi="Times New Roman" w:cs="Times New Roman"/>
        </w:rPr>
        <w:t xml:space="preserve">zahrad </w:t>
      </w:r>
      <w:r w:rsidR="00B247F4" w:rsidRPr="00DD1999">
        <w:rPr>
          <w:rFonts w:ascii="Times New Roman" w:hAnsi="Times New Roman" w:cs="Times New Roman"/>
        </w:rPr>
        <w:t xml:space="preserve">(zpřístupnění </w:t>
      </w:r>
      <w:r w:rsidRPr="00DD1999">
        <w:rPr>
          <w:rFonts w:ascii="Times New Roman" w:hAnsi="Times New Roman" w:cs="Times New Roman"/>
        </w:rPr>
        <w:t>veřejnosti</w:t>
      </w:r>
      <w:r w:rsidR="00B247F4" w:rsidRPr="00DD1999">
        <w:rPr>
          <w:rFonts w:ascii="Times New Roman" w:hAnsi="Times New Roman" w:cs="Times New Roman"/>
        </w:rPr>
        <w:t>),</w:t>
      </w:r>
      <w:r w:rsidRPr="00DD1999">
        <w:rPr>
          <w:rFonts w:ascii="Times New Roman" w:hAnsi="Times New Roman" w:cs="Times New Roman"/>
        </w:rPr>
        <w:t xml:space="preserve"> dle </w:t>
      </w:r>
      <w:r w:rsidR="008F2703" w:rsidRPr="00DD1999">
        <w:rPr>
          <w:rFonts w:ascii="Times New Roman" w:hAnsi="Times New Roman" w:cs="Times New Roman"/>
        </w:rPr>
        <w:t>podmínek</w:t>
      </w:r>
      <w:r w:rsidRPr="00DD1999">
        <w:rPr>
          <w:rFonts w:ascii="Times New Roman" w:hAnsi="Times New Roman" w:cs="Times New Roman"/>
        </w:rPr>
        <w:t xml:space="preserve"> </w:t>
      </w:r>
      <w:r w:rsidR="00C80E16" w:rsidRPr="00DD1999">
        <w:rPr>
          <w:rFonts w:ascii="Times New Roman" w:hAnsi="Times New Roman" w:cs="Times New Roman"/>
        </w:rPr>
        <w:t>této smlouvy</w:t>
      </w:r>
      <w:r w:rsidR="008F2703" w:rsidRPr="00DD1999">
        <w:rPr>
          <w:rFonts w:ascii="Times New Roman" w:hAnsi="Times New Roman" w:cs="Times New Roman"/>
        </w:rPr>
        <w:t>.</w:t>
      </w:r>
      <w:r w:rsidR="00B247F4" w:rsidRPr="00DD1999">
        <w:rPr>
          <w:rFonts w:ascii="Times New Roman" w:hAnsi="Times New Roman" w:cs="Times New Roman"/>
          <w:szCs w:val="24"/>
        </w:rPr>
        <w:t xml:space="preserve"> Plánek propojení zahrad tvoří přílohu č</w:t>
      </w:r>
      <w:r w:rsidR="005B7371" w:rsidRPr="00DD1999">
        <w:rPr>
          <w:rFonts w:ascii="Times New Roman" w:hAnsi="Times New Roman" w:cs="Times New Roman"/>
          <w:szCs w:val="24"/>
        </w:rPr>
        <w:t xml:space="preserve">. 1 </w:t>
      </w:r>
      <w:r w:rsidR="00B247F4" w:rsidRPr="00DD1999">
        <w:rPr>
          <w:rFonts w:ascii="Times New Roman" w:hAnsi="Times New Roman" w:cs="Times New Roman"/>
          <w:szCs w:val="24"/>
        </w:rPr>
        <w:t>této smlouvy.</w:t>
      </w:r>
    </w:p>
    <w:p w:rsidR="00B247F4" w:rsidRPr="00DD1999" w:rsidRDefault="00B247F4" w:rsidP="00946BA1">
      <w:pPr>
        <w:pStyle w:val="Odstavecseseznamem"/>
        <w:spacing w:after="120" w:line="240" w:lineRule="auto"/>
        <w:ind w:left="426" w:firstLine="0"/>
        <w:jc w:val="center"/>
        <w:rPr>
          <w:rFonts w:ascii="Times New Roman" w:hAnsi="Times New Roman" w:cs="Times New Roman"/>
          <w:szCs w:val="24"/>
        </w:rPr>
      </w:pPr>
    </w:p>
    <w:p w:rsidR="0033698B" w:rsidRPr="00DD1999" w:rsidRDefault="00972CA0">
      <w:pPr>
        <w:spacing w:after="4" w:line="259" w:lineRule="auto"/>
        <w:ind w:left="10" w:right="4" w:hanging="10"/>
        <w:jc w:val="center"/>
        <w:rPr>
          <w:rFonts w:ascii="Times New Roman" w:hAnsi="Times New Roman" w:cs="Times New Roman"/>
          <w:szCs w:val="24"/>
        </w:rPr>
      </w:pPr>
      <w:r w:rsidRPr="00DD1999">
        <w:rPr>
          <w:rFonts w:ascii="Times New Roman" w:eastAsia="Arial" w:hAnsi="Times New Roman" w:cs="Times New Roman"/>
          <w:b/>
          <w:szCs w:val="24"/>
        </w:rPr>
        <w:t>III.</w:t>
      </w:r>
    </w:p>
    <w:p w:rsidR="0033698B" w:rsidRPr="00DD1999" w:rsidRDefault="00B53E91" w:rsidP="00B247F4">
      <w:pPr>
        <w:spacing w:after="120" w:line="259" w:lineRule="auto"/>
        <w:ind w:left="10" w:right="3" w:hanging="10"/>
        <w:jc w:val="center"/>
        <w:rPr>
          <w:rFonts w:ascii="Times New Roman" w:hAnsi="Times New Roman" w:cs="Times New Roman"/>
          <w:szCs w:val="24"/>
        </w:rPr>
      </w:pPr>
      <w:r w:rsidRPr="00DD1999">
        <w:rPr>
          <w:rFonts w:ascii="Times New Roman" w:eastAsia="Arial" w:hAnsi="Times New Roman" w:cs="Times New Roman"/>
          <w:b/>
          <w:szCs w:val="24"/>
        </w:rPr>
        <w:t>Předmět smlouvy</w:t>
      </w:r>
      <w:r w:rsidRPr="00DD1999">
        <w:rPr>
          <w:rFonts w:ascii="Times New Roman" w:eastAsia="Arial" w:hAnsi="Times New Roman" w:cs="Times New Roman"/>
          <w:szCs w:val="24"/>
        </w:rPr>
        <w:t xml:space="preserve"> </w:t>
      </w:r>
    </w:p>
    <w:p w:rsidR="00C80E16" w:rsidRPr="00DD1999" w:rsidRDefault="00B53E91" w:rsidP="00946BA1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  <w:szCs w:val="24"/>
        </w:rPr>
        <w:t xml:space="preserve">Předmětem této smlouvy je </w:t>
      </w:r>
      <w:r w:rsidR="00862612" w:rsidRPr="00DD1999">
        <w:rPr>
          <w:rFonts w:ascii="Times New Roman" w:hAnsi="Times New Roman" w:cs="Times New Roman"/>
          <w:szCs w:val="24"/>
        </w:rPr>
        <w:t>stanovení rozsahu a způsobu spolupráce</w:t>
      </w:r>
      <w:r w:rsidRPr="00DD1999">
        <w:rPr>
          <w:rFonts w:ascii="Times New Roman" w:hAnsi="Times New Roman" w:cs="Times New Roman"/>
          <w:szCs w:val="24"/>
        </w:rPr>
        <w:t xml:space="preserve"> za účelem zajištění </w:t>
      </w:r>
      <w:r w:rsidR="005B7371" w:rsidRPr="00DD1999">
        <w:rPr>
          <w:rFonts w:ascii="Times New Roman" w:hAnsi="Times New Roman" w:cs="Times New Roman"/>
          <w:szCs w:val="24"/>
        </w:rPr>
        <w:t xml:space="preserve">režimu </w:t>
      </w:r>
      <w:r w:rsidR="00C80E16" w:rsidRPr="00DD1999">
        <w:rPr>
          <w:rFonts w:ascii="Times New Roman" w:hAnsi="Times New Roman" w:cs="Times New Roman"/>
        </w:rPr>
        <w:t>propojení</w:t>
      </w:r>
      <w:r w:rsidR="007067A4" w:rsidRPr="00DD1999">
        <w:rPr>
          <w:rFonts w:ascii="Times New Roman" w:hAnsi="Times New Roman" w:cs="Times New Roman"/>
        </w:rPr>
        <w:t xml:space="preserve"> (zpřístupnění)</w:t>
      </w:r>
      <w:r w:rsidR="00C80E16" w:rsidRPr="00DD1999">
        <w:rPr>
          <w:rFonts w:ascii="Times New Roman" w:hAnsi="Times New Roman" w:cs="Times New Roman"/>
        </w:rPr>
        <w:t xml:space="preserve"> zahrad</w:t>
      </w:r>
      <w:r w:rsidR="00862612" w:rsidRPr="00DD1999">
        <w:rPr>
          <w:rFonts w:ascii="Times New Roman" w:hAnsi="Times New Roman" w:cs="Times New Roman"/>
        </w:rPr>
        <w:t xml:space="preserve"> předaných </w:t>
      </w:r>
      <w:r w:rsidR="00A00F20" w:rsidRPr="00DD1999">
        <w:rPr>
          <w:rFonts w:ascii="Times New Roman" w:hAnsi="Times New Roman" w:cs="Times New Roman"/>
        </w:rPr>
        <w:t xml:space="preserve">partnerům </w:t>
      </w:r>
      <w:r w:rsidR="00862612" w:rsidRPr="00DD1999">
        <w:rPr>
          <w:rFonts w:ascii="Times New Roman" w:hAnsi="Times New Roman" w:cs="Times New Roman"/>
        </w:rPr>
        <w:t>k</w:t>
      </w:r>
      <w:r w:rsidR="00A00F20" w:rsidRPr="00DD1999">
        <w:rPr>
          <w:rFonts w:ascii="Times New Roman" w:hAnsi="Times New Roman" w:cs="Times New Roman"/>
        </w:rPr>
        <w:t> hospodaření.</w:t>
      </w:r>
    </w:p>
    <w:p w:rsidR="00946BA1" w:rsidRPr="00DD1999" w:rsidRDefault="00946BA1" w:rsidP="00946BA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33698B" w:rsidRPr="00DD1999" w:rsidRDefault="00972CA0">
      <w:pPr>
        <w:spacing w:after="4" w:line="259" w:lineRule="auto"/>
        <w:ind w:left="10" w:right="4" w:hanging="10"/>
        <w:jc w:val="center"/>
        <w:rPr>
          <w:rFonts w:ascii="Times New Roman" w:hAnsi="Times New Roman" w:cs="Times New Roman"/>
          <w:szCs w:val="24"/>
        </w:rPr>
      </w:pPr>
      <w:r w:rsidRPr="00DD1999">
        <w:rPr>
          <w:rFonts w:ascii="Times New Roman" w:eastAsia="Arial" w:hAnsi="Times New Roman" w:cs="Times New Roman"/>
          <w:b/>
          <w:szCs w:val="24"/>
        </w:rPr>
        <w:t>IV.</w:t>
      </w:r>
    </w:p>
    <w:p w:rsidR="0033698B" w:rsidRPr="00DD1999" w:rsidRDefault="009E43E6" w:rsidP="0089498A">
      <w:pPr>
        <w:spacing w:after="120" w:line="240" w:lineRule="auto"/>
        <w:ind w:left="10" w:right="5" w:hanging="10"/>
        <w:jc w:val="center"/>
        <w:rPr>
          <w:rFonts w:ascii="Times New Roman" w:hAnsi="Times New Roman" w:cs="Times New Roman"/>
          <w:szCs w:val="24"/>
        </w:rPr>
      </w:pPr>
      <w:r w:rsidRPr="00DD1999">
        <w:rPr>
          <w:rFonts w:ascii="Times New Roman" w:eastAsia="Arial" w:hAnsi="Times New Roman" w:cs="Times New Roman"/>
          <w:b/>
          <w:szCs w:val="24"/>
        </w:rPr>
        <w:t>Režim propojení zahrad a p</w:t>
      </w:r>
      <w:r w:rsidR="00B53E91" w:rsidRPr="00DD1999">
        <w:rPr>
          <w:rFonts w:ascii="Times New Roman" w:eastAsia="Arial" w:hAnsi="Times New Roman" w:cs="Times New Roman"/>
          <w:b/>
          <w:szCs w:val="24"/>
        </w:rPr>
        <w:t xml:space="preserve">ovinnosti </w:t>
      </w:r>
      <w:r w:rsidR="0089498A" w:rsidRPr="00DD1999">
        <w:rPr>
          <w:rFonts w:ascii="Times New Roman" w:eastAsia="Arial" w:hAnsi="Times New Roman" w:cs="Times New Roman"/>
          <w:b/>
          <w:szCs w:val="24"/>
        </w:rPr>
        <w:t>partnerů</w:t>
      </w:r>
    </w:p>
    <w:p w:rsidR="00593860" w:rsidRPr="00DD1999" w:rsidRDefault="0089498A" w:rsidP="00946BA1">
      <w:pPr>
        <w:pStyle w:val="Odstavecseseznamem"/>
        <w:numPr>
          <w:ilvl w:val="0"/>
          <w:numId w:val="16"/>
        </w:numPr>
        <w:spacing w:after="0" w:line="240" w:lineRule="auto"/>
        <w:ind w:left="283" w:hanging="425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Propojení zahrad</w:t>
      </w:r>
      <w:r w:rsidRPr="00DD1999">
        <w:rPr>
          <w:rFonts w:ascii="Times New Roman" w:hAnsi="Times New Roman" w:cs="Times New Roman"/>
          <w:bCs/>
        </w:rPr>
        <w:t xml:space="preserve"> se děje turniketem umístěným v plotě oddělujícím oba pozemky.</w:t>
      </w:r>
      <w:r w:rsidRPr="00DD1999">
        <w:rPr>
          <w:rFonts w:ascii="Times New Roman" w:hAnsi="Times New Roman" w:cs="Times New Roman"/>
        </w:rPr>
        <w:t xml:space="preserve"> P</w:t>
      </w:r>
      <w:r w:rsidRPr="00DD1999">
        <w:rPr>
          <w:rFonts w:ascii="Times New Roman" w:hAnsi="Times New Roman" w:cs="Times New Roman"/>
          <w:bCs/>
        </w:rPr>
        <w:t xml:space="preserve">lot a turniket je na pozemku p. č. 3366. Turniket </w:t>
      </w:r>
      <w:r w:rsidRPr="00DD1999">
        <w:rPr>
          <w:rFonts w:ascii="Times New Roman" w:hAnsi="Times New Roman" w:cs="Times New Roman"/>
        </w:rPr>
        <w:t>umožňuje průchod ze zahrady VT do zahrady VLB volně, obráceně, ze zahrady VLB do zahrady VT</w:t>
      </w:r>
      <w:r w:rsidR="00126386" w:rsidRPr="00DD1999">
        <w:rPr>
          <w:rFonts w:ascii="Times New Roman" w:hAnsi="Times New Roman" w:cs="Times New Roman"/>
        </w:rPr>
        <w:t>,</w:t>
      </w:r>
      <w:r w:rsidRPr="00DD1999">
        <w:rPr>
          <w:rFonts w:ascii="Times New Roman" w:hAnsi="Times New Roman" w:cs="Times New Roman"/>
        </w:rPr>
        <w:t xml:space="preserve"> po načtení čárového kódu vytištěn</w:t>
      </w:r>
      <w:r w:rsidR="00B5572C" w:rsidRPr="00DD1999">
        <w:rPr>
          <w:rFonts w:ascii="Times New Roman" w:hAnsi="Times New Roman" w:cs="Times New Roman"/>
        </w:rPr>
        <w:t>ého na vstupence, prodávané v prostorách vily Tugendhat (V</w:t>
      </w:r>
      <w:r w:rsidRPr="00DD1999">
        <w:rPr>
          <w:rFonts w:ascii="Times New Roman" w:hAnsi="Times New Roman" w:cs="Times New Roman"/>
        </w:rPr>
        <w:t>T</w:t>
      </w:r>
      <w:r w:rsidR="00B5572C" w:rsidRPr="00DD1999">
        <w:rPr>
          <w:rFonts w:ascii="Times New Roman" w:hAnsi="Times New Roman" w:cs="Times New Roman"/>
        </w:rPr>
        <w:t>)</w:t>
      </w:r>
      <w:r w:rsidR="007067A4" w:rsidRPr="00DD1999">
        <w:rPr>
          <w:rFonts w:ascii="Times New Roman" w:hAnsi="Times New Roman" w:cs="Times New Roman"/>
        </w:rPr>
        <w:t>,</w:t>
      </w:r>
      <w:r w:rsidR="00B5572C" w:rsidRPr="00DD1999">
        <w:rPr>
          <w:rFonts w:ascii="Times New Roman" w:hAnsi="Times New Roman" w:cs="Times New Roman"/>
        </w:rPr>
        <w:t xml:space="preserve"> i v prostorách </w:t>
      </w:r>
      <w:r w:rsidR="00106DEB" w:rsidRPr="00DD1999">
        <w:rPr>
          <w:rFonts w:ascii="Times New Roman" w:hAnsi="Times New Roman" w:cs="Times New Roman"/>
        </w:rPr>
        <w:t xml:space="preserve">vily </w:t>
      </w:r>
      <w:proofErr w:type="spellStart"/>
      <w:r w:rsidR="00106DEB" w:rsidRPr="00DD1999">
        <w:rPr>
          <w:rFonts w:ascii="Times New Roman" w:hAnsi="Times New Roman" w:cs="Times New Roman"/>
        </w:rPr>
        <w:t>Lö</w:t>
      </w:r>
      <w:r w:rsidR="007067A4" w:rsidRPr="00DD1999">
        <w:rPr>
          <w:rFonts w:ascii="Times New Roman" w:hAnsi="Times New Roman" w:cs="Times New Roman"/>
        </w:rPr>
        <w:t>w</w:t>
      </w:r>
      <w:proofErr w:type="spellEnd"/>
      <w:r w:rsidR="00106DEB" w:rsidRPr="00DD1999">
        <w:rPr>
          <w:rFonts w:ascii="Times New Roman" w:hAnsi="Times New Roman" w:cs="Times New Roman"/>
        </w:rPr>
        <w:t>-</w:t>
      </w:r>
      <w:r w:rsidR="007067A4" w:rsidRPr="00DD1999">
        <w:rPr>
          <w:rFonts w:ascii="Times New Roman" w:hAnsi="Times New Roman" w:cs="Times New Roman"/>
        </w:rPr>
        <w:t>Beer</w:t>
      </w:r>
      <w:r w:rsidRPr="00DD1999">
        <w:rPr>
          <w:rFonts w:ascii="Times New Roman" w:hAnsi="Times New Roman" w:cs="Times New Roman"/>
        </w:rPr>
        <w:t xml:space="preserve"> </w:t>
      </w:r>
      <w:r w:rsidR="00B5572C" w:rsidRPr="00DD1999">
        <w:rPr>
          <w:rFonts w:ascii="Times New Roman" w:hAnsi="Times New Roman" w:cs="Times New Roman"/>
        </w:rPr>
        <w:t>(</w:t>
      </w:r>
      <w:r w:rsidRPr="00DD1999">
        <w:rPr>
          <w:rFonts w:ascii="Times New Roman" w:hAnsi="Times New Roman" w:cs="Times New Roman"/>
        </w:rPr>
        <w:t>VLB</w:t>
      </w:r>
      <w:r w:rsidR="00B5572C" w:rsidRPr="00DD1999">
        <w:rPr>
          <w:rFonts w:ascii="Times New Roman" w:hAnsi="Times New Roman" w:cs="Times New Roman"/>
        </w:rPr>
        <w:t>)</w:t>
      </w:r>
      <w:r w:rsidRPr="00DD1999">
        <w:rPr>
          <w:rFonts w:ascii="Times New Roman" w:hAnsi="Times New Roman" w:cs="Times New Roman"/>
        </w:rPr>
        <w:t>, čtecím zařízením umístěným na turniketu.</w:t>
      </w:r>
    </w:p>
    <w:p w:rsidR="00593860" w:rsidRPr="00DD1999" w:rsidRDefault="00593860" w:rsidP="00593860">
      <w:pPr>
        <w:spacing w:after="0" w:line="240" w:lineRule="auto"/>
        <w:ind w:left="-142" w:firstLine="0"/>
        <w:rPr>
          <w:rFonts w:ascii="Times New Roman" w:hAnsi="Times New Roman" w:cs="Times New Roman"/>
        </w:rPr>
      </w:pPr>
    </w:p>
    <w:p w:rsidR="00593860" w:rsidRPr="00DD1999" w:rsidRDefault="0089498A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Všem návštěvníkům VT s platnou vstupenkou je umožněno projít turniketem do sousedící zahrady VLB, p</w:t>
      </w:r>
      <w:r w:rsidR="00126386" w:rsidRPr="00DD1999">
        <w:rPr>
          <w:rFonts w:ascii="Times New Roman" w:hAnsi="Times New Roman" w:cs="Times New Roman"/>
        </w:rPr>
        <w:t xml:space="preserve">ři cestě </w:t>
      </w:r>
      <w:r w:rsidRPr="00DD1999">
        <w:rPr>
          <w:rFonts w:ascii="Times New Roman" w:hAnsi="Times New Roman" w:cs="Times New Roman"/>
        </w:rPr>
        <w:t xml:space="preserve">zpět do areálu VT musí </w:t>
      </w:r>
      <w:r w:rsidR="00126386" w:rsidRPr="00DD1999">
        <w:rPr>
          <w:rFonts w:ascii="Times New Roman" w:hAnsi="Times New Roman" w:cs="Times New Roman"/>
        </w:rPr>
        <w:t>být pro</w:t>
      </w:r>
      <w:r w:rsidRPr="00DD1999">
        <w:rPr>
          <w:rFonts w:ascii="Times New Roman" w:hAnsi="Times New Roman" w:cs="Times New Roman"/>
        </w:rPr>
        <w:t xml:space="preserve"> otevření turniketu zde </w:t>
      </w:r>
      <w:r w:rsidR="00126386" w:rsidRPr="00DD1999">
        <w:rPr>
          <w:rFonts w:ascii="Times New Roman" w:hAnsi="Times New Roman" w:cs="Times New Roman"/>
        </w:rPr>
        <w:t xml:space="preserve">načten čárový kód </w:t>
      </w:r>
      <w:r w:rsidRPr="00DD1999">
        <w:rPr>
          <w:rFonts w:ascii="Times New Roman" w:hAnsi="Times New Roman" w:cs="Times New Roman"/>
        </w:rPr>
        <w:t>vstupenk</w:t>
      </w:r>
      <w:r w:rsidR="00126386" w:rsidRPr="00DD1999">
        <w:rPr>
          <w:rFonts w:ascii="Times New Roman" w:hAnsi="Times New Roman" w:cs="Times New Roman"/>
        </w:rPr>
        <w:t>y</w:t>
      </w:r>
      <w:r w:rsidRPr="00DD1999">
        <w:rPr>
          <w:rFonts w:ascii="Times New Roman" w:hAnsi="Times New Roman" w:cs="Times New Roman"/>
        </w:rPr>
        <w:t>. Tento průchod</w:t>
      </w:r>
      <w:r w:rsidR="00A62CB8" w:rsidRPr="00DD1999">
        <w:rPr>
          <w:rFonts w:ascii="Times New Roman" w:hAnsi="Times New Roman" w:cs="Times New Roman"/>
        </w:rPr>
        <w:t xml:space="preserve"> zpět je možný pouze jedenkrát.</w:t>
      </w:r>
    </w:p>
    <w:p w:rsidR="00593860" w:rsidRPr="00DD1999" w:rsidRDefault="00593860" w:rsidP="00593860">
      <w:pPr>
        <w:pStyle w:val="Odstavecseseznamem"/>
        <w:rPr>
          <w:rFonts w:ascii="Times New Roman" w:hAnsi="Times New Roman" w:cs="Times New Roman"/>
        </w:rPr>
      </w:pPr>
    </w:p>
    <w:p w:rsidR="00593860" w:rsidRPr="00DD1999" w:rsidRDefault="0089498A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Návštěvníkům VLB je umožněno projít turniketem na zahradu VT po zakoupení vstupenky</w:t>
      </w:r>
      <w:r w:rsidR="00126386" w:rsidRPr="00DD1999">
        <w:rPr>
          <w:rFonts w:ascii="Times New Roman" w:hAnsi="Times New Roman" w:cs="Times New Roman"/>
        </w:rPr>
        <w:t xml:space="preserve"> a načtení jejího čárového kódu </w:t>
      </w:r>
      <w:r w:rsidRPr="00DD1999">
        <w:rPr>
          <w:rFonts w:ascii="Times New Roman" w:hAnsi="Times New Roman" w:cs="Times New Roman"/>
        </w:rPr>
        <w:t>pro otevření turniketu</w:t>
      </w:r>
      <w:r w:rsidR="00A62CB8" w:rsidRPr="00DD1999">
        <w:rPr>
          <w:rFonts w:ascii="Times New Roman" w:hAnsi="Times New Roman" w:cs="Times New Roman"/>
        </w:rPr>
        <w:t>.</w:t>
      </w:r>
    </w:p>
    <w:p w:rsidR="00593860" w:rsidRPr="00DD1999" w:rsidRDefault="00593860" w:rsidP="00593860">
      <w:pPr>
        <w:pStyle w:val="Odstavecseseznamem"/>
        <w:rPr>
          <w:rFonts w:ascii="Times New Roman" w:hAnsi="Times New Roman" w:cs="Times New Roman"/>
        </w:rPr>
      </w:pPr>
    </w:p>
    <w:p w:rsidR="00593860" w:rsidRPr="00DD1999" w:rsidRDefault="00C2029D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Partneři jsou povinni si poskytnout při prodeji vstupenek a evidenci tržeb ze vstupného vzájemnou součinnost dle ní</w:t>
      </w:r>
      <w:r w:rsidR="003A489E" w:rsidRPr="00DD1999">
        <w:rPr>
          <w:rFonts w:ascii="Times New Roman" w:hAnsi="Times New Roman" w:cs="Times New Roman"/>
        </w:rPr>
        <w:t>že uvedených ujednání článku IV. V rámci součinnosti VT informuje návštěvníky o</w:t>
      </w:r>
      <w:r w:rsidR="009E5DE3" w:rsidRPr="00DD1999">
        <w:rPr>
          <w:rFonts w:ascii="Times New Roman" w:hAnsi="Times New Roman" w:cs="Times New Roman"/>
        </w:rPr>
        <w:t xml:space="preserve"> možnosti návštěvy expozic VLB a kavárny</w:t>
      </w:r>
      <w:r w:rsidR="003A489E" w:rsidRPr="00DD1999">
        <w:rPr>
          <w:rFonts w:ascii="Times New Roman" w:hAnsi="Times New Roman" w:cs="Times New Roman"/>
        </w:rPr>
        <w:t xml:space="preserve"> v zahradě VLB.</w:t>
      </w:r>
    </w:p>
    <w:p w:rsidR="00946BA1" w:rsidRPr="00DD1999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Pr="00DD1999" w:rsidRDefault="00483A4D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</w:rPr>
        <w:t>Do počítače MB,</w:t>
      </w:r>
      <w:r w:rsidR="003A489E" w:rsidRPr="00DD1999">
        <w:rPr>
          <w:rFonts w:ascii="Times New Roman" w:hAnsi="Times New Roman" w:cs="Times New Roman"/>
        </w:rPr>
        <w:t xml:space="preserve"> který</w:t>
      </w:r>
      <w:r w:rsidRPr="00DD1999">
        <w:rPr>
          <w:rFonts w:ascii="Times New Roman" w:hAnsi="Times New Roman" w:cs="Times New Roman"/>
        </w:rPr>
        <w:t xml:space="preserve"> </w:t>
      </w:r>
      <w:r w:rsidR="003A489E" w:rsidRPr="00DD1999">
        <w:rPr>
          <w:rFonts w:ascii="Times New Roman" w:hAnsi="Times New Roman" w:cs="Times New Roman"/>
        </w:rPr>
        <w:t>určí MB</w:t>
      </w:r>
      <w:r w:rsidRPr="00DD1999">
        <w:rPr>
          <w:rFonts w:ascii="Times New Roman" w:hAnsi="Times New Roman" w:cs="Times New Roman"/>
        </w:rPr>
        <w:t xml:space="preserve">, nainstaluje </w:t>
      </w:r>
      <w:proofErr w:type="spellStart"/>
      <w:r w:rsidRPr="00DD1999">
        <w:rPr>
          <w:rFonts w:ascii="Times New Roman" w:hAnsi="Times New Roman" w:cs="Times New Roman"/>
        </w:rPr>
        <w:t>MuMB</w:t>
      </w:r>
      <w:proofErr w:type="spellEnd"/>
      <w:r w:rsidR="0019350E" w:rsidRPr="00DD1999">
        <w:rPr>
          <w:rFonts w:ascii="Times New Roman" w:hAnsi="Times New Roman" w:cs="Times New Roman"/>
        </w:rPr>
        <w:t xml:space="preserve"> </w:t>
      </w:r>
      <w:r w:rsidRPr="00DD1999">
        <w:rPr>
          <w:rFonts w:ascii="Times New Roman" w:hAnsi="Times New Roman" w:cs="Times New Roman"/>
        </w:rPr>
        <w:t xml:space="preserve">prodejní </w:t>
      </w:r>
      <w:r w:rsidRPr="00DD1999">
        <w:rPr>
          <w:rFonts w:ascii="Times New Roman" w:hAnsi="Times New Roman" w:cs="Times New Roman"/>
          <w:color w:val="000000" w:themeColor="text1"/>
        </w:rPr>
        <w:t xml:space="preserve">program </w:t>
      </w:r>
      <w:proofErr w:type="spellStart"/>
      <w:r w:rsidRPr="00DD1999">
        <w:rPr>
          <w:rFonts w:ascii="Times New Roman" w:hAnsi="Times New Roman" w:cs="Times New Roman"/>
          <w:color w:val="000000" w:themeColor="text1"/>
        </w:rPr>
        <w:t>Colloseum</w:t>
      </w:r>
      <w:proofErr w:type="spellEnd"/>
      <w:r w:rsidR="00F56C4B" w:rsidRPr="00DD1999">
        <w:rPr>
          <w:rFonts w:ascii="Times New Roman" w:hAnsi="Times New Roman" w:cs="Times New Roman"/>
          <w:color w:val="000000" w:themeColor="text1"/>
        </w:rPr>
        <w:t xml:space="preserve"> výlučně pro prodej </w:t>
      </w:r>
      <w:r w:rsidRPr="00DD1999">
        <w:rPr>
          <w:rFonts w:ascii="Times New Roman" w:hAnsi="Times New Roman" w:cs="Times New Roman"/>
          <w:color w:val="000000" w:themeColor="text1"/>
        </w:rPr>
        <w:t>vstupenek do zahrady VT.</w:t>
      </w:r>
      <w:r w:rsidR="00990E43" w:rsidRPr="00DD1999">
        <w:rPr>
          <w:rFonts w:ascii="Times New Roman" w:hAnsi="Times New Roman" w:cs="Times New Roman"/>
          <w:color w:val="000000" w:themeColor="text1"/>
        </w:rPr>
        <w:t xml:space="preserve"> </w:t>
      </w:r>
      <w:r w:rsidR="00F56C4B" w:rsidRPr="00DD1999">
        <w:rPr>
          <w:rFonts w:ascii="Times New Roman" w:hAnsi="Times New Roman" w:cs="Times New Roman"/>
          <w:color w:val="000000" w:themeColor="text1"/>
        </w:rPr>
        <w:t>D</w:t>
      </w:r>
      <w:r w:rsidR="00990E43" w:rsidRPr="00DD1999">
        <w:rPr>
          <w:rFonts w:ascii="Times New Roman" w:hAnsi="Times New Roman" w:cs="Times New Roman"/>
          <w:color w:val="000000" w:themeColor="text1"/>
        </w:rPr>
        <w:t xml:space="preserve">o pokladny ve VLB </w:t>
      </w:r>
      <w:proofErr w:type="spellStart"/>
      <w:r w:rsidR="00F56C4B" w:rsidRPr="00DD1999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="00990E43" w:rsidRPr="00DD1999">
        <w:rPr>
          <w:rFonts w:ascii="Times New Roman" w:hAnsi="Times New Roman" w:cs="Times New Roman"/>
          <w:color w:val="000000" w:themeColor="text1"/>
        </w:rPr>
        <w:t xml:space="preserve"> dodá terminál pro platby kartou</w:t>
      </w:r>
      <w:r w:rsidR="00F56C4B" w:rsidRPr="00DD1999">
        <w:rPr>
          <w:rFonts w:ascii="Times New Roman" w:hAnsi="Times New Roman" w:cs="Times New Roman"/>
          <w:color w:val="000000" w:themeColor="text1"/>
        </w:rPr>
        <w:t xml:space="preserve"> a </w:t>
      </w:r>
      <w:r w:rsidR="00990E43" w:rsidRPr="00DD1999">
        <w:rPr>
          <w:rFonts w:ascii="Times New Roman" w:hAnsi="Times New Roman" w:cs="Times New Roman"/>
          <w:color w:val="000000" w:themeColor="text1"/>
        </w:rPr>
        <w:t>tiskárn</w:t>
      </w:r>
      <w:r w:rsidR="00F56C4B" w:rsidRPr="00DD1999">
        <w:rPr>
          <w:rFonts w:ascii="Times New Roman" w:hAnsi="Times New Roman" w:cs="Times New Roman"/>
          <w:color w:val="000000" w:themeColor="text1"/>
        </w:rPr>
        <w:t>u</w:t>
      </w:r>
      <w:r w:rsidR="00990E43" w:rsidRPr="00DD1999">
        <w:rPr>
          <w:rFonts w:ascii="Times New Roman" w:hAnsi="Times New Roman" w:cs="Times New Roman"/>
          <w:color w:val="000000" w:themeColor="text1"/>
        </w:rPr>
        <w:t xml:space="preserve"> na vstupenky</w:t>
      </w:r>
      <w:r w:rsidR="00F56C4B" w:rsidRPr="00DD1999">
        <w:rPr>
          <w:rFonts w:ascii="Times New Roman" w:hAnsi="Times New Roman" w:cs="Times New Roman"/>
          <w:color w:val="000000" w:themeColor="text1"/>
        </w:rPr>
        <w:t xml:space="preserve">. Program, terminál a tiskárna jsou ve vlastnictví </w:t>
      </w:r>
      <w:proofErr w:type="spellStart"/>
      <w:r w:rsidR="00F56C4B" w:rsidRPr="00DD1999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="00F56C4B" w:rsidRPr="00DD1999">
        <w:rPr>
          <w:rFonts w:ascii="Times New Roman" w:hAnsi="Times New Roman" w:cs="Times New Roman"/>
          <w:color w:val="000000" w:themeColor="text1"/>
        </w:rPr>
        <w:t xml:space="preserve"> které hradí jejich údržbu. </w:t>
      </w:r>
      <w:r w:rsidR="007A1924" w:rsidRPr="00DD1999">
        <w:rPr>
          <w:rFonts w:ascii="Times New Roman" w:hAnsi="Times New Roman" w:cs="Times New Roman"/>
          <w:color w:val="000000" w:themeColor="text1"/>
        </w:rPr>
        <w:t xml:space="preserve">Vstupenka se tiskne na šablonu, používanou standardně ve VT, kterou dodává </w:t>
      </w:r>
      <w:proofErr w:type="spellStart"/>
      <w:r w:rsidR="007A1924" w:rsidRPr="00DD1999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="007A1924" w:rsidRPr="00DD1999">
        <w:rPr>
          <w:rFonts w:ascii="Times New Roman" w:hAnsi="Times New Roman" w:cs="Times New Roman"/>
          <w:color w:val="000000" w:themeColor="text1"/>
        </w:rPr>
        <w:t>.</w:t>
      </w:r>
    </w:p>
    <w:p w:rsidR="00946BA1" w:rsidRPr="00DD1999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Pr="00DD1999" w:rsidRDefault="0089498A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  <w:color w:val="000000" w:themeColor="text1"/>
        </w:rPr>
        <w:t>Ev</w:t>
      </w:r>
      <w:r w:rsidR="00CB3C19" w:rsidRPr="00DD1999">
        <w:rPr>
          <w:rFonts w:ascii="Times New Roman" w:hAnsi="Times New Roman" w:cs="Times New Roman"/>
          <w:color w:val="000000" w:themeColor="text1"/>
        </w:rPr>
        <w:t xml:space="preserve">idence vstupenek do zahrady VT je </w:t>
      </w:r>
      <w:r w:rsidRPr="00DD1999">
        <w:rPr>
          <w:rFonts w:ascii="Times New Roman" w:hAnsi="Times New Roman" w:cs="Times New Roman"/>
          <w:color w:val="000000" w:themeColor="text1"/>
        </w:rPr>
        <w:t xml:space="preserve">přímo pod licencí </w:t>
      </w:r>
      <w:proofErr w:type="spellStart"/>
      <w:r w:rsidRPr="00DD1999">
        <w:rPr>
          <w:rFonts w:ascii="Times New Roman" w:hAnsi="Times New Roman" w:cs="Times New Roman"/>
          <w:color w:val="000000" w:themeColor="text1"/>
        </w:rPr>
        <w:t>Mu</w:t>
      </w:r>
      <w:r w:rsidR="00D573D6" w:rsidRPr="00DD1999">
        <w:rPr>
          <w:rFonts w:ascii="Times New Roman" w:hAnsi="Times New Roman" w:cs="Times New Roman"/>
          <w:color w:val="000000" w:themeColor="text1"/>
        </w:rPr>
        <w:t>MB</w:t>
      </w:r>
      <w:proofErr w:type="spellEnd"/>
      <w:r w:rsidRPr="00DD1999">
        <w:rPr>
          <w:rFonts w:ascii="Times New Roman" w:hAnsi="Times New Roman" w:cs="Times New Roman"/>
          <w:color w:val="000000" w:themeColor="text1"/>
        </w:rPr>
        <w:t xml:space="preserve">. Obsluhu programu a prodej vstupenek do zahrady VT provádí </w:t>
      </w:r>
      <w:r w:rsidR="007A1924" w:rsidRPr="00DD1999">
        <w:rPr>
          <w:rFonts w:ascii="Times New Roman" w:hAnsi="Times New Roman" w:cs="Times New Roman"/>
          <w:color w:val="000000" w:themeColor="text1"/>
        </w:rPr>
        <w:t xml:space="preserve">pro </w:t>
      </w:r>
      <w:proofErr w:type="spellStart"/>
      <w:r w:rsidR="007A1924" w:rsidRPr="00DD1999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="007A1924" w:rsidRPr="00DD1999">
        <w:rPr>
          <w:rFonts w:ascii="Times New Roman" w:hAnsi="Times New Roman" w:cs="Times New Roman"/>
          <w:color w:val="000000" w:themeColor="text1"/>
        </w:rPr>
        <w:t xml:space="preserve"> </w:t>
      </w:r>
      <w:r w:rsidRPr="00DD1999">
        <w:rPr>
          <w:rFonts w:ascii="Times New Roman" w:hAnsi="Times New Roman" w:cs="Times New Roman"/>
          <w:color w:val="000000" w:themeColor="text1"/>
        </w:rPr>
        <w:t>zaměstnanec M</w:t>
      </w:r>
      <w:r w:rsidR="00D573D6" w:rsidRPr="00DD1999">
        <w:rPr>
          <w:rFonts w:ascii="Times New Roman" w:hAnsi="Times New Roman" w:cs="Times New Roman"/>
          <w:color w:val="000000" w:themeColor="text1"/>
        </w:rPr>
        <w:t>B</w:t>
      </w:r>
      <w:r w:rsidR="007A1924" w:rsidRPr="00DD1999">
        <w:rPr>
          <w:rFonts w:ascii="Times New Roman" w:hAnsi="Times New Roman" w:cs="Times New Roman"/>
          <w:color w:val="000000" w:themeColor="text1"/>
        </w:rPr>
        <w:t>.</w:t>
      </w:r>
      <w:r w:rsidR="00CB398E" w:rsidRPr="00DD1999">
        <w:rPr>
          <w:rFonts w:ascii="Times New Roman" w:hAnsi="Times New Roman" w:cs="Times New Roman"/>
          <w:color w:val="000000" w:themeColor="text1"/>
        </w:rPr>
        <w:t xml:space="preserve"> Prodej je možný v době provozu prodeje vstupenek do VLB.</w:t>
      </w:r>
    </w:p>
    <w:p w:rsidR="00946BA1" w:rsidRPr="00DD1999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Pr="00DD1999" w:rsidRDefault="007A1924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DD1999">
        <w:rPr>
          <w:rFonts w:ascii="Times New Roman" w:hAnsi="Times New Roman" w:cs="Times New Roman"/>
          <w:color w:val="000000" w:themeColor="text1"/>
        </w:rPr>
        <w:t xml:space="preserve">Za poskytnuté služby (zprostředkování prodeje, el. energie apod.), náleží MB provize ve výši 10 % z vybraného vstupného. Provizi vyfakturuje MB </w:t>
      </w:r>
      <w:r w:rsidR="00593860" w:rsidRPr="00DD1999">
        <w:rPr>
          <w:rFonts w:ascii="Times New Roman" w:hAnsi="Times New Roman" w:cs="Times New Roman"/>
          <w:color w:val="000000" w:themeColor="text1"/>
        </w:rPr>
        <w:t xml:space="preserve">každý měsíc </w:t>
      </w:r>
      <w:r w:rsidRPr="00DD1999">
        <w:rPr>
          <w:rFonts w:ascii="Times New Roman" w:hAnsi="Times New Roman" w:cs="Times New Roman"/>
          <w:color w:val="000000" w:themeColor="text1"/>
        </w:rPr>
        <w:t xml:space="preserve">na základě zaslaného vyhodnocení počtu prodaných vstupenek od </w:t>
      </w:r>
      <w:proofErr w:type="spellStart"/>
      <w:r w:rsidRPr="00DD1999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Pr="00DD1999">
        <w:rPr>
          <w:rFonts w:ascii="Times New Roman" w:hAnsi="Times New Roman" w:cs="Times New Roman"/>
          <w:color w:val="000000" w:themeColor="text1"/>
        </w:rPr>
        <w:t>.</w:t>
      </w:r>
    </w:p>
    <w:p w:rsidR="00946BA1" w:rsidRPr="00946BA1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Pr="00946BA1" w:rsidRDefault="0089498A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593860">
        <w:rPr>
          <w:rFonts w:ascii="Times New Roman" w:hAnsi="Times New Roman" w:cs="Times New Roman"/>
        </w:rPr>
        <w:lastRenderedPageBreak/>
        <w:t xml:space="preserve">Vstupné </w:t>
      </w:r>
      <w:r w:rsidR="00525B89" w:rsidRPr="00593860">
        <w:rPr>
          <w:rFonts w:ascii="Times New Roman" w:hAnsi="Times New Roman" w:cs="Times New Roman"/>
        </w:rPr>
        <w:t xml:space="preserve">na zahradu VT </w:t>
      </w:r>
      <w:r w:rsidRPr="00593860">
        <w:rPr>
          <w:rFonts w:ascii="Times New Roman" w:hAnsi="Times New Roman" w:cs="Times New Roman"/>
        </w:rPr>
        <w:t xml:space="preserve">zaplacené </w:t>
      </w:r>
      <w:r w:rsidR="00525B89" w:rsidRPr="00593860">
        <w:rPr>
          <w:rFonts w:ascii="Times New Roman" w:hAnsi="Times New Roman" w:cs="Times New Roman"/>
        </w:rPr>
        <w:t xml:space="preserve">na pokladně VLB v hotovosti nebo bezhotovostně platební </w:t>
      </w:r>
      <w:r w:rsidR="00525B89" w:rsidRPr="00593860">
        <w:rPr>
          <w:rFonts w:ascii="Times New Roman" w:hAnsi="Times New Roman" w:cs="Times New Roman"/>
          <w:color w:val="000000" w:themeColor="text1"/>
        </w:rPr>
        <w:t xml:space="preserve">kartou prostřednictvím terminálu ve vlastnictví </w:t>
      </w:r>
      <w:proofErr w:type="spellStart"/>
      <w:r w:rsidR="00990E43" w:rsidRPr="00593860">
        <w:rPr>
          <w:rFonts w:ascii="Times New Roman" w:hAnsi="Times New Roman" w:cs="Times New Roman"/>
          <w:color w:val="000000" w:themeColor="text1"/>
        </w:rPr>
        <w:t>MuM</w:t>
      </w:r>
      <w:r w:rsidR="00D73684" w:rsidRPr="00593860">
        <w:rPr>
          <w:rFonts w:ascii="Times New Roman" w:hAnsi="Times New Roman" w:cs="Times New Roman"/>
          <w:color w:val="000000" w:themeColor="text1"/>
        </w:rPr>
        <w:t>B</w:t>
      </w:r>
      <w:proofErr w:type="spellEnd"/>
      <w:r w:rsidR="00D73684" w:rsidRPr="00593860">
        <w:rPr>
          <w:rFonts w:ascii="Times New Roman" w:hAnsi="Times New Roman" w:cs="Times New Roman"/>
          <w:color w:val="000000" w:themeColor="text1"/>
        </w:rPr>
        <w:t xml:space="preserve">, </w:t>
      </w:r>
      <w:r w:rsidR="00525B89" w:rsidRPr="00593860">
        <w:rPr>
          <w:rFonts w:ascii="Times New Roman" w:hAnsi="Times New Roman" w:cs="Times New Roman"/>
          <w:color w:val="000000" w:themeColor="text1"/>
        </w:rPr>
        <w:t xml:space="preserve">se </w:t>
      </w:r>
      <w:r w:rsidRPr="00593860">
        <w:rPr>
          <w:rFonts w:ascii="Times New Roman" w:hAnsi="Times New Roman" w:cs="Times New Roman"/>
          <w:color w:val="000000" w:themeColor="text1"/>
        </w:rPr>
        <w:t>přijímá</w:t>
      </w:r>
      <w:r w:rsidR="00525B89" w:rsidRPr="00593860">
        <w:rPr>
          <w:rFonts w:ascii="Times New Roman" w:hAnsi="Times New Roman" w:cs="Times New Roman"/>
          <w:color w:val="000000" w:themeColor="text1"/>
        </w:rPr>
        <w:t xml:space="preserve"> </w:t>
      </w:r>
      <w:r w:rsidR="00D73684" w:rsidRPr="00593860">
        <w:rPr>
          <w:rFonts w:ascii="Times New Roman" w:hAnsi="Times New Roman" w:cs="Times New Roman"/>
          <w:color w:val="000000" w:themeColor="text1"/>
        </w:rPr>
        <w:t>ve prospěch</w:t>
      </w:r>
      <w:r w:rsidR="00525B89" w:rsidRPr="0059386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90E43" w:rsidRPr="00593860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="00CB3C19" w:rsidRPr="00593860">
        <w:rPr>
          <w:rFonts w:ascii="Times New Roman" w:hAnsi="Times New Roman" w:cs="Times New Roman"/>
          <w:color w:val="000000" w:themeColor="text1"/>
        </w:rPr>
        <w:t xml:space="preserve">. </w:t>
      </w:r>
      <w:r w:rsidR="00D73684" w:rsidRPr="00593860">
        <w:rPr>
          <w:rFonts w:ascii="Times New Roman" w:hAnsi="Times New Roman" w:cs="Times New Roman"/>
          <w:color w:val="000000" w:themeColor="text1"/>
        </w:rPr>
        <w:t xml:space="preserve">Vydané vstupenky slouží jako doklad, na kterém jsou uvedeny všechny potřebné údaje pro účetnictví </w:t>
      </w:r>
      <w:proofErr w:type="spellStart"/>
      <w:r w:rsidR="00D73684" w:rsidRPr="00593860">
        <w:rPr>
          <w:rFonts w:ascii="Times New Roman" w:hAnsi="Times New Roman" w:cs="Times New Roman"/>
          <w:color w:val="000000" w:themeColor="text1"/>
        </w:rPr>
        <w:t>M</w:t>
      </w:r>
      <w:r w:rsidR="007A1924" w:rsidRPr="00593860">
        <w:rPr>
          <w:rFonts w:ascii="Times New Roman" w:hAnsi="Times New Roman" w:cs="Times New Roman"/>
          <w:color w:val="000000" w:themeColor="text1"/>
        </w:rPr>
        <w:t>uM</w:t>
      </w:r>
      <w:r w:rsidR="00D73684" w:rsidRPr="00593860">
        <w:rPr>
          <w:rFonts w:ascii="Times New Roman" w:hAnsi="Times New Roman" w:cs="Times New Roman"/>
          <w:color w:val="000000" w:themeColor="text1"/>
        </w:rPr>
        <w:t>B</w:t>
      </w:r>
      <w:proofErr w:type="spellEnd"/>
      <w:r w:rsidR="00D73684" w:rsidRPr="00593860">
        <w:rPr>
          <w:rFonts w:ascii="Times New Roman" w:hAnsi="Times New Roman" w:cs="Times New Roman"/>
          <w:color w:val="000000" w:themeColor="text1"/>
        </w:rPr>
        <w:t>.</w:t>
      </w:r>
    </w:p>
    <w:p w:rsidR="00946BA1" w:rsidRPr="00946BA1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Pr="00946BA1" w:rsidRDefault="00D73684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593860">
        <w:rPr>
          <w:rFonts w:ascii="Times New Roman" w:hAnsi="Times New Roman" w:cs="Times New Roman"/>
          <w:color w:val="000000" w:themeColor="text1"/>
        </w:rPr>
        <w:t xml:space="preserve">Odvody tržeb a celkovou agendu </w:t>
      </w:r>
      <w:r w:rsidR="007A1924" w:rsidRPr="00593860">
        <w:rPr>
          <w:rFonts w:ascii="Times New Roman" w:hAnsi="Times New Roman" w:cs="Times New Roman"/>
          <w:color w:val="000000" w:themeColor="text1"/>
        </w:rPr>
        <w:t xml:space="preserve">s prodejem vstupenek na zahradu VT </w:t>
      </w:r>
      <w:r w:rsidRPr="00593860">
        <w:rPr>
          <w:rFonts w:ascii="Times New Roman" w:hAnsi="Times New Roman" w:cs="Times New Roman"/>
          <w:color w:val="000000" w:themeColor="text1"/>
        </w:rPr>
        <w:t xml:space="preserve">vykonává zaměstnanec </w:t>
      </w:r>
      <w:proofErr w:type="spellStart"/>
      <w:r w:rsidRPr="00593860">
        <w:rPr>
          <w:rFonts w:ascii="Times New Roman" w:hAnsi="Times New Roman" w:cs="Times New Roman"/>
          <w:color w:val="000000" w:themeColor="text1"/>
        </w:rPr>
        <w:t>MuMB</w:t>
      </w:r>
      <w:proofErr w:type="spellEnd"/>
      <w:r w:rsidRPr="00593860">
        <w:rPr>
          <w:rFonts w:ascii="Times New Roman" w:hAnsi="Times New Roman" w:cs="Times New Roman"/>
          <w:color w:val="000000" w:themeColor="text1"/>
        </w:rPr>
        <w:t>.</w:t>
      </w:r>
    </w:p>
    <w:p w:rsidR="00946BA1" w:rsidRPr="00946BA1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593860" w:rsidRDefault="00D573D6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593860">
        <w:rPr>
          <w:rFonts w:ascii="Times New Roman" w:hAnsi="Times New Roman" w:cs="Times New Roman"/>
        </w:rPr>
        <w:t>Ú</w:t>
      </w:r>
      <w:r w:rsidR="0028743D" w:rsidRPr="00593860">
        <w:rPr>
          <w:rFonts w:ascii="Times New Roman" w:hAnsi="Times New Roman" w:cs="Times New Roman"/>
        </w:rPr>
        <w:t>držb</w:t>
      </w:r>
      <w:r w:rsidRPr="00593860">
        <w:rPr>
          <w:rFonts w:ascii="Times New Roman" w:hAnsi="Times New Roman" w:cs="Times New Roman"/>
        </w:rPr>
        <w:t xml:space="preserve">u </w:t>
      </w:r>
      <w:r w:rsidR="002F33CA" w:rsidRPr="00593860">
        <w:rPr>
          <w:rFonts w:ascii="Times New Roman" w:hAnsi="Times New Roman" w:cs="Times New Roman"/>
        </w:rPr>
        <w:t xml:space="preserve">jim </w:t>
      </w:r>
      <w:r w:rsidRPr="00593860">
        <w:rPr>
          <w:rFonts w:ascii="Times New Roman" w:hAnsi="Times New Roman" w:cs="Times New Roman"/>
        </w:rPr>
        <w:t xml:space="preserve">svěřených </w:t>
      </w:r>
      <w:r w:rsidR="0028743D" w:rsidRPr="00593860">
        <w:rPr>
          <w:rFonts w:ascii="Times New Roman" w:hAnsi="Times New Roman" w:cs="Times New Roman"/>
        </w:rPr>
        <w:t>pozemk</w:t>
      </w:r>
      <w:r w:rsidRPr="00593860">
        <w:rPr>
          <w:rFonts w:ascii="Times New Roman" w:hAnsi="Times New Roman" w:cs="Times New Roman"/>
        </w:rPr>
        <w:t>ů</w:t>
      </w:r>
      <w:r w:rsidR="002F33CA" w:rsidRPr="00593860">
        <w:rPr>
          <w:rFonts w:ascii="Times New Roman" w:hAnsi="Times New Roman" w:cs="Times New Roman"/>
        </w:rPr>
        <w:t xml:space="preserve"> včetně cest provádí každý z partnerů samostatně. S</w:t>
      </w:r>
      <w:r w:rsidR="0028743D" w:rsidRPr="00593860">
        <w:rPr>
          <w:rFonts w:ascii="Times New Roman" w:hAnsi="Times New Roman" w:cs="Times New Roman"/>
        </w:rPr>
        <w:t xml:space="preserve">ervis </w:t>
      </w:r>
      <w:r w:rsidR="002F33CA" w:rsidRPr="00593860">
        <w:rPr>
          <w:rFonts w:ascii="Times New Roman" w:hAnsi="Times New Roman" w:cs="Times New Roman"/>
        </w:rPr>
        <w:t>a u</w:t>
      </w:r>
      <w:r w:rsidR="00C80E16" w:rsidRPr="00593860">
        <w:rPr>
          <w:rFonts w:ascii="Times New Roman" w:hAnsi="Times New Roman" w:cs="Times New Roman"/>
        </w:rPr>
        <w:t>drž</w:t>
      </w:r>
      <w:r w:rsidR="002F33CA" w:rsidRPr="00593860">
        <w:rPr>
          <w:rFonts w:ascii="Times New Roman" w:hAnsi="Times New Roman" w:cs="Times New Roman"/>
        </w:rPr>
        <w:t>ování</w:t>
      </w:r>
      <w:r w:rsidR="00C80E16" w:rsidRPr="00593860">
        <w:rPr>
          <w:rFonts w:ascii="Times New Roman" w:hAnsi="Times New Roman" w:cs="Times New Roman"/>
        </w:rPr>
        <w:t xml:space="preserve"> </w:t>
      </w:r>
      <w:r w:rsidR="0028743D" w:rsidRPr="00593860">
        <w:rPr>
          <w:rFonts w:ascii="Times New Roman" w:hAnsi="Times New Roman" w:cs="Times New Roman"/>
        </w:rPr>
        <w:t>turniket</w:t>
      </w:r>
      <w:r w:rsidR="002F33CA" w:rsidRPr="00593860">
        <w:rPr>
          <w:rFonts w:ascii="Times New Roman" w:hAnsi="Times New Roman" w:cs="Times New Roman"/>
        </w:rPr>
        <w:t>u</w:t>
      </w:r>
      <w:r w:rsidR="0028743D" w:rsidRPr="00593860">
        <w:rPr>
          <w:rFonts w:ascii="Times New Roman" w:hAnsi="Times New Roman" w:cs="Times New Roman"/>
        </w:rPr>
        <w:t xml:space="preserve"> v</w:t>
      </w:r>
      <w:r w:rsidR="002F33CA" w:rsidRPr="00593860">
        <w:rPr>
          <w:rFonts w:ascii="Times New Roman" w:hAnsi="Times New Roman" w:cs="Times New Roman"/>
        </w:rPr>
        <w:t>e stavu</w:t>
      </w:r>
      <w:r w:rsidR="0028743D" w:rsidRPr="00593860">
        <w:rPr>
          <w:rFonts w:ascii="Times New Roman" w:hAnsi="Times New Roman" w:cs="Times New Roman"/>
        </w:rPr>
        <w:t xml:space="preserve"> provozně a technicky umožňujícím zamýšlený účel užívání</w:t>
      </w:r>
      <w:r w:rsidR="002F33CA" w:rsidRPr="00593860">
        <w:rPr>
          <w:rFonts w:ascii="Times New Roman" w:hAnsi="Times New Roman" w:cs="Times New Roman"/>
        </w:rPr>
        <w:t>,</w:t>
      </w:r>
      <w:r w:rsidR="0028743D" w:rsidRPr="00593860">
        <w:rPr>
          <w:rFonts w:ascii="Times New Roman" w:hAnsi="Times New Roman" w:cs="Times New Roman"/>
        </w:rPr>
        <w:t xml:space="preserve"> odstraňov</w:t>
      </w:r>
      <w:r w:rsidR="002F33CA" w:rsidRPr="00593860">
        <w:rPr>
          <w:rFonts w:ascii="Times New Roman" w:hAnsi="Times New Roman" w:cs="Times New Roman"/>
        </w:rPr>
        <w:t>ání</w:t>
      </w:r>
      <w:r w:rsidR="0028743D" w:rsidRPr="00593860">
        <w:rPr>
          <w:rFonts w:ascii="Times New Roman" w:hAnsi="Times New Roman" w:cs="Times New Roman"/>
        </w:rPr>
        <w:t xml:space="preserve"> vad a nedostatk</w:t>
      </w:r>
      <w:r w:rsidR="002F33CA" w:rsidRPr="00593860">
        <w:rPr>
          <w:rFonts w:ascii="Times New Roman" w:hAnsi="Times New Roman" w:cs="Times New Roman"/>
        </w:rPr>
        <w:t>ů</w:t>
      </w:r>
      <w:r w:rsidR="0028743D" w:rsidRPr="00593860">
        <w:rPr>
          <w:rFonts w:ascii="Times New Roman" w:hAnsi="Times New Roman" w:cs="Times New Roman"/>
        </w:rPr>
        <w:t xml:space="preserve"> uvedením od původního stavu</w:t>
      </w:r>
      <w:r w:rsidR="002F33CA" w:rsidRPr="00593860">
        <w:rPr>
          <w:rFonts w:ascii="Times New Roman" w:hAnsi="Times New Roman" w:cs="Times New Roman"/>
        </w:rPr>
        <w:t xml:space="preserve"> náleží </w:t>
      </w:r>
      <w:proofErr w:type="spellStart"/>
      <w:r w:rsidR="002F33CA" w:rsidRPr="00593860">
        <w:rPr>
          <w:rFonts w:ascii="Times New Roman" w:hAnsi="Times New Roman" w:cs="Times New Roman"/>
        </w:rPr>
        <w:t>MuMB</w:t>
      </w:r>
      <w:proofErr w:type="spellEnd"/>
      <w:r w:rsidR="0028743D" w:rsidRPr="00593860">
        <w:rPr>
          <w:rFonts w:ascii="Times New Roman" w:hAnsi="Times New Roman" w:cs="Times New Roman"/>
        </w:rPr>
        <w:t>.</w:t>
      </w:r>
    </w:p>
    <w:p w:rsidR="00946BA1" w:rsidRPr="00946BA1" w:rsidRDefault="00946BA1" w:rsidP="00946BA1">
      <w:pPr>
        <w:pStyle w:val="Odstavecseseznamem"/>
        <w:rPr>
          <w:rFonts w:ascii="Times New Roman" w:hAnsi="Times New Roman" w:cs="Times New Roman"/>
        </w:rPr>
      </w:pPr>
    </w:p>
    <w:p w:rsidR="007F5B4A" w:rsidRDefault="0019350E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</w:rPr>
      </w:pPr>
      <w:r w:rsidRPr="00593860">
        <w:rPr>
          <w:rFonts w:ascii="Times New Roman" w:hAnsi="Times New Roman" w:cs="Times New Roman"/>
        </w:rPr>
        <w:t xml:space="preserve">Propojení obou zahrad je možné v době současného provozu obou vil. O časech provozu se vzájemně informují obě strany, včetně změn bez zbytečného odkladu. Propojení též není možné, pokud jedna ze zahrad je vyhrazena pro konání mimořádné akce, o tom se informuje druhá strana nejméně </w:t>
      </w:r>
      <w:r w:rsidR="00946BA1">
        <w:rPr>
          <w:rFonts w:ascii="Times New Roman" w:hAnsi="Times New Roman" w:cs="Times New Roman"/>
        </w:rPr>
        <w:t>dva</w:t>
      </w:r>
      <w:r w:rsidRPr="00593860">
        <w:rPr>
          <w:rFonts w:ascii="Times New Roman" w:hAnsi="Times New Roman" w:cs="Times New Roman"/>
        </w:rPr>
        <w:t xml:space="preserve"> dny předem</w:t>
      </w:r>
    </w:p>
    <w:p w:rsidR="007F5B4A" w:rsidRPr="007F5B4A" w:rsidRDefault="007F5B4A" w:rsidP="007F5B4A">
      <w:pPr>
        <w:pStyle w:val="Odstavecseseznamem"/>
        <w:rPr>
          <w:rFonts w:ascii="Times New Roman" w:hAnsi="Times New Roman" w:cs="Times New Roman"/>
        </w:rPr>
      </w:pPr>
    </w:p>
    <w:p w:rsidR="002F33CA" w:rsidRPr="00C82D8D" w:rsidRDefault="007F5B4A" w:rsidP="00593860">
      <w:pPr>
        <w:pStyle w:val="Odstavecseseznamem"/>
        <w:numPr>
          <w:ilvl w:val="0"/>
          <w:numId w:val="16"/>
        </w:numPr>
        <w:spacing w:after="120" w:line="240" w:lineRule="auto"/>
        <w:ind w:left="284" w:hanging="426"/>
        <w:rPr>
          <w:rFonts w:ascii="Times New Roman" w:hAnsi="Times New Roman" w:cs="Times New Roman"/>
          <w:color w:val="000000" w:themeColor="text1"/>
        </w:rPr>
      </w:pPr>
      <w:r w:rsidRPr="00C82D8D">
        <w:rPr>
          <w:rFonts w:ascii="Times New Roman" w:hAnsi="Times New Roman" w:cs="Times New Roman"/>
          <w:color w:val="000000" w:themeColor="text1"/>
        </w:rPr>
        <w:t>Poslední možný průchod přes turniket zpět do VT</w:t>
      </w:r>
      <w:r w:rsidR="009B5AA5" w:rsidRPr="00C82D8D">
        <w:rPr>
          <w:rFonts w:ascii="Times New Roman" w:hAnsi="Times New Roman" w:cs="Times New Roman"/>
          <w:color w:val="000000" w:themeColor="text1"/>
        </w:rPr>
        <w:t xml:space="preserve"> je mož</w:t>
      </w:r>
      <w:r w:rsidRPr="00C82D8D">
        <w:rPr>
          <w:rFonts w:ascii="Times New Roman" w:hAnsi="Times New Roman" w:cs="Times New Roman"/>
          <w:color w:val="000000" w:themeColor="text1"/>
        </w:rPr>
        <w:t>ný v 1</w:t>
      </w:r>
      <w:r w:rsidR="00CB398E">
        <w:rPr>
          <w:rFonts w:ascii="Times New Roman" w:hAnsi="Times New Roman" w:cs="Times New Roman"/>
          <w:color w:val="000000" w:themeColor="text1"/>
        </w:rPr>
        <w:t>8</w:t>
      </w:r>
      <w:r w:rsidRPr="00C82D8D">
        <w:rPr>
          <w:rFonts w:ascii="Times New Roman" w:hAnsi="Times New Roman" w:cs="Times New Roman"/>
          <w:color w:val="000000" w:themeColor="text1"/>
        </w:rPr>
        <w:t>:20, poté se turniket uzamyká</w:t>
      </w:r>
    </w:p>
    <w:p w:rsidR="00946BA1" w:rsidRPr="007F5B4A" w:rsidRDefault="00946BA1" w:rsidP="007F5B4A">
      <w:pPr>
        <w:ind w:left="0" w:firstLine="0"/>
        <w:jc w:val="left"/>
        <w:rPr>
          <w:rFonts w:ascii="Times New Roman" w:hAnsi="Times New Roman" w:cs="Times New Roman"/>
        </w:rPr>
      </w:pPr>
    </w:p>
    <w:p w:rsidR="000D010A" w:rsidRPr="0084099B" w:rsidRDefault="0028743D" w:rsidP="0028743D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4099B">
        <w:rPr>
          <w:rFonts w:ascii="Times New Roman" w:hAnsi="Times New Roman" w:cs="Times New Roman"/>
          <w:b/>
        </w:rPr>
        <w:t>V.</w:t>
      </w:r>
    </w:p>
    <w:p w:rsidR="000D010A" w:rsidRPr="00DD1999" w:rsidRDefault="00972CA0" w:rsidP="00972CA0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DD1999">
        <w:rPr>
          <w:rFonts w:ascii="Times New Roman" w:hAnsi="Times New Roman" w:cs="Times New Roman"/>
          <w:b/>
        </w:rPr>
        <w:t>Kontaktní údaje</w:t>
      </w:r>
    </w:p>
    <w:p w:rsidR="00A62CB8" w:rsidRPr="00DD1999" w:rsidRDefault="00A62CB8" w:rsidP="00A62CB8">
      <w:pPr>
        <w:pStyle w:val="Nzev"/>
        <w:numPr>
          <w:ilvl w:val="0"/>
          <w:numId w:val="14"/>
        </w:numPr>
        <w:spacing w:before="120"/>
        <w:jc w:val="both"/>
        <w:rPr>
          <w:sz w:val="24"/>
        </w:rPr>
      </w:pPr>
      <w:proofErr w:type="spellStart"/>
      <w:r w:rsidRPr="00DD1999">
        <w:rPr>
          <w:sz w:val="24"/>
        </w:rPr>
        <w:t>MuMB</w:t>
      </w:r>
      <w:proofErr w:type="spellEnd"/>
      <w:r w:rsidRPr="00DD1999">
        <w:rPr>
          <w:sz w:val="24"/>
        </w:rPr>
        <w:t xml:space="preserve"> pověřuje jednáním v běžných organizačně technických věcech </w:t>
      </w:r>
      <w:r w:rsidR="00AC0DD6">
        <w:rPr>
          <w:sz w:val="24"/>
        </w:rPr>
        <w:t>***</w:t>
      </w:r>
      <w:r w:rsidR="000B05FB" w:rsidRPr="00DD1999">
        <w:rPr>
          <w:sz w:val="24"/>
        </w:rPr>
        <w:t>.</w:t>
      </w:r>
    </w:p>
    <w:p w:rsidR="005D59BC" w:rsidRPr="00DD1999" w:rsidRDefault="00A62CB8" w:rsidP="003A489E">
      <w:pPr>
        <w:pStyle w:val="Nzev"/>
        <w:numPr>
          <w:ilvl w:val="0"/>
          <w:numId w:val="14"/>
        </w:numPr>
        <w:spacing w:before="120"/>
        <w:jc w:val="both"/>
        <w:rPr>
          <w:sz w:val="24"/>
        </w:rPr>
      </w:pPr>
      <w:r w:rsidRPr="00DD1999">
        <w:rPr>
          <w:sz w:val="24"/>
        </w:rPr>
        <w:t>MB</w:t>
      </w:r>
      <w:r w:rsidRPr="00DD1999">
        <w:rPr>
          <w:sz w:val="24"/>
          <w:szCs w:val="24"/>
        </w:rPr>
        <w:t xml:space="preserve"> pověřuje jednáním v běžných organizačně technických </w:t>
      </w:r>
      <w:bookmarkStart w:id="3" w:name="_Hlk40712572"/>
      <w:r w:rsidR="005D59BC" w:rsidRPr="00DD1999">
        <w:rPr>
          <w:sz w:val="24"/>
          <w:szCs w:val="24"/>
        </w:rPr>
        <w:t xml:space="preserve">věcech </w:t>
      </w:r>
      <w:r w:rsidR="00AC0DD6">
        <w:rPr>
          <w:sz w:val="24"/>
          <w:szCs w:val="24"/>
        </w:rPr>
        <w:t>***</w:t>
      </w:r>
      <w:bookmarkStart w:id="4" w:name="_GoBack"/>
      <w:bookmarkEnd w:id="4"/>
    </w:p>
    <w:p w:rsidR="00C82D8D" w:rsidRPr="00DD1999" w:rsidRDefault="00C82D8D" w:rsidP="0028743D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0D010A" w:rsidRPr="00DD1999" w:rsidRDefault="0028743D" w:rsidP="0028743D">
      <w:pPr>
        <w:spacing w:after="18" w:line="259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DD1999">
        <w:rPr>
          <w:rFonts w:ascii="Times New Roman" w:hAnsi="Times New Roman" w:cs="Times New Roman"/>
          <w:b/>
        </w:rPr>
        <w:t>VI.</w:t>
      </w:r>
    </w:p>
    <w:bookmarkEnd w:id="3"/>
    <w:p w:rsidR="000D010A" w:rsidRPr="00DD1999" w:rsidRDefault="0028743D" w:rsidP="0084099B">
      <w:p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DD1999">
        <w:rPr>
          <w:rFonts w:ascii="Times New Roman" w:hAnsi="Times New Roman" w:cs="Times New Roman"/>
          <w:b/>
        </w:rPr>
        <w:t>Závěrečná ujednání</w:t>
      </w:r>
    </w:p>
    <w:p w:rsidR="0084099B" w:rsidRPr="00DD1999" w:rsidRDefault="005B7371" w:rsidP="005B7371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>Partneři si smlouvu přečetli</w:t>
      </w:r>
      <w:r w:rsidR="0084099B" w:rsidRPr="00DD1999">
        <w:rPr>
          <w:rFonts w:ascii="Times New Roman" w:hAnsi="Times New Roman" w:cs="Times New Roman"/>
          <w:color w:val="auto"/>
          <w:szCs w:val="24"/>
          <w:lang w:eastAsia="en-US"/>
        </w:rPr>
        <w:t>, s jejím obsahem souhlasí, což stvrzují svými vlastnoručními podpisy.</w:t>
      </w:r>
    </w:p>
    <w:p w:rsidR="005B7371" w:rsidRPr="00DD1999" w:rsidRDefault="005B7371" w:rsidP="005B7371">
      <w:pPr>
        <w:spacing w:after="0" w:line="240" w:lineRule="auto"/>
        <w:ind w:left="284" w:firstLine="0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84099B" w:rsidRPr="00DD1999" w:rsidRDefault="003A489E" w:rsidP="005B7371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>S</w:t>
      </w:r>
      <w:r w:rsidR="0084099B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mlouva nabývá platnosti dnem jejího podpisu oprávněnými zástupci obou </w:t>
      </w:r>
      <w:r w:rsidR="005B7371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partnerů </w:t>
      </w:r>
      <w:r w:rsidR="005B7371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br/>
      </w:r>
      <w:r w:rsidR="0084099B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a účinnosti dnem jejího uveřejnění prostřednictvím registru smluv postupem dle zákona </w:t>
      </w:r>
      <w:r w:rsidR="005B7371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br/>
      </w:r>
      <w:r w:rsidR="0084099B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č. 340/2015 Sb., o zvláštních podmínkách účinnosti některých smluv, uveřejňování těchto smluv a o registru </w:t>
      </w:r>
      <w:r w:rsidR="002F33CA" w:rsidRPr="00DD1999">
        <w:rPr>
          <w:rFonts w:ascii="Times New Roman" w:hAnsi="Times New Roman" w:cs="Times New Roman"/>
          <w:bCs/>
          <w:color w:val="auto"/>
          <w:szCs w:val="24"/>
          <w:lang w:eastAsia="en-US"/>
        </w:rPr>
        <w:t>smluv (zákon o registru smluv).</w:t>
      </w:r>
    </w:p>
    <w:p w:rsidR="003A489E" w:rsidRPr="00DD1999" w:rsidRDefault="003A489E" w:rsidP="003A489E">
      <w:pPr>
        <w:spacing w:after="0" w:line="240" w:lineRule="auto"/>
        <w:ind w:left="284" w:firstLine="0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3A489E" w:rsidRPr="00DD1999" w:rsidRDefault="003A489E" w:rsidP="005B7371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>Smlouvu lze vypovědět písemně, výpověď bude účinná 4 měsíce po doručení druhé straně.</w:t>
      </w:r>
    </w:p>
    <w:p w:rsidR="005B7371" w:rsidRPr="00DD1999" w:rsidRDefault="005B7371" w:rsidP="005B7371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DC2734" w:rsidRPr="00DD1999" w:rsidRDefault="0084099B" w:rsidP="00DC2734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Smlouva </w:t>
      </w:r>
      <w:r w:rsidR="005B7371" w:rsidRPr="00DD1999">
        <w:rPr>
          <w:rFonts w:ascii="Times New Roman" w:hAnsi="Times New Roman" w:cs="Times New Roman"/>
          <w:color w:val="auto"/>
          <w:szCs w:val="24"/>
          <w:lang w:eastAsia="en-US"/>
        </w:rPr>
        <w:t>se vyhotovuje ve dvou</w:t>
      </w: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 stejnopisech, </w:t>
      </w:r>
      <w:r w:rsidR="005B7371"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každý má platnost originálu. Jedno </w:t>
      </w: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vyhotovení smlouvy obdrží </w:t>
      </w:r>
      <w:proofErr w:type="spellStart"/>
      <w:r w:rsidR="005B7371" w:rsidRPr="00DD1999">
        <w:rPr>
          <w:rFonts w:ascii="Times New Roman" w:hAnsi="Times New Roman" w:cs="Times New Roman"/>
          <w:color w:val="auto"/>
          <w:szCs w:val="24"/>
          <w:lang w:eastAsia="en-US"/>
        </w:rPr>
        <w:t>Mu</w:t>
      </w:r>
      <w:r w:rsidR="002F33CA" w:rsidRPr="00DD1999">
        <w:rPr>
          <w:rFonts w:ascii="Times New Roman" w:hAnsi="Times New Roman" w:cs="Times New Roman"/>
          <w:color w:val="auto"/>
          <w:szCs w:val="24"/>
          <w:lang w:eastAsia="en-US"/>
        </w:rPr>
        <w:t>MB</w:t>
      </w:r>
      <w:proofErr w:type="spellEnd"/>
      <w:r w:rsidR="005B7371"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 a </w:t>
      </w: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 xml:space="preserve">jedno vyhotovení </w:t>
      </w:r>
      <w:r w:rsidR="005B7371" w:rsidRPr="00DD1999">
        <w:rPr>
          <w:rFonts w:ascii="Times New Roman" w:hAnsi="Times New Roman" w:cs="Times New Roman"/>
          <w:color w:val="auto"/>
          <w:szCs w:val="24"/>
          <w:lang w:eastAsia="en-US"/>
        </w:rPr>
        <w:t>M</w:t>
      </w:r>
      <w:r w:rsidR="002F33CA" w:rsidRPr="00DD1999">
        <w:rPr>
          <w:rFonts w:ascii="Times New Roman" w:hAnsi="Times New Roman" w:cs="Times New Roman"/>
          <w:color w:val="auto"/>
          <w:szCs w:val="24"/>
          <w:lang w:eastAsia="en-US"/>
        </w:rPr>
        <w:t>B</w:t>
      </w:r>
      <w:r w:rsidR="00972CA0" w:rsidRPr="00DD1999">
        <w:rPr>
          <w:rFonts w:ascii="Times New Roman" w:hAnsi="Times New Roman" w:cs="Times New Roman"/>
          <w:color w:val="auto"/>
          <w:szCs w:val="24"/>
          <w:lang w:eastAsia="en-US"/>
        </w:rPr>
        <w:t>.</w:t>
      </w:r>
    </w:p>
    <w:p w:rsidR="00DC2734" w:rsidRPr="00DD1999" w:rsidRDefault="00DC2734" w:rsidP="00DC2734">
      <w:pPr>
        <w:pStyle w:val="Odstavecseseznamem"/>
        <w:rPr>
          <w:rFonts w:ascii="Times New Roman" w:hAnsi="Times New Roman" w:cs="Times New Roman"/>
        </w:rPr>
      </w:pPr>
    </w:p>
    <w:p w:rsidR="005D59BC" w:rsidRPr="00DC2734" w:rsidRDefault="00DC2734" w:rsidP="005B7371">
      <w:pPr>
        <w:numPr>
          <w:ilvl w:val="0"/>
          <w:numId w:val="1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 w:rsidRPr="00DD1999">
        <w:rPr>
          <w:rFonts w:ascii="Times New Roman" w:hAnsi="Times New Roman" w:cs="Times New Roman"/>
        </w:rPr>
        <w:t>Změny smlouvy</w:t>
      </w:r>
      <w:r w:rsidR="005D59BC" w:rsidRPr="00DD1999">
        <w:rPr>
          <w:rFonts w:ascii="Times New Roman" w:hAnsi="Times New Roman" w:cs="Times New Roman"/>
        </w:rPr>
        <w:t xml:space="preserve"> je možno učinit písemn</w:t>
      </w:r>
      <w:r w:rsidRPr="00DD1999">
        <w:rPr>
          <w:rFonts w:ascii="Times New Roman" w:hAnsi="Times New Roman" w:cs="Times New Roman"/>
        </w:rPr>
        <w:t xml:space="preserve">ými dodatky </w:t>
      </w:r>
      <w:r w:rsidRPr="00DD1999">
        <w:rPr>
          <w:rFonts w:ascii="Times New Roman" w:hAnsi="Times New Roman" w:cs="Times New Roman"/>
          <w:color w:val="auto"/>
          <w:szCs w:val="24"/>
          <w:lang w:eastAsia="en-US"/>
        </w:rPr>
        <w:t>stvrzenými vlastnoručními podpisy</w:t>
      </w:r>
      <w:r w:rsidRPr="00DC2734">
        <w:rPr>
          <w:rFonts w:ascii="Times New Roman" w:hAnsi="Times New Roman" w:cs="Times New Roman"/>
          <w:color w:val="auto"/>
          <w:szCs w:val="24"/>
          <w:lang w:eastAsia="en-US"/>
        </w:rPr>
        <w:t xml:space="preserve"> partnerů.</w:t>
      </w:r>
    </w:p>
    <w:p w:rsidR="005B7371" w:rsidRDefault="005B7371" w:rsidP="005B7371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84099B" w:rsidRPr="0084099B" w:rsidRDefault="005B7371" w:rsidP="005B7371">
      <w:pPr>
        <w:numPr>
          <w:ilvl w:val="0"/>
          <w:numId w:val="11"/>
        </w:numPr>
        <w:spacing w:after="200" w:line="240" w:lineRule="auto"/>
        <w:ind w:left="284" w:hanging="284"/>
        <w:contextualSpacing/>
        <w:rPr>
          <w:rFonts w:ascii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 xml:space="preserve">Partneři jsou </w:t>
      </w:r>
      <w:r w:rsidR="0084099B" w:rsidRPr="0084099B">
        <w:rPr>
          <w:rFonts w:ascii="Times New Roman" w:hAnsi="Times New Roman" w:cs="Times New Roman"/>
          <w:color w:val="auto"/>
          <w:szCs w:val="24"/>
          <w:lang w:eastAsia="en-US"/>
        </w:rPr>
        <w:t>při nakládání s veřejn</w:t>
      </w:r>
      <w:r>
        <w:rPr>
          <w:rFonts w:ascii="Times New Roman" w:hAnsi="Times New Roman" w:cs="Times New Roman"/>
          <w:color w:val="auto"/>
          <w:szCs w:val="24"/>
          <w:lang w:eastAsia="en-US"/>
        </w:rPr>
        <w:t>ými prostředky povinni</w:t>
      </w:r>
      <w:r w:rsidR="0084099B" w:rsidRPr="0084099B">
        <w:rPr>
          <w:rFonts w:ascii="Times New Roman" w:hAnsi="Times New Roman" w:cs="Times New Roman"/>
          <w:color w:val="auto"/>
          <w:szCs w:val="24"/>
          <w:lang w:eastAsia="en-US"/>
        </w:rPr>
        <w:t xml:space="preserve"> dodržovat ustanovení zákona č. 106/1999 Sb., o svobodném přístupu k informacím, ve znění pozdějších předpisů (zejména § 9 odst. 2 zákona).</w:t>
      </w:r>
    </w:p>
    <w:p w:rsidR="000D010A" w:rsidRDefault="000D010A">
      <w:pPr>
        <w:spacing w:after="18" w:line="259" w:lineRule="auto"/>
        <w:ind w:left="0" w:firstLine="0"/>
        <w:jc w:val="left"/>
      </w:pPr>
    </w:p>
    <w:p w:rsidR="000D010A" w:rsidRDefault="000D010A">
      <w:pPr>
        <w:spacing w:after="18" w:line="259" w:lineRule="auto"/>
        <w:ind w:left="0" w:firstLine="0"/>
        <w:jc w:val="left"/>
      </w:pPr>
    </w:p>
    <w:p w:rsidR="000D010A" w:rsidRPr="005B7371" w:rsidRDefault="005B7371">
      <w:pPr>
        <w:spacing w:after="18" w:line="259" w:lineRule="auto"/>
        <w:ind w:left="0" w:firstLine="0"/>
        <w:jc w:val="left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V Brně dne                                                                              V Brně dne</w:t>
      </w:r>
    </w:p>
    <w:p w:rsidR="005B7371" w:rsidRDefault="005B7371">
      <w:pPr>
        <w:spacing w:after="18" w:line="259" w:lineRule="auto"/>
        <w:ind w:left="0" w:firstLine="0"/>
        <w:jc w:val="left"/>
      </w:pPr>
    </w:p>
    <w:p w:rsidR="005B7371" w:rsidRDefault="005B7371">
      <w:pPr>
        <w:spacing w:after="18" w:line="259" w:lineRule="auto"/>
        <w:ind w:left="0" w:firstLine="0"/>
        <w:jc w:val="left"/>
      </w:pPr>
    </w:p>
    <w:p w:rsidR="00036BA4" w:rsidRDefault="00036BA4">
      <w:pPr>
        <w:spacing w:after="18" w:line="259" w:lineRule="auto"/>
        <w:ind w:left="0" w:firstLine="0"/>
        <w:jc w:val="left"/>
      </w:pPr>
    </w:p>
    <w:p w:rsidR="005B7371" w:rsidRPr="005B7371" w:rsidRDefault="005B7371">
      <w:pPr>
        <w:spacing w:after="18" w:line="259" w:lineRule="auto"/>
        <w:ind w:left="0" w:firstLine="0"/>
        <w:jc w:val="left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 xml:space="preserve">----------------------------------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7371">
        <w:rPr>
          <w:rFonts w:ascii="Times New Roman" w:hAnsi="Times New Roman" w:cs="Times New Roman"/>
        </w:rPr>
        <w:t>-------------------------------------</w:t>
      </w:r>
    </w:p>
    <w:p w:rsidR="000D010A" w:rsidRDefault="005B7371">
      <w:pPr>
        <w:spacing w:after="18" w:line="259" w:lineRule="auto"/>
        <w:ind w:left="0" w:firstLine="0"/>
        <w:jc w:val="left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 xml:space="preserve">PhDr. Pavel Ciprian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2F33CA">
        <w:rPr>
          <w:rFonts w:ascii="Times New Roman" w:hAnsi="Times New Roman" w:cs="Times New Roman"/>
        </w:rPr>
        <w:t xml:space="preserve">Ing., </w:t>
      </w:r>
      <w:proofErr w:type="spellStart"/>
      <w:r w:rsidR="002F33CA">
        <w:rPr>
          <w:rFonts w:ascii="Times New Roman" w:hAnsi="Times New Roman" w:cs="Times New Roman"/>
        </w:rPr>
        <w:t>ThLic</w:t>
      </w:r>
      <w:proofErr w:type="spellEnd"/>
      <w:r w:rsidR="002F33CA">
        <w:rPr>
          <w:rFonts w:ascii="Times New Roman" w:hAnsi="Times New Roman" w:cs="Times New Roman"/>
        </w:rPr>
        <w:t xml:space="preserve">. </w:t>
      </w:r>
      <w:r w:rsidR="002F33CA" w:rsidRPr="009E6F61">
        <w:rPr>
          <w:rFonts w:ascii="Times New Roman" w:hAnsi="Times New Roman" w:cs="Times New Roman"/>
        </w:rPr>
        <w:t>Evžen Martin</w:t>
      </w:r>
      <w:r w:rsidR="002F33CA">
        <w:rPr>
          <w:rFonts w:ascii="Times New Roman" w:hAnsi="Times New Roman" w:cs="Times New Roman"/>
        </w:rPr>
        <w:t>e</w:t>
      </w:r>
      <w:r w:rsidR="002F33CA" w:rsidRPr="009E6F61">
        <w:rPr>
          <w:rFonts w:ascii="Times New Roman" w:hAnsi="Times New Roman" w:cs="Times New Roman"/>
        </w:rPr>
        <w:t xml:space="preserve">c, </w:t>
      </w:r>
      <w:r w:rsidR="002F33CA">
        <w:rPr>
          <w:rFonts w:ascii="Times New Roman" w:hAnsi="Times New Roman" w:cs="Times New Roman"/>
        </w:rPr>
        <w:t>Ph.D., MBA</w:t>
      </w:r>
    </w:p>
    <w:sectPr w:rsidR="000D010A" w:rsidSect="00BF206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6" w:right="1407" w:bottom="1617" w:left="1416" w:header="764" w:footer="7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EA7" w:rsidRDefault="00EB7EA7">
      <w:pPr>
        <w:spacing w:after="0" w:line="240" w:lineRule="auto"/>
      </w:pPr>
      <w:r>
        <w:separator/>
      </w:r>
    </w:p>
  </w:endnote>
  <w:endnote w:type="continuationSeparator" w:id="0">
    <w:p w:rsidR="00EB7EA7" w:rsidRDefault="00EB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8B" w:rsidRDefault="00FE0167">
    <w:pPr>
      <w:spacing w:after="0" w:line="259" w:lineRule="auto"/>
      <w:ind w:left="0" w:right="5" w:firstLine="0"/>
      <w:jc w:val="center"/>
    </w:pPr>
    <w:r>
      <w:fldChar w:fldCharType="begin"/>
    </w:r>
    <w:r w:rsidR="00B53E91">
      <w:instrText xml:space="preserve"> PAGE   \* MERGEFORMAT </w:instrText>
    </w:r>
    <w:r>
      <w:fldChar w:fldCharType="separate"/>
    </w:r>
    <w:r w:rsidR="00B53E91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B53E91">
      <w:rPr>
        <w:rFonts w:ascii="Times New Roman" w:eastAsia="Times New Roman" w:hAnsi="Times New Roman" w:cs="Times New Roman"/>
      </w:rPr>
      <w:t xml:space="preserve"> </w:t>
    </w:r>
  </w:p>
  <w:p w:rsidR="0033698B" w:rsidRDefault="00B53E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8B" w:rsidRDefault="00FE0167">
    <w:pPr>
      <w:spacing w:after="0" w:line="259" w:lineRule="auto"/>
      <w:ind w:left="0" w:right="5" w:firstLine="0"/>
      <w:jc w:val="center"/>
    </w:pPr>
    <w:r>
      <w:fldChar w:fldCharType="begin"/>
    </w:r>
    <w:r w:rsidR="00B53E91">
      <w:instrText xml:space="preserve"> PAGE   \* MERGEFORMAT </w:instrText>
    </w:r>
    <w:r>
      <w:fldChar w:fldCharType="separate"/>
    </w:r>
    <w:r w:rsidR="009E5DE3" w:rsidRPr="009E5DE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 w:rsidR="00B53E91">
      <w:rPr>
        <w:rFonts w:ascii="Times New Roman" w:eastAsia="Times New Roman" w:hAnsi="Times New Roman" w:cs="Times New Roman"/>
      </w:rPr>
      <w:t xml:space="preserve"> </w:t>
    </w:r>
  </w:p>
  <w:p w:rsidR="0033698B" w:rsidRDefault="00B53E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8B" w:rsidRDefault="00FE0167">
    <w:pPr>
      <w:spacing w:after="0" w:line="259" w:lineRule="auto"/>
      <w:ind w:left="0" w:right="5" w:firstLine="0"/>
      <w:jc w:val="center"/>
    </w:pPr>
    <w:r>
      <w:fldChar w:fldCharType="begin"/>
    </w:r>
    <w:r w:rsidR="00B53E91">
      <w:instrText xml:space="preserve"> PAGE   \* MERGEFORMAT </w:instrText>
    </w:r>
    <w:r>
      <w:fldChar w:fldCharType="separate"/>
    </w:r>
    <w:r w:rsidR="00B53E91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B53E91">
      <w:rPr>
        <w:rFonts w:ascii="Times New Roman" w:eastAsia="Times New Roman" w:hAnsi="Times New Roman" w:cs="Times New Roman"/>
      </w:rPr>
      <w:t xml:space="preserve"> </w:t>
    </w:r>
  </w:p>
  <w:p w:rsidR="0033698B" w:rsidRDefault="00B53E9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EA7" w:rsidRDefault="00EB7EA7">
      <w:pPr>
        <w:spacing w:after="0" w:line="240" w:lineRule="auto"/>
      </w:pPr>
      <w:r>
        <w:separator/>
      </w:r>
    </w:p>
  </w:footnote>
  <w:footnote w:type="continuationSeparator" w:id="0">
    <w:p w:rsidR="00EB7EA7" w:rsidRDefault="00EB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8B" w:rsidRDefault="00B53E91">
    <w:pPr>
      <w:spacing w:after="0" w:line="259" w:lineRule="auto"/>
      <w:ind w:left="0" w:firstLine="0"/>
      <w:jc w:val="left"/>
    </w:pPr>
    <w:r>
      <w:rPr>
        <w:i/>
        <w:sz w:val="20"/>
      </w:rPr>
      <w:t xml:space="preserve">Příloha návrhu usnesení č. 1 </w:t>
    </w:r>
  </w:p>
  <w:p w:rsidR="0033698B" w:rsidRDefault="00B53E91">
    <w:pPr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Smlouva o vzájemné spolupráci za účelem realizace projektu „Cyklistická stezka Doubravice - Hrádek“</w:t>
    </w:r>
    <w:r>
      <w:rPr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98B" w:rsidRDefault="00B53E91">
    <w:pPr>
      <w:spacing w:after="0" w:line="259" w:lineRule="auto"/>
      <w:ind w:left="0" w:firstLine="0"/>
      <w:jc w:val="left"/>
    </w:pPr>
    <w:r>
      <w:rPr>
        <w:i/>
        <w:sz w:val="20"/>
      </w:rPr>
      <w:t xml:space="preserve">Příloha návrhu usnesení č. 1 </w:t>
    </w:r>
  </w:p>
  <w:p w:rsidR="0033698B" w:rsidRDefault="00B53E91">
    <w:pPr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Smlouva o vzájemné spolupráci za účelem realizace projektu „Cyklistická stezka Doubravice - Hrádek“</w:t>
    </w:r>
    <w:r>
      <w:rPr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066"/>
    <w:multiLevelType w:val="hybridMultilevel"/>
    <w:tmpl w:val="A8CAEFF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BE2576"/>
    <w:multiLevelType w:val="hybridMultilevel"/>
    <w:tmpl w:val="A6E41BB6"/>
    <w:lvl w:ilvl="0" w:tplc="ABCC6744">
      <w:start w:val="1"/>
      <w:numFmt w:val="decimal"/>
      <w:lvlText w:val="%1."/>
      <w:lvlJc w:val="left"/>
      <w:pPr>
        <w:ind w:left="7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1DA3279F"/>
    <w:multiLevelType w:val="hybridMultilevel"/>
    <w:tmpl w:val="5650A7BA"/>
    <w:lvl w:ilvl="0" w:tplc="279017B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43D1C">
      <w:start w:val="1"/>
      <w:numFmt w:val="decimal"/>
      <w:lvlText w:val="%2.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4DCC0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AA8EE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E10C2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894F8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0DF00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A21AA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2DEB8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52E19"/>
    <w:multiLevelType w:val="hybridMultilevel"/>
    <w:tmpl w:val="4072DF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49C2"/>
    <w:multiLevelType w:val="hybridMultilevel"/>
    <w:tmpl w:val="EF1C8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206"/>
    <w:multiLevelType w:val="hybridMultilevel"/>
    <w:tmpl w:val="747E992C"/>
    <w:lvl w:ilvl="0" w:tplc="C5E472B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229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E3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AF1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417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075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5B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004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642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E2078"/>
    <w:multiLevelType w:val="hybridMultilevel"/>
    <w:tmpl w:val="816A3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A046B"/>
    <w:multiLevelType w:val="hybridMultilevel"/>
    <w:tmpl w:val="DC9A891A"/>
    <w:lvl w:ilvl="0" w:tplc="9FCA98B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26B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C4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DF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A40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2A2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CD7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CAE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608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1E3EA3"/>
    <w:multiLevelType w:val="hybridMultilevel"/>
    <w:tmpl w:val="87F41F5E"/>
    <w:lvl w:ilvl="0" w:tplc="CD140CEC">
      <w:start w:val="1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411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AFD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6F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ECC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CB1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2D8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A9D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E9E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F77EE"/>
    <w:multiLevelType w:val="hybridMultilevel"/>
    <w:tmpl w:val="4F32AE86"/>
    <w:lvl w:ilvl="0" w:tplc="F0162970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283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82C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29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E9A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219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EEE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86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AF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A01272"/>
    <w:multiLevelType w:val="hybridMultilevel"/>
    <w:tmpl w:val="94FE3970"/>
    <w:lvl w:ilvl="0" w:tplc="D5E0716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EDC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ED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829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C17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A63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69D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91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4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0B04C4"/>
    <w:multiLevelType w:val="hybridMultilevel"/>
    <w:tmpl w:val="100CD8C6"/>
    <w:lvl w:ilvl="0" w:tplc="ABCC6744">
      <w:start w:val="1"/>
      <w:numFmt w:val="decimal"/>
      <w:lvlText w:val="%1."/>
      <w:lvlJc w:val="left"/>
      <w:pPr>
        <w:ind w:left="7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62855E82"/>
    <w:multiLevelType w:val="hybridMultilevel"/>
    <w:tmpl w:val="BB52BE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8B125E"/>
    <w:multiLevelType w:val="hybridMultilevel"/>
    <w:tmpl w:val="CCCC4A8C"/>
    <w:lvl w:ilvl="0" w:tplc="750A810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6F8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AB6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E95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EEC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67E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49B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41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E14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426842"/>
    <w:multiLevelType w:val="hybridMultilevel"/>
    <w:tmpl w:val="07CC76AC"/>
    <w:lvl w:ilvl="0" w:tplc="3148F336">
      <w:start w:val="1"/>
      <w:numFmt w:val="decimal"/>
      <w:lvlText w:val="%1.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45DA0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64F48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8806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87650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6FF72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E8E0C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65680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1548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4"/>
  </w:num>
  <w:num w:numId="5">
    <w:abstractNumId w:val="10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8B"/>
    <w:rsid w:val="00027AEE"/>
    <w:rsid w:val="00036BA4"/>
    <w:rsid w:val="000B05FB"/>
    <w:rsid w:val="000C1FF2"/>
    <w:rsid w:val="000D010A"/>
    <w:rsid w:val="00106DEB"/>
    <w:rsid w:val="0012458B"/>
    <w:rsid w:val="00126386"/>
    <w:rsid w:val="0019350E"/>
    <w:rsid w:val="00243DB1"/>
    <w:rsid w:val="00260C4A"/>
    <w:rsid w:val="002637ED"/>
    <w:rsid w:val="002731F4"/>
    <w:rsid w:val="0028743D"/>
    <w:rsid w:val="002E18C4"/>
    <w:rsid w:val="002F1A94"/>
    <w:rsid w:val="002F33CA"/>
    <w:rsid w:val="0033698B"/>
    <w:rsid w:val="00373E7B"/>
    <w:rsid w:val="00395403"/>
    <w:rsid w:val="003A489E"/>
    <w:rsid w:val="00483A4D"/>
    <w:rsid w:val="0049697C"/>
    <w:rsid w:val="0052514E"/>
    <w:rsid w:val="00525B89"/>
    <w:rsid w:val="005673AC"/>
    <w:rsid w:val="00593860"/>
    <w:rsid w:val="005B7371"/>
    <w:rsid w:val="005D59BC"/>
    <w:rsid w:val="00637C32"/>
    <w:rsid w:val="006F683E"/>
    <w:rsid w:val="007067A4"/>
    <w:rsid w:val="007A1924"/>
    <w:rsid w:val="007D034A"/>
    <w:rsid w:val="007D6C16"/>
    <w:rsid w:val="007F5B4A"/>
    <w:rsid w:val="00816582"/>
    <w:rsid w:val="0084099B"/>
    <w:rsid w:val="00862612"/>
    <w:rsid w:val="00887386"/>
    <w:rsid w:val="0089498A"/>
    <w:rsid w:val="008F2703"/>
    <w:rsid w:val="00946BA1"/>
    <w:rsid w:val="00972CA0"/>
    <w:rsid w:val="00990E43"/>
    <w:rsid w:val="009A65D0"/>
    <w:rsid w:val="009B1D48"/>
    <w:rsid w:val="009B5AA5"/>
    <w:rsid w:val="009B6A89"/>
    <w:rsid w:val="009B75DB"/>
    <w:rsid w:val="009E43E6"/>
    <w:rsid w:val="009E5DE3"/>
    <w:rsid w:val="009E6F61"/>
    <w:rsid w:val="00A00F20"/>
    <w:rsid w:val="00A1167A"/>
    <w:rsid w:val="00A30F85"/>
    <w:rsid w:val="00A62CB8"/>
    <w:rsid w:val="00A87DCF"/>
    <w:rsid w:val="00AB07DA"/>
    <w:rsid w:val="00AC0DD6"/>
    <w:rsid w:val="00AD4C07"/>
    <w:rsid w:val="00AE02B7"/>
    <w:rsid w:val="00B247F4"/>
    <w:rsid w:val="00B53E91"/>
    <w:rsid w:val="00B5572C"/>
    <w:rsid w:val="00B613C3"/>
    <w:rsid w:val="00BD3F2D"/>
    <w:rsid w:val="00BF206F"/>
    <w:rsid w:val="00C2029D"/>
    <w:rsid w:val="00C244AD"/>
    <w:rsid w:val="00C51889"/>
    <w:rsid w:val="00C80E16"/>
    <w:rsid w:val="00C82D8D"/>
    <w:rsid w:val="00CB398E"/>
    <w:rsid w:val="00CB3C19"/>
    <w:rsid w:val="00CC0AC1"/>
    <w:rsid w:val="00D24196"/>
    <w:rsid w:val="00D573D6"/>
    <w:rsid w:val="00D73684"/>
    <w:rsid w:val="00D93A4E"/>
    <w:rsid w:val="00DC2734"/>
    <w:rsid w:val="00DD1999"/>
    <w:rsid w:val="00DE211E"/>
    <w:rsid w:val="00EB7EA7"/>
    <w:rsid w:val="00EC7BD9"/>
    <w:rsid w:val="00ED39CC"/>
    <w:rsid w:val="00F52A11"/>
    <w:rsid w:val="00F56C4B"/>
    <w:rsid w:val="00FE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BF25"/>
  <w15:docId w15:val="{C2E0100B-6333-4327-99F1-C7A20C71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206F"/>
    <w:pPr>
      <w:spacing w:after="5" w:line="250" w:lineRule="auto"/>
      <w:ind w:left="437" w:hanging="437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BF206F"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206F"/>
    <w:rPr>
      <w:rFonts w:ascii="Calibri" w:eastAsia="Calibri" w:hAnsi="Calibri" w:cs="Calibri"/>
      <w:b/>
      <w:color w:val="000000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AE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E02B7"/>
    <w:rPr>
      <w:rFonts w:ascii="Calibri" w:eastAsia="Calibri" w:hAnsi="Calibri" w:cs="Calibri"/>
      <w:color w:val="000000"/>
      <w:sz w:val="24"/>
    </w:rPr>
  </w:style>
  <w:style w:type="character" w:customStyle="1" w:styleId="nowrap">
    <w:name w:val="nowrap"/>
    <w:basedOn w:val="Standardnpsmoodstavce"/>
    <w:rsid w:val="00AE02B7"/>
  </w:style>
  <w:style w:type="paragraph" w:styleId="Odstavecseseznamem">
    <w:name w:val="List Paragraph"/>
    <w:basedOn w:val="Normln"/>
    <w:uiPriority w:val="34"/>
    <w:qFormat/>
    <w:rsid w:val="00CC0AC1"/>
    <w:pPr>
      <w:ind w:left="720"/>
      <w:contextualSpacing/>
    </w:pPr>
  </w:style>
  <w:style w:type="paragraph" w:customStyle="1" w:styleId="Default">
    <w:name w:val="Default"/>
    <w:rsid w:val="000D010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0C1FF2"/>
    <w:rPr>
      <w:i/>
      <w:iCs/>
    </w:rPr>
  </w:style>
  <w:style w:type="paragraph" w:styleId="Nzev">
    <w:name w:val="Title"/>
    <w:basedOn w:val="Normln"/>
    <w:link w:val="NzevChar"/>
    <w:qFormat/>
    <w:rsid w:val="00A62CB8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A62CB8"/>
    <w:rPr>
      <w:rFonts w:ascii="Times New Roman" w:eastAsia="Times New Roman" w:hAnsi="Times New Roman" w:cs="Times New Roman"/>
      <w:sz w:val="36"/>
      <w:szCs w:val="20"/>
    </w:rPr>
  </w:style>
  <w:style w:type="paragraph" w:styleId="Zkladntext">
    <w:name w:val="Body Text"/>
    <w:basedOn w:val="Normln"/>
    <w:link w:val="ZkladntextChar"/>
    <w:semiHidden/>
    <w:rsid w:val="005D59BC"/>
    <w:pPr>
      <w:spacing w:after="0" w:line="240" w:lineRule="atLeast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D59BC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46BA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6BA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99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 za účelem realizace projektu Cyklistická stezka Doubravice  Hrádek</vt:lpstr>
    </vt:vector>
  </TitlesOfParts>
  <Company>Hewlett-Packard Company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 za účelem realizace projektu Cyklistická stezka Doubravice  Hrádek</dc:title>
  <dc:creator>Pavloval</dc:creator>
  <cp:lastModifiedBy>Šebestová, Eva</cp:lastModifiedBy>
  <cp:revision>2</cp:revision>
  <cp:lastPrinted>2020-07-27T10:39:00Z</cp:lastPrinted>
  <dcterms:created xsi:type="dcterms:W3CDTF">2020-07-29T11:16:00Z</dcterms:created>
  <dcterms:modified xsi:type="dcterms:W3CDTF">2020-07-29T11:16:00Z</dcterms:modified>
</cp:coreProperties>
</file>