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Heading3"/>
        <w:ind w:left="132"/>
      </w:pPr>
      <w:r>
        <w:rPr/>
        <w:pict>
          <v:group style="width:207.6pt;height:79.95pt;mso-position-horizontal-relative:char;mso-position-vertical-relative:line" coordorigin="0,0" coordsize="4152,1599">
            <v:rect style="position:absolute;left:7;top:7;width:4137;height:1584" filled="false" stroked="true" strokeweight=".75pt" strokecolor="#000000">
              <v:stroke dashstyle="solid"/>
            </v:rect>
          </v:group>
        </w:pict>
      </w:r>
      <w:r>
        <w:rPr/>
      </w:r>
      <w:r>
        <w:rPr>
          <w:spacing w:val="28"/>
        </w:rPr>
        <w:t> </w:t>
      </w:r>
      <w:r>
        <w:rPr>
          <w:spacing w:val="28"/>
          <w:position w:val="0"/>
        </w:rPr>
        <w:pict>
          <v:shape style="width:277.350pt;height:79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145" w:right="0" w:firstLine="0"/>
                    <w:jc w:val="left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ADRESÁT: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b/>
                      <w:sz w:val="19"/>
                    </w:rPr>
                  </w:pPr>
                </w:p>
                <w:p>
                  <w:pPr>
                    <w:spacing w:before="0"/>
                    <w:ind w:left="145" w:right="1479" w:firstLine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Střední odborná škola pro administrativu EU Lipí 1911, 193 00 Praha 9</w:t>
                  </w:r>
                </w:p>
              </w:txbxContent>
            </v:textbox>
            <v:stroke dashstyle="solid"/>
          </v:shape>
        </w:pict>
      </w:r>
      <w:r>
        <w:rPr>
          <w:spacing w:val="28"/>
          <w:position w:val="0"/>
        </w:rPr>
      </w:r>
    </w:p>
    <w:p>
      <w:pPr>
        <w:pStyle w:val="BodyText"/>
        <w:spacing w:before="9"/>
        <w:rPr>
          <w:rFonts w:ascii="Times New Roman"/>
          <w:sz w:val="4"/>
        </w:rPr>
      </w:pPr>
    </w:p>
    <w:p>
      <w:pPr>
        <w:pStyle w:val="BodyText"/>
        <w:ind w:left="13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0.35pt;height:69.75pt;mso-position-horizontal-relative:char;mso-position-vertical-relative:line" coordorigin="0,0" coordsize="9807,1395">
            <v:rect style="position:absolute;left:7;top:7;width:9792;height:1380" filled="false" stroked="true" strokeweight=".75pt" strokecolor="#000000">
              <v:stroke dashstyle="solid"/>
            </v:rect>
            <v:shape style="position:absolute;left:159;top:320;width:4835;height:915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OBSAH:</w:t>
                    </w:r>
                    <w:r>
                      <w:rPr>
                        <w:rFonts w:ascii="Times New Roman" w:hAnsi="Times New Roman"/>
                        <w:sz w:val="20"/>
                      </w:rPr>
                      <w:t>konstrukce, sklo, lakování, automatické dveře</w:t>
                    </w:r>
                  </w:p>
                  <w:p>
                    <w:pPr>
                      <w:spacing w:line="227" w:lineRule="exact" w:before="5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POPIS KONSTRUKCÍ:</w:t>
                    </w:r>
                  </w:p>
                  <w:p>
                    <w:pPr>
                      <w:spacing w:line="244" w:lineRule="auto" w:before="0"/>
                      <w:ind w:left="0" w:right="5" w:firstLine="0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Hliníkové konstrukce v systémech: ALUPROF S.A. (MB-70) Počet pozicí: 1. Počet konstrukcí: 1</w:t>
                    </w:r>
                  </w:p>
                </w:txbxContent>
              </v:textbox>
              <w10:wrap type="none"/>
            </v:shape>
            <v:shape style="position:absolute;left:6124;top:89;width:82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15.7.2020</w:t>
                    </w:r>
                  </w:p>
                </w:txbxContent>
              </v:textbox>
              <w10:wrap type="none"/>
            </v:shape>
            <v:shape style="position:absolute;left:2334;top:89;width:111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20NA000529</w:t>
                    </w:r>
                  </w:p>
                </w:txbxContent>
              </v:textbox>
              <w10:wrap type="none"/>
            </v:shape>
            <v:shape style="position:absolute;left:159;top:89;width:170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NABÍDKA ČÍSLO: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86"/>
        <w:ind w:left="116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Konstrukce 1</w:t>
      </w:r>
    </w:p>
    <w:p>
      <w:pPr>
        <w:pStyle w:val="BodyText"/>
        <w:spacing w:before="2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980255</wp:posOffset>
            </wp:positionH>
            <wp:positionV relativeFrom="paragraph">
              <wp:posOffset>201385</wp:posOffset>
            </wp:positionV>
            <wp:extent cx="5113740" cy="3491960"/>
            <wp:effectExtent l="0" t="0" r="0" b="0"/>
            <wp:wrapTopAndBottom/>
            <wp:docPr id="3" name="image2.png" descr="C:\Users\kokhanina\Desktop\Skola_LIPI\Výstřižek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740" cy="34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numPr>
          <w:ilvl w:val="0"/>
          <w:numId w:val="1"/>
        </w:numPr>
        <w:tabs>
          <w:tab w:pos="232" w:val="left" w:leader="none"/>
          <w:tab w:pos="5781" w:val="left" w:leader="none"/>
        </w:tabs>
        <w:spacing w:line="240" w:lineRule="auto" w:before="131" w:after="0"/>
        <w:ind w:left="116" w:right="3045" w:firstLine="0"/>
        <w:jc w:val="left"/>
      </w:pPr>
      <w:r>
        <w:rPr/>
        <w:t>automatické prosklené dveře RECORD STA 20 v</w:t>
      </w:r>
      <w:r>
        <w:rPr>
          <w:spacing w:val="-11"/>
        </w:rPr>
        <w:t> </w:t>
      </w:r>
      <w:r>
        <w:rPr/>
        <w:t>provedení</w:t>
      </w:r>
      <w:r>
        <w:rPr>
          <w:spacing w:val="-3"/>
        </w:rPr>
        <w:t> </w:t>
      </w:r>
      <w:r>
        <w:rPr/>
        <w:t>IZO</w:t>
        <w:tab/>
        <w:t>- 90 999,73,- </w:t>
      </w:r>
      <w:r>
        <w:rPr>
          <w:spacing w:val="-7"/>
        </w:rPr>
        <w:t>Kč </w:t>
      </w:r>
      <w:r>
        <w:rPr/>
        <w:t>Přidán průchozí podlahový zámek a Klíčový</w:t>
      </w:r>
      <w:r>
        <w:rPr>
          <w:spacing w:val="-9"/>
        </w:rPr>
        <w:t> </w:t>
      </w:r>
      <w:r>
        <w:rPr/>
        <w:t>spínač.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  <w:tab w:pos="5781" w:val="left" w:leader="none"/>
        </w:tabs>
        <w:spacing w:line="240" w:lineRule="auto" w:before="0" w:after="0"/>
        <w:ind w:left="231" w:right="0" w:hanging="116"/>
        <w:jc w:val="left"/>
        <w:rPr>
          <w:sz w:val="20"/>
        </w:rPr>
      </w:pPr>
      <w:r>
        <w:rPr>
          <w:sz w:val="20"/>
        </w:rPr>
        <w:t>portál</w:t>
      </w:r>
      <w:r>
        <w:rPr>
          <w:spacing w:val="-1"/>
          <w:sz w:val="20"/>
        </w:rPr>
        <w:t> </w:t>
      </w:r>
      <w:r>
        <w:rPr>
          <w:sz w:val="20"/>
        </w:rPr>
        <w:t>MB70</w:t>
        <w:tab/>
        <w:t>- 53 958,-</w:t>
      </w:r>
      <w:r>
        <w:rPr>
          <w:spacing w:val="-3"/>
          <w:sz w:val="20"/>
        </w:rPr>
        <w:t> </w:t>
      </w:r>
      <w:r>
        <w:rPr>
          <w:sz w:val="20"/>
        </w:rPr>
        <w:t>Kč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  <w:tab w:pos="5781" w:val="left" w:leader="none"/>
        </w:tabs>
        <w:spacing w:line="240" w:lineRule="auto" w:before="1" w:after="0"/>
        <w:ind w:left="231" w:right="0" w:hanging="116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66432" from="67.344002pt,23.545921pt" to="283.484002pt,23.545921pt" stroked="true" strokeweight=".48004pt" strokecolor="#000000">
            <v:stroke dashstyle="solid"/>
            <w10:wrap type="none"/>
          </v:line>
        </w:pict>
      </w:r>
      <w:r>
        <w:rPr/>
        <w:pict>
          <v:group style="position:absolute;margin-left:283.489990pt;margin-top:23.305902pt;width:255.2pt;height:.5pt;mso-position-horizontal-relative:page;mso-position-vertical-relative:paragraph;z-index:251667456" coordorigin="5670,466" coordsize="5104,10">
            <v:rect style="position:absolute;left:5669;top:466;width:10;height:10" filled="true" fillcolor="#000000" stroked="false">
              <v:fill type="solid"/>
            </v:rect>
            <v:line style="position:absolute" from="5679,471" to="10773,471" stroked="true" strokeweight=".48004pt" strokecolor="#000000">
              <v:stroke dashstyle="solid"/>
            </v:line>
            <w10:wrap type="none"/>
          </v:group>
        </w:pict>
      </w:r>
      <w:r>
        <w:rPr>
          <w:sz w:val="20"/>
        </w:rPr>
        <w:t>demontáž</w:t>
      </w:r>
      <w:r>
        <w:rPr>
          <w:spacing w:val="-2"/>
          <w:sz w:val="20"/>
        </w:rPr>
        <w:t> </w:t>
      </w:r>
      <w:r>
        <w:rPr>
          <w:sz w:val="20"/>
        </w:rPr>
        <w:t>stávající</w:t>
      </w:r>
      <w:r>
        <w:rPr>
          <w:spacing w:val="-2"/>
          <w:sz w:val="20"/>
        </w:rPr>
        <w:t> </w:t>
      </w:r>
      <w:r>
        <w:rPr>
          <w:sz w:val="20"/>
        </w:rPr>
        <w:t>konstrukci</w:t>
        <w:tab/>
        <w:t>- 6 000,-</w:t>
      </w:r>
      <w:r>
        <w:rPr>
          <w:spacing w:val="-3"/>
          <w:sz w:val="20"/>
        </w:rPr>
        <w:t> </w:t>
      </w:r>
      <w:r>
        <w:rPr>
          <w:sz w:val="20"/>
        </w:rPr>
        <w:t>Kč</w:t>
      </w:r>
    </w:p>
    <w:p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jc w:val="left"/>
        <w:tblInd w:w="1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4051"/>
      </w:tblGrid>
      <w:tr>
        <w:trPr>
          <w:trHeight w:val="1291" w:hRule="atLeast"/>
        </w:trPr>
        <w:tc>
          <w:tcPr>
            <w:tcW w:w="3797" w:type="dxa"/>
          </w:tcPr>
          <w:p>
            <w:pPr>
              <w:pStyle w:val="TableParagraph"/>
              <w:spacing w:before="23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CELKEM bez DPH:</w:t>
            </w:r>
          </w:p>
        </w:tc>
        <w:tc>
          <w:tcPr>
            <w:tcW w:w="405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560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957,73,-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122"/>
              <w:rPr>
                <w:b/>
                <w:sz w:val="28"/>
              </w:rPr>
            </w:pPr>
            <w:r>
              <w:rPr>
                <w:b/>
                <w:sz w:val="28"/>
              </w:rPr>
              <w:t>Po slevě  146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957,73,-Kč</w:t>
            </w:r>
          </w:p>
        </w:tc>
      </w:tr>
    </w:tbl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116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Cena je včetně dopravy a montáže.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1136" w:top="2140" w:bottom="1320" w:left="1300" w:right="46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spacing w:before="89"/>
        <w:ind w:left="11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21F1F"/>
          <w:sz w:val="28"/>
        </w:rPr>
        <w:t>TECHNICKÁ SPECIFIKACE</w:t>
      </w:r>
    </w:p>
    <w:p>
      <w:pPr>
        <w:pStyle w:val="BodyText"/>
        <w:spacing w:before="8"/>
        <w:rPr>
          <w:rFonts w:ascii="Times New Roman"/>
          <w:b/>
          <w:sz w:val="9"/>
        </w:rPr>
      </w:pPr>
    </w:p>
    <w:p>
      <w:pPr>
        <w:spacing w:after="0"/>
        <w:rPr>
          <w:rFonts w:ascii="Times New Roman"/>
          <w:sz w:val="9"/>
        </w:rPr>
        <w:sectPr>
          <w:pgSz w:w="11910" w:h="16840"/>
          <w:pgMar w:header="720" w:footer="1136" w:top="2140" w:bottom="1320" w:left="1300" w:right="460"/>
        </w:sectPr>
      </w:pPr>
    </w:p>
    <w:p>
      <w:pPr>
        <w:spacing w:line="244" w:lineRule="auto" w:before="94"/>
        <w:ind w:left="116" w:right="31" w:firstLine="0"/>
        <w:jc w:val="left"/>
        <w:rPr>
          <w:sz w:val="18"/>
        </w:rPr>
      </w:pPr>
      <w:r>
        <w:rPr>
          <w:b/>
          <w:sz w:val="18"/>
        </w:rPr>
        <w:t>Kombinovaný senzor (dle EN 16005) </w:t>
      </w:r>
      <w:r>
        <w:rPr>
          <w:sz w:val="18"/>
        </w:rPr>
        <w:t>funguje nejen jako radar (pohybové čidlo), ale také hlídá prostor před vašimi dveřmi pomocí bezpečnostní dvojité záclony, která je</w:t>
      </w:r>
    </w:p>
    <w:p>
      <w:pPr>
        <w:pStyle w:val="BodyText"/>
        <w:ind w:left="116" w:right="184"/>
      </w:pPr>
      <w:r>
        <w:rPr/>
        <w:t>tvořena 24 překrývajícími se body ve dvou řadách, což zajišťuje spolehlivou detekci pohybující se osoby v prostoru, kde by mohlo dojít ke střetu s dveřním křídlem.</w:t>
      </w:r>
    </w:p>
    <w:p>
      <w:pPr>
        <w:pStyle w:val="BodyText"/>
        <w:ind w:left="116" w:right="21"/>
      </w:pPr>
      <w:r>
        <w:rPr/>
        <w:t>Jakmile do tohoto prostoru vstoupí osoba, nebo se v něm již nachází, dveřní křídlo se okamžitě zastaví.</w:t>
      </w:r>
    </w:p>
    <w:p>
      <w:pPr>
        <w:spacing w:before="113"/>
        <w:ind w:left="116" w:right="401" w:firstLine="0"/>
        <w:jc w:val="left"/>
        <w:rPr>
          <w:i/>
          <w:sz w:val="18"/>
        </w:rPr>
      </w:pPr>
      <w:r>
        <w:rPr>
          <w:i/>
          <w:sz w:val="18"/>
        </w:rPr>
        <w:t>V případě použití tohoto senzoru nedochází k nežádoucím zraněním či sevřením dveřními křídly.</w:t>
      </w:r>
    </w:p>
    <w:p>
      <w:pPr>
        <w:pStyle w:val="BodyText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14"/>
        <w:ind w:left="116" w:right="663" w:firstLine="192"/>
        <w:jc w:val="left"/>
        <w:rPr>
          <w:rFonts w:ascii="TimesNewRomanPS-BoldItalicMT" w:hAnsi="TimesNewRomanPS-BoldItalicMT"/>
          <w:b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251450368">
            <wp:simplePos x="0" y="0"/>
            <wp:positionH relativeFrom="page">
              <wp:posOffset>5462011</wp:posOffset>
            </wp:positionH>
            <wp:positionV relativeFrom="paragraph">
              <wp:posOffset>-943966</wp:posOffset>
            </wp:positionV>
            <wp:extent cx="1521199" cy="112486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199" cy="112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ItalicMT" w:hAnsi="TimesNewRomanPS-BoldItalicMT"/>
          <w:b/>
          <w:i/>
          <w:sz w:val="16"/>
        </w:rPr>
        <w:t>Prostory radarového snímání </w:t>
      </w:r>
      <w:r>
        <w:rPr>
          <w:rFonts w:ascii="Arial-BoldItalicMT" w:hAnsi="Arial-BoldItalicMT"/>
          <w:b/>
          <w:i/>
          <w:w w:val="95"/>
          <w:sz w:val="16"/>
        </w:rPr>
        <w:t>v souladu s </w:t>
      </w:r>
      <w:r>
        <w:rPr>
          <w:rFonts w:ascii="TimesNewRomanPS-BoldItalicMT" w:hAnsi="TimesNewRomanPS-BoldItalicMT"/>
          <w:b/>
          <w:i/>
          <w:w w:val="95"/>
          <w:sz w:val="16"/>
        </w:rPr>
        <w:t>nastavením citlivosti</w:t>
      </w:r>
    </w:p>
    <w:p>
      <w:pPr>
        <w:spacing w:after="0"/>
        <w:jc w:val="left"/>
        <w:rPr>
          <w:rFonts w:ascii="TimesNewRomanPS-BoldItalicMT" w:hAnsi="TimesNewRomanPS-BoldItalicMT"/>
          <w:sz w:val="16"/>
        </w:rPr>
        <w:sectPr>
          <w:type w:val="continuous"/>
          <w:pgSz w:w="11910" w:h="16840"/>
          <w:pgMar w:top="2140" w:bottom="1320" w:left="1300" w:right="460"/>
          <w:cols w:num="2" w:equalWidth="0">
            <w:col w:w="6961" w:space="224"/>
            <w:col w:w="2965"/>
          </w:cols>
        </w:sectPr>
      </w:pPr>
    </w:p>
    <w:p>
      <w:pPr>
        <w:pStyle w:val="BodyText"/>
        <w:tabs>
          <w:tab w:pos="2269" w:val="left" w:leader="none"/>
        </w:tabs>
        <w:spacing w:before="178"/>
        <w:ind w:left="116"/>
      </w:pPr>
      <w:r>
        <w:rPr>
          <w:b/>
        </w:rPr>
        <w:t>Elektromagnetický</w:t>
        <w:tab/>
      </w:r>
      <w:r>
        <w:rPr/>
        <w:t>Je umístěn na styčné rovině křídel při zavřeném stavu. Zabezpečuje mechanické</w:t>
      </w:r>
      <w:r>
        <w:rPr>
          <w:spacing w:val="-22"/>
        </w:rPr>
        <w:t> </w:t>
      </w:r>
      <w:r>
        <w:rPr/>
        <w:t>zajištění</w:t>
      </w:r>
    </w:p>
    <w:p>
      <w:pPr>
        <w:pStyle w:val="BodyText"/>
        <w:tabs>
          <w:tab w:pos="2240" w:val="left" w:leader="none"/>
        </w:tabs>
        <w:spacing w:line="244" w:lineRule="auto" w:before="120"/>
        <w:ind w:left="2240" w:right="112" w:hanging="2124"/>
        <w:jc w:val="both"/>
      </w:pPr>
      <w:r>
        <w:rPr>
          <w:b/>
        </w:rPr>
        <w:t>zámek:</w:t>
        <w:tab/>
      </w:r>
      <w:r>
        <w:rPr/>
        <w:t>křídel proti otevření při volbě funkce „zavřeno“ na ovládacím panelu. Tato funkce trvá i při přerušení dodávky el. napětí a je možné tento zámek ovládat nouzově</w:t>
      </w:r>
      <w:r>
        <w:rPr>
          <w:spacing w:val="-22"/>
        </w:rPr>
        <w:t> </w:t>
      </w:r>
      <w:r>
        <w:rPr/>
        <w:t>mechanicky.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2228" w:val="left" w:leader="none"/>
        </w:tabs>
        <w:ind w:left="116"/>
      </w:pPr>
      <w:r>
        <w:rPr>
          <w:b/>
        </w:rPr>
        <w:t>Napojení</w:t>
      </w:r>
      <w:r>
        <w:rPr>
          <w:b/>
          <w:spacing w:val="-3"/>
        </w:rPr>
        <w:t> </w:t>
      </w:r>
      <w:r>
        <w:rPr>
          <w:b/>
        </w:rPr>
        <w:t>na</w:t>
      </w:r>
      <w:r>
        <w:rPr>
          <w:b/>
          <w:spacing w:val="-1"/>
        </w:rPr>
        <w:t> </w:t>
      </w:r>
      <w:r>
        <w:rPr>
          <w:b/>
        </w:rPr>
        <w:t>ostatní</w:t>
        <w:tab/>
      </w:r>
      <w:r>
        <w:rPr/>
        <w:t>Řídící jednotka umožňuje připojení elektrického zámku, čtečky karet, domácího</w:t>
      </w:r>
      <w:r>
        <w:rPr>
          <w:spacing w:val="-20"/>
        </w:rPr>
        <w:t> </w:t>
      </w:r>
      <w:r>
        <w:rPr/>
        <w:t>telefonu</w:t>
      </w:r>
    </w:p>
    <w:p>
      <w:pPr>
        <w:pStyle w:val="BodyText"/>
        <w:tabs>
          <w:tab w:pos="2240" w:val="left" w:leader="none"/>
        </w:tabs>
        <w:spacing w:line="244" w:lineRule="auto" w:before="120"/>
        <w:ind w:left="2240" w:right="102" w:hanging="2124"/>
        <w:jc w:val="both"/>
      </w:pPr>
      <w:r>
        <w:rPr>
          <w:b/>
        </w:rPr>
        <w:t>zařízení:</w:t>
        <w:tab/>
      </w:r>
      <w:r>
        <w:rPr/>
        <w:t>nebo jiného externího snímače, dále umožňuje napojení na EZS, EPS a do sítě integrovaného systému řízení</w:t>
      </w:r>
      <w:r>
        <w:rPr>
          <w:spacing w:val="-3"/>
        </w:rPr>
        <w:t> </w:t>
      </w:r>
      <w:r>
        <w:rPr/>
        <w:t>budov.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tabs>
          <w:tab w:pos="2276" w:val="left" w:leader="none"/>
        </w:tabs>
        <w:spacing w:before="0"/>
        <w:ind w:left="116" w:right="0" w:firstLine="0"/>
        <w:jc w:val="left"/>
        <w:rPr>
          <w:sz w:val="18"/>
        </w:rPr>
      </w:pPr>
      <w:r>
        <w:rPr>
          <w:b/>
          <w:sz w:val="18"/>
        </w:rPr>
        <w:t>Na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ovládacím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panelu</w:t>
        <w:tab/>
      </w:r>
      <w:r>
        <w:rPr>
          <w:sz w:val="18"/>
        </w:rPr>
        <w:t>- automatický provoz (běžný</w:t>
      </w:r>
      <w:r>
        <w:rPr>
          <w:spacing w:val="-5"/>
          <w:sz w:val="18"/>
        </w:rPr>
        <w:t> </w:t>
      </w:r>
      <w:r>
        <w:rPr>
          <w:sz w:val="18"/>
        </w:rPr>
        <w:t>provoz)</w:t>
      </w:r>
    </w:p>
    <w:p>
      <w:pPr>
        <w:pStyle w:val="BodyText"/>
        <w:tabs>
          <w:tab w:pos="2276" w:val="left" w:leader="none"/>
        </w:tabs>
        <w:spacing w:before="120"/>
        <w:ind w:left="116"/>
      </w:pPr>
      <w:r>
        <w:rPr>
          <w:b/>
        </w:rPr>
        <w:t>lze</w:t>
      </w:r>
      <w:r>
        <w:rPr>
          <w:b/>
          <w:spacing w:val="-2"/>
        </w:rPr>
        <w:t> </w:t>
      </w:r>
      <w:r>
        <w:rPr>
          <w:b/>
        </w:rPr>
        <w:t>volit</w:t>
      </w:r>
      <w:r>
        <w:rPr>
          <w:b/>
          <w:spacing w:val="-2"/>
        </w:rPr>
        <w:t> </w:t>
      </w:r>
      <w:r>
        <w:rPr>
          <w:b/>
        </w:rPr>
        <w:t>režimy:</w:t>
        <w:tab/>
      </w:r>
      <w:r>
        <w:rPr/>
        <w:t>- jednosměrný provoz (konec pracovní doby – venkovní senzor je</w:t>
      </w:r>
      <w:r>
        <w:rPr>
          <w:spacing w:val="-10"/>
        </w:rPr>
        <w:t> </w:t>
      </w:r>
      <w:r>
        <w:rPr/>
        <w:t>deaktivován)</w:t>
      </w:r>
    </w:p>
    <w:p>
      <w:pPr>
        <w:pStyle w:val="ListParagraph"/>
        <w:numPr>
          <w:ilvl w:val="0"/>
          <w:numId w:val="2"/>
        </w:numPr>
        <w:tabs>
          <w:tab w:pos="2388" w:val="left" w:leader="none"/>
        </w:tabs>
        <w:spacing w:line="240" w:lineRule="auto" w:before="124" w:after="0"/>
        <w:ind w:left="2387" w:right="0" w:hanging="11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redukované otevření dveří (zimní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provoz)</w:t>
      </w:r>
    </w:p>
    <w:p>
      <w:pPr>
        <w:pStyle w:val="ListParagraph"/>
        <w:numPr>
          <w:ilvl w:val="0"/>
          <w:numId w:val="2"/>
        </w:numPr>
        <w:tabs>
          <w:tab w:pos="2388" w:val="left" w:leader="none"/>
        </w:tabs>
        <w:spacing w:line="240" w:lineRule="auto" w:before="119" w:after="0"/>
        <w:ind w:left="2387" w:right="0" w:hanging="11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trvalé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otevření</w:t>
      </w:r>
    </w:p>
    <w:p>
      <w:pPr>
        <w:pStyle w:val="ListParagraph"/>
        <w:numPr>
          <w:ilvl w:val="0"/>
          <w:numId w:val="2"/>
        </w:numPr>
        <w:tabs>
          <w:tab w:pos="2402" w:val="left" w:leader="none"/>
        </w:tabs>
        <w:spacing w:line="240" w:lineRule="auto" w:before="122" w:after="0"/>
        <w:ind w:left="2401" w:right="0" w:hanging="11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zavření a uzamčení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dveří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116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21F1F"/>
          <w:sz w:val="20"/>
        </w:rPr>
        <w:t>Požadavky na elektro:</w:t>
      </w:r>
    </w:p>
    <w:p>
      <w:pPr>
        <w:pStyle w:val="Heading4"/>
        <w:spacing w:before="195"/>
        <w:ind w:right="108" w:firstLine="707"/>
      </w:pPr>
      <w:r>
        <w:rPr/>
        <w:t>U dveří požadujeme samostatný přívod CYKY 3C x 1,5, 1 x 230V/50Hz, jednofázový samostatný jistič 6A. Přívod je veden vždy na pravou stranu (při pohledu na kryt pohonu) do prostoru vodící kolejnice, dle výšky dveří (výška průchodu + 50 mm). Požadovaná volná délka kabelu je 2m.</w:t>
      </w:r>
    </w:p>
    <w:p>
      <w:pPr>
        <w:spacing w:before="0"/>
        <w:ind w:left="116" w:right="0" w:firstLine="0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Ovládací panel bude umístěn na krytu pohonu. Propojení zajistíme v rámci dodávky dveří.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7"/>
        </w:rPr>
      </w:pPr>
    </w:p>
    <w:p>
      <w:pPr>
        <w:spacing w:before="0"/>
        <w:ind w:left="116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1F1F"/>
          <w:sz w:val="28"/>
        </w:rPr>
        <w:t>3. ZÁRUKA A OSTATNÍ PODMÍNKY DODÁVKY</w:t>
      </w:r>
    </w:p>
    <w:p>
      <w:pPr>
        <w:pStyle w:val="BodyText"/>
        <w:tabs>
          <w:tab w:pos="2240" w:val="left" w:leader="none"/>
        </w:tabs>
        <w:spacing w:before="231"/>
        <w:ind w:left="116"/>
      </w:pPr>
      <w:r>
        <w:rPr>
          <w:b/>
        </w:rPr>
        <w:t>Dodací</w:t>
      </w:r>
      <w:r>
        <w:rPr>
          <w:b/>
          <w:spacing w:val="-4"/>
        </w:rPr>
        <w:t> </w:t>
      </w:r>
      <w:r>
        <w:rPr>
          <w:b/>
        </w:rPr>
        <w:t>podmínky:</w:t>
        <w:tab/>
      </w:r>
      <w:r>
        <w:rPr/>
        <w:t>Termín kompletní dodávky je 5-6 týdnů od objednání a technického vyjasnění. Záloha</w:t>
      </w:r>
      <w:r>
        <w:rPr>
          <w:spacing w:val="-14"/>
        </w:rPr>
        <w:t> </w:t>
      </w:r>
      <w:r>
        <w:rPr/>
        <w:t>30%.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2240" w:val="left" w:leader="none"/>
        </w:tabs>
        <w:spacing w:line="242" w:lineRule="auto"/>
        <w:ind w:left="2240" w:right="104" w:hanging="2124"/>
        <w:jc w:val="both"/>
      </w:pPr>
      <w:r>
        <w:rPr>
          <w:b/>
        </w:rPr>
        <w:t>Montáž:</w:t>
        <w:tab/>
      </w:r>
      <w:r>
        <w:rPr/>
        <w:t>Dveře se instalují do hotového začištěného otvoru a na hotovou podlahu. Před započetím montáže musí být přiveden el. přívod k pohonu dveří a nataženy kabely k ovládacímu panelu (pokud není umístěn na krytu</w:t>
      </w:r>
      <w:r>
        <w:rPr>
          <w:spacing w:val="-7"/>
        </w:rPr>
        <w:t> </w:t>
      </w:r>
      <w:r>
        <w:rPr/>
        <w:t>pohonu).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2240" w:val="left" w:leader="none"/>
        </w:tabs>
        <w:spacing w:line="247" w:lineRule="auto"/>
        <w:ind w:left="2240" w:right="99" w:hanging="2124"/>
        <w:jc w:val="both"/>
      </w:pPr>
      <w:r>
        <w:rPr>
          <w:b/>
        </w:rPr>
        <w:t>Záruky:</w:t>
        <w:tab/>
      </w:r>
      <w:r>
        <w:rPr/>
        <w:t>Na dílo poskytujeme záruku 24 měsíců (na pohon – elektronika a mechanika pohonu) a 60 měsíců na pevné</w:t>
      </w:r>
      <w:r>
        <w:rPr>
          <w:spacing w:val="-3"/>
        </w:rPr>
        <w:t> </w:t>
      </w:r>
      <w:r>
        <w:rPr/>
        <w:t>části.</w:t>
      </w:r>
    </w:p>
    <w:p>
      <w:pPr>
        <w:spacing w:after="0" w:line="247" w:lineRule="auto"/>
        <w:jc w:val="both"/>
        <w:sectPr>
          <w:type w:val="continuous"/>
          <w:pgSz w:w="11910" w:h="16840"/>
          <w:pgMar w:top="2140" w:bottom="1320" w:left="13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2240" w:val="left" w:leader="none"/>
        </w:tabs>
        <w:spacing w:before="95"/>
        <w:ind w:left="2240" w:right="277" w:hanging="2124"/>
      </w:pPr>
      <w:r>
        <w:rPr>
          <w:b/>
        </w:rPr>
        <w:t>Servis:</w:t>
        <w:tab/>
      </w:r>
      <w:r>
        <w:rPr/>
        <w:t>Standardní servis zajišťujeme do 48 hodin. Naše firma nabízí uzavření servisní smlouvy na preventivní prohlídky automatických dveří. Jedná se o komplexní služby údržby (dále jen KSU). Výhodou a podstatou této nabídky je možnost využití pravidelných preventivních prohlídek za zvýhodněné ceny oproti standardnímu servisnímu zásahu v pozáruční době. Tyto prohlídky značně eliminují pravděpodobnost poruchy zařízení, protože pravidelná údržba (vyčištění, promazání,</w:t>
      </w:r>
      <w:r>
        <w:rPr>
          <w:spacing w:val="-4"/>
        </w:rPr>
        <w:t> </w:t>
      </w:r>
      <w:r>
        <w:rPr/>
        <w:t>seřízení</w:t>
      </w:r>
      <w:r>
        <w:rPr>
          <w:spacing w:val="-5"/>
        </w:rPr>
        <w:t> </w:t>
      </w:r>
      <w:r>
        <w:rPr/>
        <w:t>pohyblivých</w:t>
      </w:r>
      <w:r>
        <w:rPr>
          <w:spacing w:val="-4"/>
        </w:rPr>
        <w:t> </w:t>
      </w:r>
      <w:r>
        <w:rPr/>
        <w:t>částí,</w:t>
      </w:r>
      <w:r>
        <w:rPr>
          <w:spacing w:val="-3"/>
        </w:rPr>
        <w:t> </w:t>
      </w:r>
      <w:r>
        <w:rPr/>
        <w:t>kontrola</w:t>
      </w:r>
      <w:r>
        <w:rPr>
          <w:spacing w:val="-4"/>
        </w:rPr>
        <w:t> </w:t>
      </w:r>
      <w:r>
        <w:rPr/>
        <w:t>elektronických</w:t>
      </w:r>
      <w:r>
        <w:rPr>
          <w:spacing w:val="-3"/>
        </w:rPr>
        <w:t> </w:t>
      </w:r>
      <w:r>
        <w:rPr/>
        <w:t>částí,</w:t>
      </w:r>
      <w:r>
        <w:rPr>
          <w:spacing w:val="-4"/>
        </w:rPr>
        <w:t> </w:t>
      </w:r>
      <w:r>
        <w:rPr/>
        <w:t>vizuální</w:t>
      </w:r>
      <w:r>
        <w:rPr>
          <w:spacing w:val="-5"/>
        </w:rPr>
        <w:t> </w:t>
      </w:r>
      <w:r>
        <w:rPr/>
        <w:t>kontrola</w:t>
      </w:r>
      <w:r>
        <w:rPr>
          <w:spacing w:val="-5"/>
        </w:rPr>
        <w:t> </w:t>
      </w:r>
      <w:r>
        <w:rPr/>
        <w:t>apod.)</w:t>
      </w:r>
      <w:r>
        <w:rPr>
          <w:spacing w:val="-4"/>
        </w:rPr>
        <w:t> </w:t>
      </w:r>
      <w:r>
        <w:rPr/>
        <w:t>má pozitivní vliv nejen na bezpečnou funkci zařízení, ale také prodlužuje</w:t>
      </w:r>
      <w:r>
        <w:rPr>
          <w:spacing w:val="-18"/>
        </w:rPr>
        <w:t> </w:t>
      </w:r>
      <w:r>
        <w:rPr/>
        <w:t>životnost.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2240" w:val="left" w:leader="none"/>
        </w:tabs>
        <w:spacing w:before="0"/>
        <w:ind w:left="116" w:right="0" w:firstLine="0"/>
        <w:jc w:val="left"/>
        <w:rPr>
          <w:sz w:val="18"/>
        </w:rPr>
      </w:pPr>
      <w:r>
        <w:rPr>
          <w:b/>
          <w:sz w:val="18"/>
        </w:rPr>
        <w:t>Platnost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nabídky:</w:t>
        <w:tab/>
      </w:r>
      <w:r>
        <w:rPr>
          <w:sz w:val="18"/>
        </w:rPr>
        <w:t>1 měsíce od</w:t>
      </w:r>
      <w:r>
        <w:rPr>
          <w:spacing w:val="-1"/>
          <w:sz w:val="18"/>
        </w:rPr>
        <w:t> </w:t>
      </w:r>
      <w:r>
        <w:rPr>
          <w:sz w:val="18"/>
        </w:rPr>
        <w:t>odeslání.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tabs>
          <w:tab w:pos="2240" w:val="left" w:leader="none"/>
        </w:tabs>
        <w:spacing w:line="240" w:lineRule="auto" w:before="0"/>
        <w:ind w:left="2240" w:right="105" w:hanging="2124"/>
        <w:jc w:val="both"/>
        <w:rPr>
          <w:sz w:val="18"/>
        </w:rPr>
      </w:pPr>
      <w:r>
        <w:rPr>
          <w:b/>
          <w:sz w:val="18"/>
        </w:rPr>
        <w:t>Ostatní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ujednání:</w:t>
        <w:tab/>
        <w:t>Tato cenová nabídka je pouze informativní a není návrhem na uzavření smlouvy ve smyslu ust. § 1731 zákona č. 89/2012 Sb., občanského zákoníku, není závazná při jakékoli formě akceptace poptávajícího. </w:t>
      </w:r>
      <w:r>
        <w:rPr>
          <w:sz w:val="18"/>
        </w:rPr>
        <w:t>Smlouva o dílo bude uzavřena po obdržení návrhu objednatele na uzavření smlouvy o dílo na základě cenové nabídky. Všechny údaje a informace obsažené v cenové nabídce jsou pro RACCOON s.r.o. nezávazné a objednateli nevznikají v této souvislosti žádné</w:t>
      </w:r>
      <w:r>
        <w:rPr>
          <w:spacing w:val="-1"/>
          <w:sz w:val="18"/>
        </w:rPr>
        <w:t> </w:t>
      </w:r>
      <w:r>
        <w:rPr>
          <w:sz w:val="18"/>
        </w:rPr>
        <w:t>nároky.</w:t>
      </w:r>
    </w:p>
    <w:p>
      <w:pPr>
        <w:pStyle w:val="BodyText"/>
        <w:tabs>
          <w:tab w:pos="4611" w:val="left" w:leader="none"/>
        </w:tabs>
        <w:spacing w:before="126"/>
        <w:ind w:left="2242" w:right="277" w:hanging="3"/>
      </w:pPr>
      <w:r>
        <w:rPr/>
        <w:t>Předsmluvní </w:t>
      </w:r>
      <w:r>
        <w:rPr>
          <w:spacing w:val="8"/>
        </w:rPr>
        <w:t> </w:t>
      </w:r>
      <w:r>
        <w:rPr/>
        <w:t>odpovědnost</w:t>
        <w:tab/>
        <w:t>RACCOON s.r.o. za přerušení či ukončení jednání o uzavření smlouvy je v plné míře</w:t>
      </w:r>
      <w:r>
        <w:rPr>
          <w:spacing w:val="-4"/>
        </w:rPr>
        <w:t> </w:t>
      </w:r>
      <w:r>
        <w:rPr/>
        <w:t>vyloučena.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16"/>
      </w:pPr>
      <w:r>
        <w:rPr/>
        <w:t>Děkujeme za projevenou důvěru v naše vstupní systémy a těšíme se na případnou spolupráci.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16"/>
      </w:pPr>
      <w:r>
        <w:rPr/>
        <w:t>S pozdravem za společnost RACCOON s r.o.</w:t>
      </w:r>
    </w:p>
    <w:p>
      <w:pPr>
        <w:pStyle w:val="BodyText"/>
        <w:rPr>
          <w:sz w:val="20"/>
        </w:rPr>
      </w:pPr>
    </w:p>
    <w:p>
      <w:pPr>
        <w:pStyle w:val="Heading1"/>
        <w:spacing w:before="128"/>
      </w:pPr>
      <w:r>
        <w:rPr>
          <w:color w:val="930101"/>
        </w:rPr>
        <w:t>Mgr. Julia Kokhanina</w:t>
      </w:r>
    </w:p>
    <w:p>
      <w:pPr>
        <w:pStyle w:val="Heading2"/>
        <w:spacing w:before="33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Obchodně-technický zástupce</w:t>
      </w:r>
    </w:p>
    <w:p>
      <w:pPr>
        <w:spacing w:before="37"/>
        <w:ind w:left="116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C00000"/>
          <w:sz w:val="20"/>
        </w:rPr>
        <w:t>RACCOON s.r.o.</w:t>
      </w:r>
    </w:p>
    <w:p>
      <w:pPr>
        <w:spacing w:before="39"/>
        <w:ind w:left="116" w:right="719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Novosibřinská 667, 190 16 Praha 9 Česká republika</w:t>
      </w:r>
    </w:p>
    <w:p>
      <w:pPr>
        <w:spacing w:before="6"/>
        <w:ind w:left="116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mob.: +420 734 291 148</w:t>
      </w:r>
    </w:p>
    <w:p>
      <w:pPr>
        <w:spacing w:before="0"/>
        <w:ind w:left="116" w:right="6705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e-mail:</w:t>
      </w:r>
      <w:r>
        <w:rPr>
          <w:rFonts w:ascii="Times New Roman"/>
          <w:b/>
          <w:color w:val="0000FF"/>
          <w:sz w:val="20"/>
        </w:rPr>
        <w:t> </w:t>
      </w:r>
      <w:hyperlink r:id="rId9">
        <w:r>
          <w:rPr>
            <w:rFonts w:ascii="Times New Roman"/>
            <w:b/>
            <w:color w:val="0000FF"/>
            <w:sz w:val="20"/>
            <w:u w:val="single" w:color="0000FF"/>
          </w:rPr>
          <w:t>kokhanina@raccoondoors.com</w:t>
        </w:r>
      </w:hyperlink>
      <w:r>
        <w:rPr>
          <w:rFonts w:ascii="Times New Roman"/>
          <w:b/>
          <w:sz w:val="20"/>
        </w:rPr>
        <w:t> web:</w:t>
      </w:r>
      <w:hyperlink r:id="rId10">
        <w:r>
          <w:rPr>
            <w:rFonts w:ascii="Times New Roman"/>
            <w:b/>
            <w:color w:val="0000FF"/>
            <w:sz w:val="20"/>
          </w:rPr>
          <w:t> </w:t>
        </w:r>
        <w:r>
          <w:rPr>
            <w:rFonts w:ascii="Times New Roman"/>
            <w:b/>
            <w:color w:val="0000FF"/>
            <w:sz w:val="20"/>
            <w:u w:val="single" w:color="0000FF"/>
          </w:rPr>
          <w:t>www.raccoondoors.com</w:t>
        </w:r>
      </w:hyperlink>
    </w:p>
    <w:sectPr>
      <w:pgSz w:w="11910" w:h="16840"/>
      <w:pgMar w:header="720" w:footer="1136" w:top="2140" w:bottom="132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874304" from="33.959999pt,771.599976pt" to="568.559999pt,771.599976pt" stroked="true" strokeweight=".96002pt" strokecolor="#000000">
          <v:stroke dashstyle="solid"/>
          <w10:wrap type="none"/>
        </v:line>
      </w:pict>
    </w:r>
    <w:r>
      <w:rPr/>
      <w:pict>
        <v:shape style="position:absolute;margin-left:34.400002pt;margin-top:774.841614pt;width:116.45pt;height:11pt;mso-position-horizontal-relative:page;mso-position-vertical-relative:page;z-index:-2518732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IČ:</w:t>
                </w:r>
                <w:r>
                  <w:rPr>
                    <w:spacing w:val="-18"/>
                    <w:sz w:val="16"/>
                  </w:rPr>
                  <w:t> </w:t>
                </w:r>
                <w:r>
                  <w:rPr>
                    <w:sz w:val="16"/>
                  </w:rPr>
                  <w:t>25332716,</w:t>
                </w:r>
                <w:r>
                  <w:rPr>
                    <w:spacing w:val="-18"/>
                    <w:sz w:val="16"/>
                  </w:rPr>
                  <w:t> </w:t>
                </w:r>
                <w:r>
                  <w:rPr>
                    <w:sz w:val="16"/>
                  </w:rPr>
                  <w:t>DIČ:</w:t>
                </w:r>
                <w:r>
                  <w:rPr>
                    <w:spacing w:val="-18"/>
                    <w:sz w:val="16"/>
                  </w:rPr>
                  <w:t> </w:t>
                </w:r>
                <w:r>
                  <w:rPr>
                    <w:sz w:val="16"/>
                  </w:rPr>
                  <w:t>CZ25332716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619995pt;margin-top:774.841614pt;width:70.350pt;height:11pt;mso-position-horizontal-relative:page;mso-position-vertical-relative:page;z-index:-2518722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(celkem</w:t>
                </w:r>
                <w:r>
                  <w:rPr>
                    <w:spacing w:val="-29"/>
                    <w:sz w:val="16"/>
                  </w:rPr>
                  <w:t> </w:t>
                </w:r>
                <w:r>
                  <w:rPr>
                    <w:sz w:val="16"/>
                  </w:rPr>
                  <w:t>3)</w:t>
                </w:r>
              </w:p>
            </w:txbxContent>
          </v:textbox>
          <w10:wrap type="none"/>
        </v:shape>
      </w:pict>
    </w:r>
    <w:r>
      <w:rPr/>
      <w:pict>
        <v:shape style="position:absolute;margin-left:34.400002pt;margin-top:774.841614pt;width:533.75pt;height:21.1pt;mso-position-horizontal-relative:page;mso-position-vertical-relative:page;z-index:-251871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rPr>
                    <w:rFonts w:ascii="Times New Roman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Sídlo společnosti: Poříčí 1603/26, 678 01 Blansko. Zápis do obchodního rejstříku: Krajský soud v Brně, oddíl C, vložka 26575, 28. Března 1997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40128">
          <wp:simplePos x="0" y="0"/>
          <wp:positionH relativeFrom="page">
            <wp:posOffset>976758</wp:posOffset>
          </wp:positionH>
          <wp:positionV relativeFrom="page">
            <wp:posOffset>479807</wp:posOffset>
          </wp:positionV>
          <wp:extent cx="2340352" cy="86092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0352" cy="860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489990pt;margin-top:34.983459pt;width:228.85pt;height:73.150pt;mso-position-horizontal-relative:page;mso-position-vertical-relative:page;z-index:-251875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RACCOON s.r.o.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Poříčí 26, 678 01 Blansko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Obchod: Tel.: +420 516 489 311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E-mail: </w:t>
                </w:r>
                <w:hyperlink r:id="rId2">
                  <w:r>
                    <w:rPr>
                      <w:b/>
                      <w:sz w:val="20"/>
                    </w:rPr>
                    <w:t>blansko@raccoondoors.com</w:t>
                  </w:r>
                </w:hyperlink>
              </w:p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Servis: Tel.: +420 516 489 211, +420 734 261 244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E-mail: </w:t>
                </w:r>
                <w:hyperlink r:id="rId3">
                  <w:r>
                    <w:rPr>
                      <w:b/>
                      <w:color w:val="0000FF"/>
                      <w:sz w:val="20"/>
                      <w:u w:val="thick" w:color="0000FF"/>
                    </w:rPr>
                    <w:t>servis.bk@raccoondoors.com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387" w:hanging="111"/>
      </w:pPr>
      <w:rPr>
        <w:rFonts w:hint="default" w:ascii="Arial" w:hAnsi="Arial" w:eastAsia="Arial" w:cs="Arial"/>
        <w:w w:val="99"/>
        <w:sz w:val="18"/>
        <w:szCs w:val="18"/>
        <w:lang w:val="cs-CZ" w:eastAsia="cs-CZ" w:bidi="cs-CZ"/>
      </w:rPr>
    </w:lvl>
    <w:lvl w:ilvl="1">
      <w:start w:val="0"/>
      <w:numFmt w:val="bullet"/>
      <w:lvlText w:val="•"/>
      <w:lvlJc w:val="left"/>
      <w:pPr>
        <w:ind w:left="3156" w:hanging="111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3933" w:hanging="11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4709" w:hanging="11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5486" w:hanging="11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6263" w:hanging="11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7039" w:hanging="11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816" w:hanging="11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593" w:hanging="111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6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122" w:hanging="11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125" w:hanging="11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27" w:hanging="11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30" w:hanging="11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133" w:hanging="11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35" w:hanging="11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38" w:hanging="11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141" w:hanging="116"/>
      </w:pPr>
      <w:rPr>
        <w:rFonts w:hint="default"/>
        <w:lang w:val="cs-CZ" w:eastAsia="cs-CZ" w:bidi="cs-CZ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89"/>
      <w:ind w:left="11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cs-CZ" w:eastAsia="cs-CZ" w:bidi="cs-CZ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Arial" w:hAnsi="Arial" w:eastAsia="Arial" w:cs="Arial"/>
      <w:b/>
      <w:bCs/>
      <w:sz w:val="20"/>
      <w:szCs w:val="20"/>
      <w:lang w:val="cs-CZ" w:eastAsia="cs-CZ" w:bidi="cs-CZ"/>
    </w:rPr>
  </w:style>
  <w:style w:styleId="Heading3" w:type="paragraph">
    <w:name w:val="Heading 3"/>
    <w:basedOn w:val="Normal"/>
    <w:uiPriority w:val="1"/>
    <w:qFormat/>
    <w:pPr>
      <w:ind w:left="116"/>
      <w:outlineLvl w:val="3"/>
    </w:pPr>
    <w:rPr>
      <w:rFonts w:ascii="Times New Roman" w:hAnsi="Times New Roman" w:eastAsia="Times New Roman" w:cs="Times New Roman"/>
      <w:sz w:val="20"/>
      <w:szCs w:val="20"/>
      <w:lang w:val="cs-CZ" w:eastAsia="cs-CZ" w:bidi="cs-CZ"/>
    </w:rPr>
  </w:style>
  <w:style w:styleId="Heading4" w:type="paragraph">
    <w:name w:val="Heading 4"/>
    <w:basedOn w:val="Normal"/>
    <w:uiPriority w:val="1"/>
    <w:qFormat/>
    <w:pPr>
      <w:ind w:left="116"/>
      <w:jc w:val="both"/>
      <w:outlineLvl w:val="4"/>
    </w:pPr>
    <w:rPr>
      <w:rFonts w:ascii="Times New Roman" w:hAnsi="Times New Roman" w:eastAsia="Times New Roman" w:cs="Times New Roman"/>
      <w:b/>
      <w:bCs/>
      <w:sz w:val="18"/>
      <w:szCs w:val="18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231" w:hanging="112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mailto:kokhanina@raccoondoors.com" TargetMode="External"/><Relationship Id="rId10" Type="http://schemas.openxmlformats.org/officeDocument/2006/relationships/hyperlink" Target="http://www.raccoondoors.com/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lansko@raccoondoors.com" TargetMode="External"/><Relationship Id="rId3" Type="http://schemas.openxmlformats.org/officeDocument/2006/relationships/hyperlink" Target="mailto:servis.bk@raccoondoo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Balas</dc:creator>
  <dcterms:created xsi:type="dcterms:W3CDTF">2020-07-29T07:22:00Z</dcterms:created>
  <dcterms:modified xsi:type="dcterms:W3CDTF">2020-07-29T07:22:00Z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2020-07-29T00:00:00Z</vt:filetime>
  </property>
</Properties>
</file>