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43" w:rsidRPr="002225B1" w:rsidRDefault="00354843" w:rsidP="002225B1">
      <w:pPr>
        <w:pStyle w:val="Nadpis1"/>
        <w:jc w:val="right"/>
      </w:pPr>
      <w:r w:rsidRPr="00406CC0">
        <w:tab/>
      </w:r>
      <w:r w:rsidRPr="002225B1">
        <w:rPr>
          <w:b w:val="0"/>
          <w:sz w:val="22"/>
        </w:rPr>
        <w:t>Evidenční číslo smlouvy:</w:t>
      </w:r>
      <w:r w:rsidRPr="002225B1">
        <w:rPr>
          <w:sz w:val="22"/>
        </w:rPr>
        <w:t xml:space="preserve"> </w:t>
      </w:r>
      <w:r w:rsidRPr="00EE5066">
        <w:rPr>
          <w:noProof/>
        </w:rPr>
        <w:t>KK01231/2020</w:t>
      </w:r>
    </w:p>
    <w:p w:rsidR="00354843" w:rsidRPr="0096502F" w:rsidRDefault="00354843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354843" w:rsidRPr="0096502F" w:rsidRDefault="00354843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354843" w:rsidRPr="0096502F" w:rsidRDefault="00354843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354843" w:rsidRPr="0096502F" w:rsidRDefault="00354843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354843" w:rsidRPr="0096502F" w:rsidRDefault="00354843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354843" w:rsidRPr="0096502F" w:rsidRDefault="00354843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354843" w:rsidRPr="0096502F" w:rsidRDefault="0035484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354843" w:rsidRPr="0096502F" w:rsidRDefault="0035484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354843" w:rsidRPr="0096502F" w:rsidRDefault="00354843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354843" w:rsidRPr="0096502F" w:rsidRDefault="0035484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354843" w:rsidRPr="0096502F" w:rsidRDefault="0035484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354843" w:rsidRPr="0096502F" w:rsidRDefault="0035484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354843" w:rsidRPr="0096502F" w:rsidRDefault="0035484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354843" w:rsidRPr="0096502F" w:rsidRDefault="0035484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354843" w:rsidRDefault="00354843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Bankovní spojení:</w:t>
      </w:r>
      <w:r>
        <w:rPr>
          <w:rFonts w:ascii="Times New Roman" w:eastAsia="Times New Roman" w:hAnsi="Times New Roman"/>
        </w:rPr>
        <w:tab/>
      </w:r>
    </w:p>
    <w:p w:rsidR="00354843" w:rsidRDefault="00354843" w:rsidP="00E20B55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XXXX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 </w:t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  <w:t>XXXX</w:t>
      </w:r>
    </w:p>
    <w:p w:rsidR="00354843" w:rsidRDefault="00354843" w:rsidP="00E20B55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případně další účty:</w:t>
      </w:r>
    </w:p>
    <w:p w:rsidR="00354843" w:rsidRDefault="00354843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XXXX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354843" w:rsidRDefault="00354843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hAnsi="Times New Roman"/>
          <w:color w:val="000000"/>
        </w:rPr>
        <w:tab/>
        <w:t>XXXX</w:t>
      </w:r>
    </w:p>
    <w:p w:rsidR="00354843" w:rsidRDefault="00354843" w:rsidP="00E20B5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XXXX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číslo účtu</w:t>
      </w:r>
      <w:r>
        <w:rPr>
          <w:rFonts w:ascii="Times New Roman" w:eastAsia="Times New Roman" w:hAnsi="Times New Roman"/>
        </w:rPr>
        <w:tab/>
      </w:r>
      <w:r>
        <w:rPr>
          <w:rFonts w:ascii="Times New Roman" w:hAnsi="Times New Roman"/>
          <w:color w:val="000000"/>
        </w:rPr>
        <w:t>XXXX</w:t>
      </w:r>
    </w:p>
    <w:p w:rsidR="00354843" w:rsidRPr="0096502F" w:rsidRDefault="00354843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354843" w:rsidRPr="0096502F" w:rsidRDefault="0035484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354843" w:rsidRPr="0096502F" w:rsidRDefault="00354843" w:rsidP="00BE65AC">
      <w:pPr>
        <w:spacing w:after="0" w:line="240" w:lineRule="auto"/>
        <w:rPr>
          <w:rFonts w:ascii="Times New Roman" w:eastAsia="Times New Roman" w:hAnsi="Times New Roman"/>
        </w:rPr>
      </w:pPr>
      <w:proofErr w:type="spellStart"/>
      <w:r w:rsidRPr="0096502F">
        <w:rPr>
          <w:rFonts w:ascii="Times New Roman" w:eastAsia="Times New Roman" w:hAnsi="Times New Roman"/>
        </w:rPr>
        <w:t>Administrující</w:t>
      </w:r>
      <w:proofErr w:type="spellEnd"/>
      <w:r w:rsidRPr="0096502F">
        <w:rPr>
          <w:rFonts w:ascii="Times New Roman" w:eastAsia="Times New Roman" w:hAnsi="Times New Roman"/>
        </w:rPr>
        <w:t xml:space="preserve"> odbor:</w:t>
      </w:r>
      <w:r w:rsidRPr="0096502F">
        <w:rPr>
          <w:rFonts w:ascii="Times New Roman" w:eastAsia="Times New Roman" w:hAnsi="Times New Roman"/>
        </w:rPr>
        <w:tab/>
        <w:t>odbor</w:t>
      </w:r>
    </w:p>
    <w:p w:rsidR="00354843" w:rsidRPr="0096502F" w:rsidRDefault="0035484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354843" w:rsidRPr="0096502F" w:rsidRDefault="0035484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354843" w:rsidRPr="0096502F" w:rsidRDefault="0035484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354843" w:rsidRPr="0096502F" w:rsidRDefault="0035484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354843" w:rsidRPr="0096502F" w:rsidRDefault="0035484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354843" w:rsidRPr="002225B1" w:rsidRDefault="00354843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EE5066">
        <w:rPr>
          <w:rFonts w:ascii="Times New Roman" w:eastAsia="Times New Roman" w:hAnsi="Times New Roman"/>
          <w:b/>
          <w:bCs/>
          <w:noProof/>
        </w:rPr>
        <w:t>Tělovýchovná jednota Jiskra Aš, z.s.</w:t>
      </w:r>
    </w:p>
    <w:p w:rsidR="00354843" w:rsidRPr="002225B1" w:rsidRDefault="00354843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Adresa sídla: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Klicperova 2170/3, 352 01 Aš</w:t>
      </w:r>
    </w:p>
    <w:p w:rsidR="00354843" w:rsidRPr="002225B1" w:rsidRDefault="00354843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Identifikační číslo: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47721421</w:t>
      </w:r>
    </w:p>
    <w:p w:rsidR="00354843" w:rsidRPr="002225B1" w:rsidRDefault="00354843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DIČ: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---</w:t>
      </w:r>
    </w:p>
    <w:p w:rsidR="00354843" w:rsidRPr="002225B1" w:rsidRDefault="00354843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2225B1">
        <w:rPr>
          <w:rFonts w:ascii="Times New Roman" w:eastAsia="Times New Roman" w:hAnsi="Times New Roman"/>
          <w:bCs/>
        </w:rPr>
        <w:t>Právní forma:</w:t>
      </w:r>
      <w:r w:rsidRPr="002225B1">
        <w:rPr>
          <w:rFonts w:ascii="Times New Roman" w:eastAsia="Times New Roman" w:hAnsi="Times New Roman"/>
          <w:bCs/>
        </w:rPr>
        <w:tab/>
      </w:r>
      <w:r w:rsidRPr="00EE5066">
        <w:rPr>
          <w:rFonts w:ascii="Times New Roman" w:eastAsia="Times New Roman" w:hAnsi="Times New Roman"/>
          <w:bCs/>
          <w:noProof/>
        </w:rPr>
        <w:t>Spolek</w:t>
      </w:r>
    </w:p>
    <w:p w:rsidR="00354843" w:rsidRPr="002225B1" w:rsidRDefault="00354843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Times New Roman" w:hAnsi="Times New Roman"/>
        </w:rPr>
        <w:t>Zastoupený: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Libor Oravec</w:t>
      </w:r>
    </w:p>
    <w:p w:rsidR="00354843" w:rsidRPr="002225B1" w:rsidRDefault="00354843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2225B1">
        <w:rPr>
          <w:rFonts w:ascii="Times New Roman" w:eastAsia="Arial Unicode MS" w:hAnsi="Times New Roman"/>
        </w:rPr>
        <w:t xml:space="preserve">Registrace ve veřejném rejstříku: </w:t>
      </w:r>
      <w:r w:rsidRPr="002225B1">
        <w:rPr>
          <w:rFonts w:ascii="Times New Roman" w:eastAsia="Arial Unicode MS" w:hAnsi="Times New Roman"/>
        </w:rPr>
        <w:tab/>
      </w:r>
      <w:r w:rsidRPr="00EE5066">
        <w:rPr>
          <w:rFonts w:ascii="Times New Roman" w:eastAsia="Arial Unicode MS" w:hAnsi="Times New Roman"/>
          <w:noProof/>
        </w:rPr>
        <w:t>L 105 vedená u Krajského soudu v Plzni</w:t>
      </w:r>
    </w:p>
    <w:p w:rsidR="00354843" w:rsidRPr="002225B1" w:rsidRDefault="00354843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Bankovní spojení: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</w:p>
    <w:p w:rsidR="00354843" w:rsidRPr="002225B1" w:rsidRDefault="00354843" w:rsidP="00E20B55">
      <w:pPr>
        <w:tabs>
          <w:tab w:val="left" w:pos="2127"/>
        </w:tabs>
        <w:spacing w:after="0" w:line="240" w:lineRule="auto"/>
        <w:ind w:right="-57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ab/>
        <w:t>číslo účtu: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354843" w:rsidRPr="002225B1" w:rsidRDefault="00354843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>E-mail:</w:t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XXXX</w:t>
      </w:r>
    </w:p>
    <w:p w:rsidR="00354843" w:rsidRPr="002225B1" w:rsidRDefault="00354843" w:rsidP="00BE65AC">
      <w:pPr>
        <w:spacing w:after="0" w:line="240" w:lineRule="auto"/>
        <w:rPr>
          <w:rFonts w:ascii="Times New Roman" w:eastAsia="Times New Roman" w:hAnsi="Times New Roman"/>
        </w:rPr>
      </w:pPr>
      <w:r w:rsidRPr="002225B1">
        <w:rPr>
          <w:rFonts w:ascii="Times New Roman" w:eastAsia="Times New Roman" w:hAnsi="Times New Roman"/>
        </w:rPr>
        <w:t xml:space="preserve">Datová schránka: </w:t>
      </w:r>
      <w:r w:rsidRPr="002225B1">
        <w:rPr>
          <w:rFonts w:ascii="Times New Roman" w:eastAsia="Times New Roman" w:hAnsi="Times New Roman"/>
        </w:rPr>
        <w:tab/>
      </w:r>
      <w:r w:rsidRPr="00EE5066">
        <w:rPr>
          <w:rFonts w:ascii="Times New Roman" w:eastAsia="Times New Roman" w:hAnsi="Times New Roman"/>
          <w:noProof/>
        </w:rPr>
        <w:t>---</w:t>
      </w:r>
    </w:p>
    <w:p w:rsidR="00354843" w:rsidRPr="002225B1" w:rsidRDefault="00354843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EE5066">
        <w:rPr>
          <w:rFonts w:ascii="Times New Roman" w:eastAsia="Times New Roman" w:hAnsi="Times New Roman"/>
          <w:noProof/>
        </w:rPr>
        <w:t>Není plátce DPH.</w:t>
      </w:r>
    </w:p>
    <w:p w:rsidR="00354843" w:rsidRPr="0096502F" w:rsidRDefault="00354843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354843" w:rsidRDefault="0035484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354843" w:rsidRDefault="00354843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354843" w:rsidRPr="0096502F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354843" w:rsidRPr="0096502F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354843" w:rsidRPr="0096502F" w:rsidRDefault="00354843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sportovních aktivit dětí a mládeže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354843" w:rsidRDefault="00354843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354843" w:rsidRPr="0096502F" w:rsidRDefault="00354843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354843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54843" w:rsidRPr="0096502F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II.</w:t>
      </w:r>
    </w:p>
    <w:p w:rsidR="00354843" w:rsidRPr="0096502F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354843" w:rsidRPr="0096502F" w:rsidRDefault="00354843" w:rsidP="00354843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 xml:space="preserve">podle údajů uvedených v odstavci 2. tohoto článku. Výše dotace může být snížena s ohledem na maximální přípustnou výši podpory v režimu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a to dle aktuálního stavu v registru podpor de </w:t>
      </w:r>
      <w:proofErr w:type="spellStart"/>
      <w:r w:rsidRPr="0096502F">
        <w:rPr>
          <w:sz w:val="22"/>
          <w:szCs w:val="22"/>
        </w:rPr>
        <w:t>minimis</w:t>
      </w:r>
      <w:proofErr w:type="spellEnd"/>
      <w:r w:rsidRPr="0096502F">
        <w:rPr>
          <w:sz w:val="22"/>
          <w:szCs w:val="22"/>
        </w:rPr>
        <w:t xml:space="preserve"> v den podpisu smlouvy.</w:t>
      </w:r>
    </w:p>
    <w:p w:rsidR="00354843" w:rsidRPr="0096502F" w:rsidRDefault="00354843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354843" w:rsidRPr="002225B1" w:rsidRDefault="00354843" w:rsidP="00354843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</w:t>
      </w:r>
      <w:r w:rsidRPr="002225B1">
        <w:rPr>
          <w:sz w:val="22"/>
          <w:szCs w:val="22"/>
        </w:rPr>
        <w:t>otaci:</w:t>
      </w:r>
    </w:p>
    <w:p w:rsidR="00354843" w:rsidRPr="002225B1" w:rsidRDefault="00354843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 kalendářním roce: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b/>
          <w:sz w:val="22"/>
          <w:szCs w:val="22"/>
        </w:rPr>
        <w:t>2020</w:t>
      </w:r>
    </w:p>
    <w:p w:rsidR="00354843" w:rsidRPr="002225B1" w:rsidRDefault="00354843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ve výši:</w:t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95.000 Kč</w:t>
      </w:r>
    </w:p>
    <w:p w:rsidR="00354843" w:rsidRPr="002225B1" w:rsidRDefault="00354843" w:rsidP="002415E5">
      <w:pPr>
        <w:pStyle w:val="Normlnweb"/>
        <w:ind w:left="426"/>
        <w:jc w:val="both"/>
        <w:rPr>
          <w:sz w:val="22"/>
          <w:szCs w:val="22"/>
        </w:rPr>
      </w:pPr>
      <w:r w:rsidRPr="002225B1">
        <w:rPr>
          <w:sz w:val="22"/>
          <w:szCs w:val="22"/>
        </w:rPr>
        <w:tab/>
        <w:t xml:space="preserve">(Slovy: </w:t>
      </w:r>
      <w:r w:rsidRPr="00EE5066">
        <w:rPr>
          <w:b/>
          <w:noProof/>
        </w:rPr>
        <w:t>devadesát pět tisíc</w:t>
      </w:r>
      <w:r w:rsidRPr="002225B1">
        <w:rPr>
          <w:b/>
          <w:sz w:val="22"/>
          <w:szCs w:val="22"/>
        </w:rPr>
        <w:t xml:space="preserve"> korun českých</w:t>
      </w:r>
      <w:r w:rsidRPr="002225B1">
        <w:rPr>
          <w:sz w:val="22"/>
          <w:szCs w:val="22"/>
        </w:rPr>
        <w:t>)</w:t>
      </w:r>
    </w:p>
    <w:p w:rsidR="00354843" w:rsidRPr="002225B1" w:rsidRDefault="00354843" w:rsidP="002225B1">
      <w:pPr>
        <w:pStyle w:val="Normlnweb"/>
        <w:ind w:left="5664" w:hanging="5238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Dotace se poskytuje na účel:</w:t>
      </w:r>
      <w:r>
        <w:rPr>
          <w:sz w:val="22"/>
          <w:szCs w:val="22"/>
        </w:rPr>
        <w:tab/>
      </w:r>
      <w:r w:rsidRPr="00EE5066">
        <w:rPr>
          <w:b/>
          <w:noProof/>
        </w:rPr>
        <w:t>Celoroční práce s mládeží.</w:t>
      </w:r>
    </w:p>
    <w:p w:rsidR="00354843" w:rsidRPr="002225B1" w:rsidRDefault="00354843" w:rsidP="002415E5">
      <w:pPr>
        <w:pStyle w:val="Normlnweb"/>
        <w:ind w:left="426"/>
        <w:jc w:val="both"/>
        <w:rPr>
          <w:sz w:val="22"/>
          <w:szCs w:val="22"/>
        </w:rPr>
      </w:pPr>
    </w:p>
    <w:p w:rsidR="00354843" w:rsidRPr="002225B1" w:rsidRDefault="00354843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2225B1">
        <w:rPr>
          <w:sz w:val="22"/>
          <w:szCs w:val="22"/>
        </w:rPr>
        <w:t>Platba dotace bude opatřena variabilním symbolem:</w:t>
      </w:r>
      <w:r w:rsidRPr="002225B1">
        <w:rPr>
          <w:sz w:val="22"/>
          <w:szCs w:val="22"/>
        </w:rPr>
        <w:tab/>
      </w:r>
      <w:r w:rsidRPr="00EE5066">
        <w:rPr>
          <w:b/>
          <w:noProof/>
        </w:rPr>
        <w:t>XXXX</w:t>
      </w:r>
    </w:p>
    <w:p w:rsidR="00354843" w:rsidRPr="0096502F" w:rsidRDefault="00354843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354843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54843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54843" w:rsidRPr="0096502F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354843" w:rsidRPr="0096502F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Způsob poskytnutí dotace</w:t>
      </w:r>
    </w:p>
    <w:p w:rsidR="00354843" w:rsidRPr="0096502F" w:rsidRDefault="00354843" w:rsidP="00354843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8B49DA">
        <w:rPr>
          <w:rFonts w:ascii="Times New Roman" w:eastAsia="Arial Unicode MS" w:hAnsi="Times New Roman"/>
        </w:rPr>
        <w:t>15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pracovních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354843" w:rsidRPr="0096502F" w:rsidRDefault="00354843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354843" w:rsidRPr="0096502F" w:rsidRDefault="00354843" w:rsidP="00354843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354843" w:rsidRPr="0096502F" w:rsidRDefault="00354843" w:rsidP="00BE65AC">
      <w:pPr>
        <w:spacing w:after="0" w:line="240" w:lineRule="auto"/>
        <w:jc w:val="both"/>
        <w:rPr>
          <w:rFonts w:ascii="Times New Roman" w:eastAsia="Times New Roman" w:hAnsi="Times New Roman"/>
          <w:i/>
        </w:rPr>
      </w:pPr>
    </w:p>
    <w:p w:rsidR="00354843" w:rsidRDefault="00354843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54843" w:rsidRPr="0096502F" w:rsidRDefault="00354843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54843" w:rsidRPr="0096502F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354843" w:rsidRPr="0096502F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354843" w:rsidRPr="0096502F" w:rsidRDefault="00354843" w:rsidP="0035484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>uvedeného</w:t>
      </w:r>
      <w:r w:rsidRPr="0096502F">
        <w:rPr>
          <w:rFonts w:ascii="Times New Roman" w:hAnsi="Times New Roman"/>
        </w:rPr>
        <w:t xml:space="preserve"> v odst. 1 čl. I  schválenými </w:t>
      </w:r>
      <w:r w:rsidRPr="008B49DA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>Karlovarského kraje usnesením číslo</w:t>
      </w:r>
      <w:r>
        <w:rPr>
          <w:rFonts w:ascii="Times New Roman" w:hAnsi="Times New Roman"/>
        </w:rPr>
        <w:t xml:space="preserve"> RK</w:t>
      </w:r>
      <w:r w:rsidRPr="0096502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1533/12/19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354843" w:rsidRPr="0096502F" w:rsidRDefault="00354843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354843" w:rsidRPr="008F49E6" w:rsidRDefault="00354843" w:rsidP="0035484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použít poskytnuté finanční prostředky maximálně hospodárným způsobem. Příjemce je povinen použít poskytnuté finanční prostředky výhradně k účelu uvedenému v článku II. smlouvy a v souladu se specifikací uvedenou dále v této smlouvě.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354843" w:rsidRPr="0096502F" w:rsidRDefault="00354843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354843" w:rsidRPr="008B49DA" w:rsidRDefault="00354843" w:rsidP="0035484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rPr>
          <w:rFonts w:ascii="Times New Roman" w:eastAsia="Arial Unicode MS" w:hAnsi="Times New Roman"/>
        </w:rPr>
      </w:pPr>
      <w:r w:rsidRPr="008F49E6">
        <w:rPr>
          <w:rFonts w:ascii="Times New Roman" w:hAnsi="Times New Roman"/>
        </w:rPr>
        <w:t>Příjemce je povinen vyčerpat poskytnuté finanční prostředky nejpozději do </w:t>
      </w:r>
      <w:r w:rsidRPr="00EE5066">
        <w:rPr>
          <w:rFonts w:ascii="Times New Roman" w:hAnsi="Times New Roman"/>
          <w:b/>
          <w:noProof/>
        </w:rPr>
        <w:t>30. 11. 2020</w:t>
      </w:r>
      <w:r>
        <w:rPr>
          <w:rFonts w:ascii="Times New Roman" w:hAnsi="Times New Roman"/>
        </w:rPr>
        <w:t>.</w:t>
      </w:r>
      <w:r>
        <w:rPr>
          <w:rFonts w:ascii="Times New Roman" w:eastAsia="Arial Unicode MS" w:hAnsi="Times New Roman"/>
          <w:color w:val="FF0000"/>
        </w:rPr>
        <w:br/>
      </w:r>
    </w:p>
    <w:p w:rsidR="00354843" w:rsidRPr="008F49E6" w:rsidRDefault="00354843" w:rsidP="0035484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8F49E6">
        <w:rPr>
          <w:rFonts w:ascii="Times New Roman" w:hAnsi="Times New Roman"/>
        </w:rPr>
        <w:t>.</w:t>
      </w:r>
    </w:p>
    <w:p w:rsidR="00354843" w:rsidRPr="008B49DA" w:rsidRDefault="00354843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354843" w:rsidRPr="008F49E6" w:rsidRDefault="00354843" w:rsidP="0035484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je neinvestičního charakteru a příjemce je povinen ji použít výhradně k účelům uvedeným v žádosti o dotaci pro rok 2020. </w:t>
      </w:r>
    </w:p>
    <w:p w:rsidR="00354843" w:rsidRDefault="00354843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354843" w:rsidRDefault="00354843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354843" w:rsidRDefault="00354843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354843" w:rsidRDefault="00354843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354843" w:rsidRPr="0096502F" w:rsidRDefault="00354843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354843" w:rsidRPr="008F49E6" w:rsidRDefault="00354843" w:rsidP="0035484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Dotace podléhá finančnímu vypořádání. Příjemce je povinen provést a předložit </w:t>
      </w:r>
      <w:proofErr w:type="spellStart"/>
      <w:r w:rsidRPr="008F49E6">
        <w:rPr>
          <w:rFonts w:ascii="Times New Roman" w:hAnsi="Times New Roman"/>
        </w:rPr>
        <w:t>administrujícímu</w:t>
      </w:r>
      <w:proofErr w:type="spellEnd"/>
      <w:r w:rsidRPr="008F49E6">
        <w:rPr>
          <w:rFonts w:ascii="Times New Roman" w:hAnsi="Times New Roman"/>
        </w:rPr>
        <w:t xml:space="preserve"> odboru prostřednictvím podatelny poskytovatele závěrečné finanční vypořádání dotace na předepsaném formuláři, které příjemce opatří svým podpisem, a to nejpozději do </w:t>
      </w:r>
      <w:r w:rsidRPr="00EE5066">
        <w:rPr>
          <w:rFonts w:ascii="Times New Roman" w:hAnsi="Times New Roman"/>
          <w:b/>
          <w:noProof/>
        </w:rPr>
        <w:t>30. 11. 2020</w:t>
      </w:r>
      <w:r w:rsidRPr="008F49E6">
        <w:rPr>
          <w:rFonts w:ascii="Times New Roman" w:hAnsi="Times New Roman"/>
        </w:rPr>
        <w:t xml:space="preserve">, resp. do dne ukončení smlouvy v případě čl. VII (rozhodující je datum doručení finančního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Pr="00F66720">
          <w:rPr>
            <w:rStyle w:val="Hypertextovodkaz"/>
            <w:rFonts w:ascii="Times New Roman" w:hAnsi="Times New Roman"/>
          </w:rPr>
          <w:t>http://www.kr-karlovarsky.cz/dotace/Stranky/Prehled-dotace.aspx.</w:t>
        </w:r>
      </w:hyperlink>
    </w:p>
    <w:p w:rsidR="00354843" w:rsidRPr="0096502F" w:rsidRDefault="00354843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354843" w:rsidRPr="008F49E6" w:rsidRDefault="00354843" w:rsidP="0035484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354843" w:rsidRPr="0096502F" w:rsidRDefault="00354843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354843" w:rsidRPr="008F49E6" w:rsidRDefault="00354843" w:rsidP="0035484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Spolu s finančním vypořádáním dotace je příjemce povinen předložit </w:t>
      </w:r>
      <w:proofErr w:type="spellStart"/>
      <w:r w:rsidRPr="008F49E6">
        <w:rPr>
          <w:rFonts w:ascii="Times New Roman" w:hAnsi="Times New Roman"/>
        </w:rPr>
        <w:t>administrujícímu</w:t>
      </w:r>
      <w:proofErr w:type="spellEnd"/>
      <w:r w:rsidRPr="008F49E6">
        <w:rPr>
          <w:rFonts w:ascii="Times New Roman" w:hAnsi="Times New Roman"/>
        </w:rPr>
        <w:t xml:space="preserve"> odboru vyhodnocení použití poskytnuté dotace s popisem realizace a zhodnocením realizovaných aktivit.</w:t>
      </w:r>
    </w:p>
    <w:p w:rsidR="00354843" w:rsidRPr="0096502F" w:rsidRDefault="00354843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354843" w:rsidRDefault="00354843" w:rsidP="0035484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odkaz  </w:t>
      </w:r>
      <w:hyperlink r:id="rId9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. Propagaci 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>
          <w:rPr>
            <w:rStyle w:val="Hypertextovodkaz"/>
            <w:rFonts w:ascii="Times New Roman" w:eastAsia="Arial Unicode MS" w:hAnsi="Times New Roman"/>
          </w:rPr>
          <w:t>www.kr-karlovarsky.cz</w:t>
        </w:r>
      </w:hyperlink>
      <w:r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>
          <w:rPr>
            <w:rStyle w:val="Hypertextovodkaz"/>
            <w:rFonts w:ascii="Times New Roman" w:eastAsia="Arial Unicode MS" w:hAnsi="Times New Roman"/>
          </w:rPr>
          <w:t>www.zivykraj.cz</w:t>
        </w:r>
      </w:hyperlink>
      <w:r>
        <w:rPr>
          <w:rFonts w:ascii="Times New Roman" w:eastAsia="Arial Unicode MS" w:hAnsi="Times New Roman"/>
        </w:rPr>
        <w:t xml:space="preserve"> záložka „</w:t>
      </w:r>
      <w:proofErr w:type="spellStart"/>
      <w:r>
        <w:rPr>
          <w:rFonts w:ascii="Times New Roman" w:eastAsia="Arial Unicode MS" w:hAnsi="Times New Roman"/>
        </w:rPr>
        <w:t>Tourism</w:t>
      </w:r>
      <w:proofErr w:type="spellEnd"/>
      <w:r>
        <w:rPr>
          <w:rFonts w:ascii="Times New Roman" w:eastAsia="Arial Unicode MS" w:hAnsi="Times New Roman"/>
        </w:rPr>
        <w:t xml:space="preserve"> </w:t>
      </w:r>
      <w:proofErr w:type="spellStart"/>
      <w:r>
        <w:rPr>
          <w:rFonts w:ascii="Times New Roman" w:eastAsia="Arial Unicode MS" w:hAnsi="Times New Roman"/>
        </w:rPr>
        <w:t>professionals</w:t>
      </w:r>
      <w:proofErr w:type="spellEnd"/>
      <w:r>
        <w:rPr>
          <w:rFonts w:ascii="Times New Roman" w:eastAsia="Arial Unicode MS" w:hAnsi="Times New Roman"/>
        </w:rPr>
        <w:t>.“</w:t>
      </w:r>
    </w:p>
    <w:p w:rsidR="00354843" w:rsidRPr="00E20B55" w:rsidRDefault="00354843" w:rsidP="00E20B55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354843" w:rsidRPr="008F49E6" w:rsidRDefault="00354843" w:rsidP="0035484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354843" w:rsidRPr="0096502F" w:rsidRDefault="00354843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354843" w:rsidRPr="008F49E6" w:rsidRDefault="00354843" w:rsidP="0035484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rovněž povinen vrátit poskytnuté finanční prostředky na účet uvedený v odst. 10 tohoto článku, jestliže odpadne účel, na který je dotace poskytována, a to do 10 pracovních dnů ode dne, kdy se příjemce o této skutečnosti dozví. Platba bude opatřena variabilním symbolem uvedeným v odst. 2 čl. II.</w:t>
      </w:r>
    </w:p>
    <w:p w:rsidR="00354843" w:rsidRPr="0096502F" w:rsidRDefault="00354843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354843" w:rsidRPr="008F49E6" w:rsidRDefault="00354843" w:rsidP="0035484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8F49E6">
        <w:rPr>
          <w:rFonts w:ascii="Times New Roman" w:hAnsi="Times New Roman"/>
        </w:rPr>
        <w:t>administrující</w:t>
      </w:r>
      <w:proofErr w:type="spellEnd"/>
      <w:r w:rsidRPr="008F49E6">
        <w:rPr>
          <w:rFonts w:ascii="Times New Roman" w:hAnsi="Times New Roman"/>
        </w:rPr>
        <w:t xml:space="preserve"> odbor prostřednictvím avíza, které je přílohou formuláře finanční vypořádání dotace.</w:t>
      </w:r>
    </w:p>
    <w:p w:rsidR="00354843" w:rsidRPr="0096502F" w:rsidRDefault="00354843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354843" w:rsidRPr="008F49E6" w:rsidRDefault="00354843" w:rsidP="0035484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354843" w:rsidRPr="0096502F" w:rsidRDefault="00354843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354843" w:rsidRPr="008F49E6" w:rsidRDefault="00354843" w:rsidP="0035484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lastRenderedPageBreak/>
        <w:t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354843" w:rsidRPr="0096502F" w:rsidRDefault="00354843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354843" w:rsidRPr="008F49E6" w:rsidRDefault="00354843" w:rsidP="0035484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V případě, že nastanou skutečnosti uvedené v předchozím odstavci, je příjemce povinen zajistit při přeměně právnické osoby nebo jejího zrušení, aby práva a povinnosti ze smlouvy přešly na nástupnickou právnickou osobu nebo podat návrh na ukončení smlouvy. V případě zrušení právnické osoby s likvidací provede příjemce finanční vypořádání poskytnuté dotace obdobně dle odst. 7 článku IV. smlouvy, a to ke dni likvidace.</w:t>
      </w:r>
    </w:p>
    <w:p w:rsidR="00354843" w:rsidRPr="0096502F" w:rsidRDefault="00354843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354843" w:rsidRPr="008F49E6" w:rsidRDefault="00354843" w:rsidP="0035484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354843" w:rsidRPr="0096502F" w:rsidRDefault="00354843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354843" w:rsidRPr="008F49E6" w:rsidRDefault="00354843" w:rsidP="0035484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354843" w:rsidRPr="0096502F" w:rsidRDefault="00354843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354843" w:rsidRPr="008F49E6" w:rsidRDefault="00354843" w:rsidP="00354843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8F49E6">
        <w:rPr>
          <w:rFonts w:ascii="Times New Roman" w:hAnsi="Times New Roman"/>
        </w:rPr>
        <w:t>Příjemce je povinen hradit výdaje, které uplatňuje z dotace, výhradně z bankovního účtu příjemce,  popř. z peněžní hotovosti příjemce. Úhrada výdajů z jiného bankovního účtu příjemce je přípustná pouze v případě doložení vlastnictví bankovního účtu příjemcem.</w:t>
      </w:r>
    </w:p>
    <w:p w:rsidR="00354843" w:rsidRPr="0096502F" w:rsidRDefault="00354843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354843" w:rsidRDefault="00354843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354843" w:rsidRDefault="00354843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</w:p>
    <w:p w:rsidR="00354843" w:rsidRPr="0096502F" w:rsidRDefault="00354843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354843" w:rsidRPr="0096502F" w:rsidRDefault="00354843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354843" w:rsidRPr="0096502F" w:rsidRDefault="00354843" w:rsidP="00354843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354843" w:rsidRPr="0096502F" w:rsidRDefault="00354843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54843" w:rsidRPr="0096502F" w:rsidRDefault="00354843" w:rsidP="00354843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354843" w:rsidRPr="0096502F" w:rsidRDefault="0035484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54843" w:rsidRPr="0096502F" w:rsidRDefault="00354843" w:rsidP="00354843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354843" w:rsidRPr="0096502F" w:rsidRDefault="0035484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354843" w:rsidRPr="00116272" w:rsidRDefault="00354843" w:rsidP="00354843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t>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354843" w:rsidRDefault="00354843" w:rsidP="00116272">
      <w:pPr>
        <w:spacing w:after="0" w:line="240" w:lineRule="auto"/>
        <w:jc w:val="both"/>
        <w:rPr>
          <w:rFonts w:ascii="Times New Roman" w:eastAsia="Times New Roman" w:hAnsi="Times New Roman"/>
          <w:bCs/>
        </w:rPr>
      </w:pPr>
    </w:p>
    <w:p w:rsidR="00354843" w:rsidRPr="0096502F" w:rsidRDefault="00354843" w:rsidP="00116272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354843" w:rsidRPr="0096502F" w:rsidRDefault="00354843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354843" w:rsidRPr="0096502F" w:rsidRDefault="00354843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354843" w:rsidRPr="0096502F" w:rsidRDefault="00354843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354843" w:rsidRPr="0096502F" w:rsidRDefault="0035484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54843" w:rsidRPr="0096502F" w:rsidRDefault="00354843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354843" w:rsidRPr="0096502F" w:rsidRDefault="0035484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54843" w:rsidRPr="0096502F" w:rsidRDefault="00354843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354843" w:rsidRPr="0096502F" w:rsidRDefault="0035484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54843" w:rsidRPr="0096502F" w:rsidRDefault="00354843" w:rsidP="00E57BF1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354843" w:rsidRPr="0096502F" w:rsidRDefault="00354843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354843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54843" w:rsidRPr="0096502F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br/>
      </w: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354843" w:rsidRPr="0096502F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354843" w:rsidRPr="0096502F" w:rsidRDefault="00354843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354843" w:rsidRPr="0096502F" w:rsidRDefault="0035484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54843" w:rsidRPr="0096502F" w:rsidRDefault="00354843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354843" w:rsidRPr="0096502F" w:rsidRDefault="00354843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54843" w:rsidRPr="0096502F" w:rsidRDefault="00354843" w:rsidP="00E57BF1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354843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54843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54843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54843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54843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54843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1427D" w:rsidRDefault="0051427D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1427D" w:rsidRDefault="0051427D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1427D" w:rsidRDefault="0051427D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51427D" w:rsidRDefault="0051427D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bookmarkStart w:id="0" w:name="_GoBack"/>
      <w:bookmarkEnd w:id="0"/>
    </w:p>
    <w:p w:rsidR="00354843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54843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54843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354843" w:rsidRPr="0096502F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lastRenderedPageBreak/>
        <w:t>Článek VIII.</w:t>
      </w:r>
    </w:p>
    <w:p w:rsidR="00354843" w:rsidRPr="0096502F" w:rsidRDefault="00354843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354843" w:rsidRPr="00A56375" w:rsidRDefault="00354843" w:rsidP="0035484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</w:t>
      </w:r>
      <w:r>
        <w:rPr>
          <w:rFonts w:ascii="Times New Roman" w:eastAsia="Times New Roman" w:hAnsi="Times New Roman"/>
        </w:rPr>
        <w:t>07 odst. 1 Smlouvy o fungování E</w:t>
      </w:r>
      <w:r w:rsidRPr="00A56375">
        <w:rPr>
          <w:rFonts w:ascii="Times New Roman" w:eastAsia="Times New Roman" w:hAnsi="Times New Roman"/>
        </w:rPr>
        <w:t>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354843" w:rsidRPr="00A56375" w:rsidRDefault="00354843" w:rsidP="006A58F6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54843" w:rsidRPr="00A56375" w:rsidRDefault="00354843" w:rsidP="00354843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354843" w:rsidRDefault="00354843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354843" w:rsidRDefault="00354843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354843" w:rsidRDefault="00354843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354843" w:rsidRPr="0096502F" w:rsidRDefault="00354843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354843" w:rsidRPr="0096502F" w:rsidRDefault="00354843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354843" w:rsidRPr="007D3885" w:rsidRDefault="00354843" w:rsidP="007D3885">
      <w:pPr>
        <w:numPr>
          <w:ilvl w:val="0"/>
          <w:numId w:val="4"/>
        </w:numPr>
        <w:tabs>
          <w:tab w:val="clear" w:pos="1680"/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354843" w:rsidRDefault="00354843" w:rsidP="007D3885">
      <w:pPr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354843" w:rsidRPr="0096502F" w:rsidRDefault="00354843" w:rsidP="006A58F6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Příjemce je povinen bez zbytečného prodlení písemně informovat </w:t>
      </w:r>
      <w:proofErr w:type="spellStart"/>
      <w:r w:rsidRPr="0096502F">
        <w:rPr>
          <w:rFonts w:ascii="Times New Roman" w:eastAsia="Times New Roman" w:hAnsi="Times New Roman"/>
        </w:rPr>
        <w:t>administrující</w:t>
      </w:r>
      <w:proofErr w:type="spellEnd"/>
      <w:r w:rsidRPr="0096502F">
        <w:rPr>
          <w:rFonts w:ascii="Times New Roman" w:eastAsia="Times New Roman" w:hAnsi="Times New Roman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:rsidR="00354843" w:rsidRPr="0096502F" w:rsidRDefault="00354843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54843" w:rsidRPr="0096502F" w:rsidRDefault="00354843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354843" w:rsidRPr="0096502F" w:rsidRDefault="00354843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54843" w:rsidRPr="0096502F" w:rsidRDefault="00354843" w:rsidP="006A58F6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>
        <w:rPr>
          <w:rFonts w:ascii="Times New Roman" w:eastAsia="Times New Roman" w:hAnsi="Times New Roman"/>
        </w:rPr>
        <w:t>1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>příjemce.</w:t>
      </w:r>
    </w:p>
    <w:p w:rsidR="00354843" w:rsidRPr="0096502F" w:rsidRDefault="00354843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54843" w:rsidRPr="0096502F" w:rsidRDefault="00354843" w:rsidP="007D388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05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354843" w:rsidRPr="0096502F" w:rsidRDefault="00354843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354843" w:rsidRDefault="00354843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354843" w:rsidRPr="0096502F" w:rsidRDefault="00354843" w:rsidP="00353757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354843" w:rsidRDefault="00354843" w:rsidP="00AA66CF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354843" w:rsidRDefault="00354843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54843" w:rsidRDefault="00354843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54843" w:rsidRDefault="00354843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54843" w:rsidRDefault="00354843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54843" w:rsidRDefault="00354843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354843" w:rsidRPr="0096502F" w:rsidRDefault="00354843" w:rsidP="007D3885">
      <w:pPr>
        <w:numPr>
          <w:ilvl w:val="0"/>
          <w:numId w:val="4"/>
        </w:numPr>
        <w:tabs>
          <w:tab w:val="clear" w:pos="168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lastRenderedPageBreak/>
        <w:t xml:space="preserve">O poskytnutí dotace a uzavření veřejnoprávní smlouvy rozhodlo v souladu s ustanovením § 36 písm. c) příp. d) zákona č. 129/2000 Sb., o krajích (krajské zřízení), ve znění pozdějších předpisů, Zastupitelstvo Karlovarského kraje usnesením č. ZK </w:t>
      </w:r>
      <w:r>
        <w:rPr>
          <w:rFonts w:ascii="Times New Roman" w:eastAsia="Times New Roman" w:hAnsi="Times New Roman"/>
        </w:rPr>
        <w:t>158/06</w:t>
      </w:r>
      <w:r w:rsidRPr="00E20B55">
        <w:rPr>
          <w:rFonts w:ascii="Times New Roman" w:eastAsia="Times New Roman" w:hAnsi="Times New Roman"/>
        </w:rPr>
        <w:t>/20</w:t>
      </w:r>
      <w:r w:rsidRPr="00E20B55">
        <w:rPr>
          <w:rFonts w:ascii="Times New Roman" w:eastAsia="Times New Roman" w:hAnsi="Times New Roman"/>
          <w:color w:val="FF0000"/>
        </w:rPr>
        <w:t xml:space="preserve"> </w:t>
      </w:r>
      <w:r w:rsidRPr="00E20B55">
        <w:rPr>
          <w:rFonts w:ascii="Times New Roman" w:eastAsia="Times New Roman" w:hAnsi="Times New Roman"/>
        </w:rPr>
        <w:t>ze</w:t>
      </w:r>
      <w:r w:rsidRPr="0096502F">
        <w:rPr>
          <w:rFonts w:ascii="Times New Roman" w:eastAsia="Times New Roman" w:hAnsi="Times New Roman"/>
        </w:rPr>
        <w:t xml:space="preserve"> dne </w:t>
      </w:r>
      <w:r>
        <w:rPr>
          <w:rFonts w:ascii="Times New Roman" w:eastAsia="Times New Roman" w:hAnsi="Times New Roman"/>
        </w:rPr>
        <w:t>15. 6. 2020</w:t>
      </w:r>
      <w:r w:rsidRPr="0096502F">
        <w:rPr>
          <w:rFonts w:ascii="Times New Roman" w:eastAsia="Times New Roman" w:hAnsi="Times New Roman"/>
        </w:rPr>
        <w:t>.</w:t>
      </w:r>
    </w:p>
    <w:p w:rsidR="00354843" w:rsidRDefault="00354843" w:rsidP="00353757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354843" w:rsidTr="00353757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43" w:rsidRDefault="003548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43" w:rsidRDefault="003548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4843" w:rsidRDefault="00354843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</w:t>
            </w:r>
          </w:p>
          <w:p w:rsidR="00354843" w:rsidRDefault="00354843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843" w:rsidRDefault="00354843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</w:tr>
      <w:tr w:rsidR="00354843" w:rsidTr="00353757">
        <w:trPr>
          <w:trHeight w:val="153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43" w:rsidRDefault="003548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54843" w:rsidRDefault="003548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54843" w:rsidRDefault="003548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54843" w:rsidRDefault="003548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54843" w:rsidRDefault="003548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354843" w:rsidRDefault="003548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Josef Váňa</w:t>
            </w:r>
          </w:p>
          <w:p w:rsidR="00354843" w:rsidRDefault="003548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radní pro oblast tělovýchovy a sportu</w:t>
            </w:r>
          </w:p>
          <w:p w:rsidR="00354843" w:rsidRDefault="003548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(poskytovatel)</w:t>
            </w:r>
          </w:p>
          <w:p w:rsidR="00354843" w:rsidRDefault="003548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843" w:rsidRDefault="003548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54843" w:rsidRDefault="003548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54843" w:rsidRDefault="003548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54843" w:rsidRDefault="00354843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354843" w:rsidRDefault="00354843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354843" w:rsidRDefault="00354843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354843" w:rsidRDefault="00354843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354843" w:rsidRDefault="00354843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354843" w:rsidRDefault="00354843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354843" w:rsidRDefault="00354843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354843" w:rsidRDefault="00354843" w:rsidP="00353757">
      <w:pPr>
        <w:spacing w:after="0" w:line="240" w:lineRule="auto"/>
        <w:rPr>
          <w:rFonts w:ascii="Times New Roman" w:eastAsia="Times New Roman" w:hAnsi="Times New Roman"/>
        </w:rPr>
      </w:pPr>
    </w:p>
    <w:p w:rsidR="00354843" w:rsidRDefault="00354843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 ..... ..... ..... ..... .....</w:t>
      </w:r>
    </w:p>
    <w:p w:rsidR="00354843" w:rsidRPr="00E20B55" w:rsidRDefault="00354843" w:rsidP="00353757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Karolína Pokorná</w:t>
      </w:r>
    </w:p>
    <w:sectPr w:rsidR="00354843" w:rsidRPr="00E20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6883" w:rsidRDefault="001E6883" w:rsidP="00354843">
      <w:pPr>
        <w:spacing w:after="0" w:line="240" w:lineRule="auto"/>
      </w:pPr>
      <w:r>
        <w:separator/>
      </w:r>
    </w:p>
  </w:endnote>
  <w:endnote w:type="continuationSeparator" w:id="0">
    <w:p w:rsidR="001E6883" w:rsidRDefault="001E6883" w:rsidP="00354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6883" w:rsidRDefault="001E6883" w:rsidP="00354843">
      <w:pPr>
        <w:spacing w:after="0" w:line="240" w:lineRule="auto"/>
      </w:pPr>
      <w:r>
        <w:separator/>
      </w:r>
    </w:p>
  </w:footnote>
  <w:footnote w:type="continuationSeparator" w:id="0">
    <w:p w:rsidR="001E6883" w:rsidRDefault="001E6883" w:rsidP="00354843">
      <w:pPr>
        <w:spacing w:after="0" w:line="240" w:lineRule="auto"/>
      </w:pPr>
      <w:r>
        <w:continuationSeparator/>
      </w:r>
    </w:p>
  </w:footnote>
  <w:footnote w:id="1">
    <w:p w:rsidR="00354843" w:rsidRPr="0096502F" w:rsidRDefault="00354843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151264E"/>
    <w:multiLevelType w:val="hybridMultilevel"/>
    <w:tmpl w:val="2CA86F7E"/>
    <w:lvl w:ilvl="0" w:tplc="B25CF7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D8A24068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43"/>
    <w:rsid w:val="001E6883"/>
    <w:rsid w:val="00354843"/>
    <w:rsid w:val="0051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DC08"/>
  <w15:chartTrackingRefBased/>
  <w15:docId w15:val="{9DF74C37-9482-4448-858E-9FF5E990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35484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548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54843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354843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5484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354843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354843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3548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3548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2534</Words>
  <Characters>14955</Characters>
  <Application>Microsoft Office Word</Application>
  <DocSecurity>0</DocSecurity>
  <Lines>124</Lines>
  <Paragraphs>34</Paragraphs>
  <ScaleCrop>false</ScaleCrop>
  <Company/>
  <LinksUpToDate>false</LinksUpToDate>
  <CharactersWithSpaces>17455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Pokorná Karolína</dc:creator>
  <cp:keywords/>
  <dc:description/>
  <cp:lastModifiedBy>Pokorná Karolína</cp:lastModifiedBy>
  <cp:revision>2</cp:revision>
  <dcterms:created xsi:type="dcterms:W3CDTF">2020-07-02T12:54:00Z</dcterms:created>
  <dcterms:modified xsi:type="dcterms:W3CDTF">2020-07-03T05:26:00Z</dcterms:modified>
</cp:coreProperties>
</file>