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right"/>
        <w:rPr>
          <w:rFonts w:ascii="Calibri" w:hAnsi="Calibri" w:cs="Calibri" w:eastAsia="Calibri"/>
          <w:b/>
          <w:color w:val="auto"/>
          <w:spacing w:val="0"/>
          <w:position w:val="0"/>
          <w:sz w:val="21"/>
          <w:shd w:fill="auto" w:val="clear"/>
        </w:rPr>
      </w:pPr>
      <w:r>
        <w:rPr>
          <w:rFonts w:ascii="Times New Roman" w:hAnsi="Times New Roman" w:cs="Times New Roman" w:eastAsia="Times New Roman"/>
          <w:color w:val="auto"/>
          <w:spacing w:val="0"/>
          <w:position w:val="0"/>
          <w:sz w:val="22"/>
          <w:shd w:fill="auto" w:val="clear"/>
        </w:rPr>
        <w:t xml:space="preserve">Číslo smlouvy: </w:t>
        <w:tab/>
        <w:t xml:space="preserve">____/2020/VZ</w:t>
      </w:r>
    </w:p>
    <w:p>
      <w:pPr>
        <w:spacing w:before="0" w:after="120" w:line="240"/>
        <w:ind w:right="0" w:left="0" w:firstLine="0"/>
        <w:jc w:val="left"/>
        <w:rPr>
          <w:rFonts w:ascii="Calibri" w:hAnsi="Calibri" w:cs="Calibri" w:eastAsia="Calibri"/>
          <w:b/>
          <w:color w:val="auto"/>
          <w:spacing w:val="0"/>
          <w:position w:val="0"/>
          <w:sz w:val="21"/>
          <w:shd w:fill="auto" w:val="clear"/>
        </w:rPr>
      </w:pPr>
    </w:p>
    <w:p>
      <w:pPr>
        <w:spacing w:before="0" w:after="120" w:line="240"/>
        <w:ind w:right="0" w:left="0" w:firstLine="0"/>
        <w:jc w:val="left"/>
        <w:rPr>
          <w:rFonts w:ascii="Arial" w:hAnsi="Arial" w:cs="Arial" w:eastAsia="Arial"/>
          <w:b/>
          <w:color w:val="auto"/>
          <w:spacing w:val="0"/>
          <w:position w:val="0"/>
          <w:sz w:val="36"/>
          <w:shd w:fill="auto" w:val="clear"/>
        </w:rPr>
      </w:pPr>
      <w:r>
        <w:rPr>
          <w:rFonts w:ascii="Calibri" w:hAnsi="Calibri" w:cs="Calibri" w:eastAsia="Calibri"/>
          <w:b/>
          <w:color w:val="auto"/>
          <w:spacing w:val="0"/>
          <w:position w:val="0"/>
          <w:sz w:val="21"/>
          <w:shd w:fill="auto" w:val="clear"/>
        </w:rPr>
        <w:t xml:space="preserve"> </w:t>
      </w:r>
      <w:r>
        <w:rPr>
          <w:rFonts w:ascii="Arial" w:hAnsi="Arial" w:cs="Arial" w:eastAsia="Arial"/>
          <w:b/>
          <w:color w:val="auto"/>
          <w:spacing w:val="0"/>
          <w:position w:val="0"/>
          <w:sz w:val="36"/>
          <w:shd w:fill="auto" w:val="clear"/>
        </w:rPr>
        <w:t xml:space="preserve">SMLOUVA O CENTRALIZOVANÉM ZADÁVÁNÍ </w:t>
      </w:r>
    </w:p>
    <w:p>
      <w:pPr>
        <w:spacing w:before="0" w:after="12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(dále jen „smlouva“)</w:t>
      </w:r>
    </w:p>
    <w:p>
      <w:pPr>
        <w:spacing w:before="0" w:after="12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Smluvní strany:</w:t>
      </w:r>
    </w:p>
    <w:p>
      <w:pPr>
        <w:spacing w:before="0" w:after="12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w:t>
        <w:tab/>
        <w:tab/>
        <w:t xml:space="preserve">Statutární m</w:t>
      </w:r>
      <w:r>
        <w:rPr>
          <w:rFonts w:ascii="Times New Roman" w:hAnsi="Times New Roman" w:cs="Times New Roman" w:eastAsia="Times New Roman"/>
          <w:color w:val="auto"/>
          <w:spacing w:val="0"/>
          <w:position w:val="0"/>
          <w:sz w:val="22"/>
          <w:shd w:fill="auto" w:val="clear"/>
        </w:rPr>
        <w:t xml:space="preserve">ěsto Ostrava</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Sídlem: </w:t>
        <w:tab/>
        <w:tab/>
        <w:tab/>
        <w:t xml:space="preserve">Prokešovo nám</w:t>
      </w:r>
      <w:r>
        <w:rPr>
          <w:rFonts w:ascii="Times New Roman" w:hAnsi="Times New Roman" w:cs="Times New Roman" w:eastAsia="Times New Roman"/>
          <w:color w:val="auto"/>
          <w:spacing w:val="0"/>
          <w:position w:val="0"/>
          <w:sz w:val="22"/>
          <w:shd w:fill="auto" w:val="clear"/>
        </w:rPr>
        <w:t xml:space="preserve">ěstí 8, 729 30 Ostrava</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ČO: </w:t>
        <w:tab/>
        <w:tab/>
        <w:tab/>
        <w:tab/>
        <w:t xml:space="preserve">00845451</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w:t>
      </w:r>
      <w:r>
        <w:rPr>
          <w:rFonts w:ascii="Times New Roman" w:hAnsi="Times New Roman" w:cs="Times New Roman" w:eastAsia="Times New Roman"/>
          <w:color w:val="auto"/>
          <w:spacing w:val="0"/>
          <w:position w:val="0"/>
          <w:sz w:val="22"/>
          <w:shd w:fill="auto" w:val="clear"/>
        </w:rPr>
        <w:t xml:space="preserve">Č: </w:t>
        <w:tab/>
        <w:tab/>
        <w:tab/>
        <w:tab/>
        <w:t xml:space="preserve">CZ00845451 – je plátcem DPH</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Zastoupené:</w:t>
        <w:tab/>
        <w:tab/>
        <w:tab/>
        <w:t xml:space="preserve">Ing. Tomášem Macurou, MBA, primátorem</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(dále jen „Centrální zadavatel“)</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w:t>
        <w:tab/>
        <w:tab/>
        <w:t xml:space="preserve">Základní škola, Ostrava-Poruba, J. Valčíka 4411, příspěvková organizace</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Sídlem: </w:t>
        <w:tab/>
        <w:tab/>
        <w:tab/>
        <w:t xml:space="preserve">Josefa Val</w:t>
      </w:r>
      <w:r>
        <w:rPr>
          <w:rFonts w:ascii="Times New Roman" w:hAnsi="Times New Roman" w:cs="Times New Roman" w:eastAsia="Times New Roman"/>
          <w:color w:val="auto"/>
          <w:spacing w:val="0"/>
          <w:position w:val="0"/>
          <w:sz w:val="22"/>
          <w:shd w:fill="auto" w:val="clear"/>
        </w:rPr>
        <w:t xml:space="preserve">číka 4411/2, 708 00 Ostrava-Poruba</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ČO: </w:t>
        <w:tab/>
        <w:tab/>
        <w:tab/>
        <w:tab/>
        <w:t xml:space="preserve">64627918</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w:t>
      </w:r>
      <w:r>
        <w:rPr>
          <w:rFonts w:ascii="Times New Roman" w:hAnsi="Times New Roman" w:cs="Times New Roman" w:eastAsia="Times New Roman"/>
          <w:color w:val="auto"/>
          <w:spacing w:val="0"/>
          <w:position w:val="0"/>
          <w:sz w:val="22"/>
          <w:shd w:fill="auto" w:val="clear"/>
        </w:rPr>
        <w:t xml:space="preserve">Č: </w:t>
        <w:tab/>
        <w:tab/>
        <w:tab/>
        <w:tab/>
        <w:t xml:space="preserve">CZ64627918 - neplátce DPH</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Zastoupen:</w:t>
        <w:tab/>
        <w:tab/>
        <w:tab/>
        <w:t xml:space="preserve">Mgr. Antonínem Dohnalem, </w:t>
      </w:r>
      <w:r>
        <w:rPr>
          <w:rFonts w:ascii="Times New Roman" w:hAnsi="Times New Roman" w:cs="Times New Roman" w:eastAsia="Times New Roman"/>
          <w:color w:val="auto"/>
          <w:spacing w:val="0"/>
          <w:position w:val="0"/>
          <w:sz w:val="22"/>
          <w:shd w:fill="auto" w:val="clear"/>
        </w:rPr>
        <w:t xml:space="preserve">ředitelem</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(dále jen „Pov</w:t>
      </w:r>
      <w:r>
        <w:rPr>
          <w:rFonts w:ascii="Times New Roman" w:hAnsi="Times New Roman" w:cs="Times New Roman" w:eastAsia="Times New Roman"/>
          <w:color w:val="auto"/>
          <w:spacing w:val="0"/>
          <w:position w:val="0"/>
          <w:sz w:val="22"/>
          <w:shd w:fill="auto" w:val="clear"/>
        </w:rPr>
        <w:t xml:space="preserve">ěřující zadavatel“)</w:t>
      </w: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a Pov</w:t>
      </w:r>
      <w:r>
        <w:rPr>
          <w:rFonts w:ascii="Times New Roman" w:hAnsi="Times New Roman" w:cs="Times New Roman" w:eastAsia="Times New Roman"/>
          <w:color w:val="auto"/>
          <w:spacing w:val="0"/>
          <w:position w:val="0"/>
          <w:sz w:val="22"/>
          <w:shd w:fill="auto" w:val="clear"/>
        </w:rPr>
        <w:t xml:space="preserve">ěřující zadavatel společně dále jen „Smluvní strany‘)</w:t>
      </w:r>
    </w:p>
    <w:p>
      <w:pPr>
        <w:spacing w:before="0" w:after="12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w:t>
      </w:r>
      <w:r>
        <w:rPr>
          <w:rFonts w:ascii="Times New Roman" w:hAnsi="Times New Roman" w:cs="Times New Roman" w:eastAsia="Times New Roman"/>
          <w:b/>
          <w:color w:val="000000"/>
          <w:spacing w:val="0"/>
          <w:position w:val="0"/>
          <w:sz w:val="22"/>
          <w:shd w:fill="auto" w:val="clear"/>
        </w:rPr>
        <w:t xml:space="preserve">ředmět a účel Smlouvy</w:t>
      </w:r>
    </w:p>
    <w:p>
      <w:pPr>
        <w:numPr>
          <w:ilvl w:val="0"/>
          <w:numId w:val="6"/>
        </w:numPr>
        <w:tabs>
          <w:tab w:val="left" w:pos="709" w:leader="none"/>
        </w:tabs>
        <w:spacing w:before="0" w:after="24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Tato smlouva je uzav</w:t>
      </w:r>
      <w:r>
        <w:rPr>
          <w:rFonts w:ascii="Times New Roman" w:hAnsi="Times New Roman" w:cs="Times New Roman" w:eastAsia="Times New Roman"/>
          <w:color w:val="auto"/>
          <w:spacing w:val="0"/>
          <w:position w:val="0"/>
          <w:sz w:val="22"/>
          <w:shd w:fill="auto" w:val="clear"/>
        </w:rPr>
        <w:t xml:space="preserve">řená v souladu s § 9 odst. 4 zákona č. 134/2016 Sb., o zadávání veřejných zakázek, ve znění pozdějších předpisů (dále jen „Zákon“), a v souladu s § 1746 odst. 2 zákona č. 89/2012 Sb., občanský zákoník, ve znění pozdějších předpisů.</w:t>
      </w:r>
    </w:p>
    <w:p>
      <w:pPr>
        <w:numPr>
          <w:ilvl w:val="0"/>
          <w:numId w:val="6"/>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Ú</w:t>
      </w:r>
      <w:r>
        <w:rPr>
          <w:rFonts w:ascii="Times New Roman" w:hAnsi="Times New Roman" w:cs="Times New Roman" w:eastAsia="Times New Roman"/>
          <w:color w:val="auto"/>
          <w:spacing w:val="0"/>
          <w:position w:val="0"/>
          <w:sz w:val="22"/>
          <w:shd w:fill="auto" w:val="clear"/>
        </w:rPr>
        <w:t xml:space="preserve">čelem této smlouvy je organizace zadávacích řízení ve smyslu § 9 Zákona s cílem zajištění dodávek dále uvedené komodity pro Pověřujícího zadavatele.</w:t>
      </w:r>
    </w:p>
    <w:p>
      <w:pPr>
        <w:numPr>
          <w:ilvl w:val="0"/>
          <w:numId w:val="6"/>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a Pov</w:t>
      </w:r>
      <w:r>
        <w:rPr>
          <w:rFonts w:ascii="Times New Roman" w:hAnsi="Times New Roman" w:cs="Times New Roman" w:eastAsia="Times New Roman"/>
          <w:color w:val="auto"/>
          <w:spacing w:val="0"/>
          <w:position w:val="0"/>
          <w:sz w:val="22"/>
          <w:shd w:fill="auto" w:val="clear"/>
        </w:rPr>
        <w:t xml:space="preserve">ěřující zadavatel uzavírají Smlouvu v souladu s ust. § 9 odst. 4 Zákona. Předmětem Smlouvy je úprava vzájemných práv a povinností Smluvních stran souvisejících s centralizovaným zadáváním veřejné zakázky:</w:t>
      </w:r>
    </w:p>
    <w:p>
      <w:pPr>
        <w:numPr>
          <w:ilvl w:val="0"/>
          <w:numId w:val="6"/>
        </w:numPr>
        <w:tabs>
          <w:tab w:val="left" w:pos="709" w:leader="none"/>
        </w:tabs>
        <w:spacing w:before="240" w:after="240" w:line="240"/>
        <w:ind w:right="0" w:left="709" w:hanging="709"/>
        <w:jc w:val="left"/>
        <w:rPr>
          <w:rFonts w:ascii="Arial" w:hAnsi="Arial" w:cs="Arial" w:eastAsia="Arial"/>
          <w:b/>
          <w:caps w:val="true"/>
          <w:color w:val="auto"/>
          <w:spacing w:val="0"/>
          <w:position w:val="0"/>
          <w:sz w:val="22"/>
          <w:shd w:fill="auto" w:val="clear"/>
        </w:rPr>
      </w:pPr>
    </w:p>
    <w:p>
      <w:pPr>
        <w:numPr>
          <w:ilvl w:val="0"/>
          <w:numId w:val="6"/>
        </w:numPr>
        <w:tabs>
          <w:tab w:val="left" w:pos="709" w:leader="none"/>
        </w:tabs>
        <w:spacing w:before="240" w:after="240" w:line="240"/>
        <w:ind w:right="0" w:left="709" w:hanging="709"/>
        <w:jc w:val="left"/>
        <w:rPr>
          <w:rFonts w:ascii="Arial" w:hAnsi="Arial" w:cs="Arial" w:eastAsia="Arial"/>
          <w:b/>
          <w:caps w:val="true"/>
          <w:color w:val="auto"/>
          <w:spacing w:val="0"/>
          <w:position w:val="0"/>
          <w:sz w:val="22"/>
          <w:shd w:fill="auto" w:val="clear"/>
        </w:rPr>
      </w:pPr>
    </w:p>
    <w:p>
      <w:pPr>
        <w:numPr>
          <w:ilvl w:val="0"/>
          <w:numId w:val="6"/>
        </w:numPr>
        <w:tabs>
          <w:tab w:val="left" w:pos="709" w:leader="none"/>
        </w:tabs>
        <w:spacing w:before="240" w:after="240" w:line="240"/>
        <w:ind w:right="0" w:left="709" w:hanging="709"/>
        <w:jc w:val="left"/>
        <w:rPr>
          <w:rFonts w:ascii="Arial" w:hAnsi="Arial" w:cs="Arial" w:eastAsia="Arial"/>
          <w:b/>
          <w:caps w:val="true"/>
          <w:color w:val="auto"/>
          <w:spacing w:val="0"/>
          <w:position w:val="0"/>
          <w:sz w:val="22"/>
          <w:shd w:fill="auto" w:val="clear"/>
        </w:rPr>
      </w:pPr>
    </w:p>
    <w:tbl>
      <w:tblPr>
        <w:tblInd w:w="709" w:type="dxa"/>
      </w:tblPr>
      <w:tblGrid>
        <w:gridCol w:w="3001"/>
        <w:gridCol w:w="3293"/>
        <w:gridCol w:w="2852"/>
      </w:tblGrid>
      <w:tr>
        <w:trPr>
          <w:trHeight w:val="680" w:hRule="auto"/>
          <w:jc w:val="left"/>
        </w:trPr>
        <w:tc>
          <w:tcPr>
            <w:tcW w:w="30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numPr>
                <w:ilvl w:val="0"/>
                <w:numId w:val="6"/>
              </w:numPr>
              <w:tabs>
                <w:tab w:val="left" w:pos="709" w:leader="none"/>
              </w:tabs>
              <w:spacing w:before="0" w:after="120" w:line="240"/>
              <w:ind w:right="0" w:left="709" w:hanging="709"/>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P</w:t>
            </w:r>
            <w:r>
              <w:rPr>
                <w:rFonts w:ascii="Times New Roman" w:hAnsi="Times New Roman" w:cs="Times New Roman" w:eastAsia="Times New Roman"/>
                <w:b/>
                <w:color w:val="auto"/>
                <w:spacing w:val="0"/>
                <w:position w:val="0"/>
                <w:sz w:val="22"/>
                <w:shd w:fill="auto" w:val="clear"/>
              </w:rPr>
              <w:t xml:space="preserve">ředpokládaný název veřejné zakázky</w:t>
            </w:r>
          </w:p>
        </w:tc>
        <w:tc>
          <w:tcPr>
            <w:tcW w:w="32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numPr>
                <w:ilvl w:val="0"/>
                <w:numId w:val="6"/>
              </w:numPr>
              <w:tabs>
                <w:tab w:val="left" w:pos="709" w:leader="none"/>
              </w:tabs>
              <w:spacing w:before="0" w:after="120" w:line="240"/>
              <w:ind w:right="0" w:left="709" w:hanging="709"/>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V</w:t>
            </w:r>
            <w:r>
              <w:rPr>
                <w:rFonts w:ascii="Times New Roman" w:hAnsi="Times New Roman" w:cs="Times New Roman" w:eastAsia="Times New Roman"/>
                <w:b/>
                <w:color w:val="auto"/>
                <w:spacing w:val="0"/>
                <w:position w:val="0"/>
                <w:sz w:val="22"/>
                <w:shd w:fill="auto" w:val="clear"/>
              </w:rPr>
              <w:t xml:space="preserve">ěcné vymezení (CPV kód)</w:t>
            </w:r>
          </w:p>
        </w:tc>
        <w:tc>
          <w:tcPr>
            <w:tcW w:w="285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numPr>
                <w:ilvl w:val="0"/>
                <w:numId w:val="6"/>
              </w:numPr>
              <w:tabs>
                <w:tab w:val="left" w:pos="709" w:leader="none"/>
              </w:tabs>
              <w:spacing w:before="0" w:after="120" w:line="240"/>
              <w:ind w:right="0" w:left="709" w:hanging="709"/>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Ú</w:t>
            </w:r>
            <w:r>
              <w:rPr>
                <w:rFonts w:ascii="Times New Roman" w:hAnsi="Times New Roman" w:cs="Times New Roman" w:eastAsia="Times New Roman"/>
                <w:b/>
                <w:color w:val="auto"/>
                <w:spacing w:val="0"/>
                <w:position w:val="0"/>
                <w:sz w:val="22"/>
                <w:shd w:fill="auto" w:val="clear"/>
              </w:rPr>
              <w:t xml:space="preserve">čast na centralizovaném zadávání veřejné zakázky</w:t>
            </w:r>
          </w:p>
        </w:tc>
      </w:tr>
      <w:tr>
        <w:trPr>
          <w:trHeight w:val="680" w:hRule="auto"/>
          <w:jc w:val="left"/>
        </w:trPr>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tbl>
            <w:tblPr>
              <w:tblInd w:w="709" w:type="dxa"/>
            </w:tblPr>
            <w:tblGrid>
              <w:gridCol w:w="2785"/>
            </w:tblGrid>
            <w:tr>
              <w:trPr>
                <w:trHeight w:val="88" w:hRule="auto"/>
                <w:jc w:val="left"/>
              </w:trPr>
              <w:tc>
                <w:tcPr>
                  <w:tcW w:w="2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z w:val="22"/>
                    </w:rPr>
                  </w:pPr>
                  <w:r>
                    <w:rPr>
                      <w:rFonts w:ascii="Times New Roman" w:hAnsi="Times New Roman" w:cs="Times New Roman" w:eastAsia="Times New Roman"/>
                      <w:b/>
                      <w:color w:val="000000"/>
                      <w:spacing w:val="0"/>
                      <w:position w:val="0"/>
                      <w:sz w:val="22"/>
                      <w:shd w:fill="auto" w:val="clear"/>
                    </w:rPr>
                    <w:t xml:space="preserve">Obalový materiál a jednorázové papírové výrobky </w:t>
                  </w:r>
                </w:p>
              </w:tc>
            </w:tr>
          </w:tbl>
          <w:p>
            <w:pPr>
              <w:spacing w:before="0" w:after="0" w:line="240"/>
              <w:ind w:right="0" w:left="0" w:firstLine="0"/>
              <w:jc w:val="left"/>
              <w:rPr>
                <w:spacing w:val="0"/>
                <w:position w:val="0"/>
                <w:sz w:val="22"/>
              </w:rPr>
            </w:pP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19640000-4</w:t>
            </w:r>
            <w:r>
              <w:rPr>
                <w:rFonts w:ascii="Times New Roman" w:hAnsi="Times New Roman" w:cs="Times New Roman" w:eastAsia="Times New Roman"/>
                <w:color w:val="000000"/>
                <w:spacing w:val="0"/>
                <w:position w:val="0"/>
                <w:sz w:val="22"/>
                <w:shd w:fill="auto" w:val="clear"/>
              </w:rPr>
              <w:t xml:space="preserve"> (Odpadní pytle a sá</w:t>
            </w:r>
            <w:r>
              <w:rPr>
                <w:rFonts w:ascii="Times New Roman" w:hAnsi="Times New Roman" w:cs="Times New Roman" w:eastAsia="Times New Roman"/>
                <w:color w:val="000000"/>
                <w:spacing w:val="0"/>
                <w:position w:val="0"/>
                <w:sz w:val="22"/>
                <w:shd w:fill="auto" w:val="clear"/>
              </w:rPr>
              <w:t xml:space="preserve">čky z polymerů ethylenu) </w:t>
            </w:r>
          </w:p>
          <w:p>
            <w:pPr>
              <w:spacing w:before="0" w:after="0" w:line="240"/>
              <w:ind w:right="0" w:left="0" w:firstLine="0"/>
              <w:jc w:val="left"/>
              <w:rPr>
                <w:spacing w:val="0"/>
                <w:position w:val="0"/>
                <w:sz w:val="22"/>
              </w:rPr>
            </w:pPr>
            <w:r>
              <w:rPr>
                <w:rFonts w:ascii="Times New Roman" w:hAnsi="Times New Roman" w:cs="Times New Roman" w:eastAsia="Times New Roman"/>
                <w:b/>
                <w:color w:val="000000"/>
                <w:spacing w:val="0"/>
                <w:position w:val="0"/>
                <w:sz w:val="22"/>
                <w:shd w:fill="auto" w:val="clear"/>
              </w:rPr>
              <w:t xml:space="preserve">33760000-5</w:t>
            </w:r>
            <w:r>
              <w:rPr>
                <w:rFonts w:ascii="Times New Roman" w:hAnsi="Times New Roman" w:cs="Times New Roman" w:eastAsia="Times New Roman"/>
                <w:color w:val="000000"/>
                <w:spacing w:val="0"/>
                <w:position w:val="0"/>
                <w:sz w:val="22"/>
                <w:shd w:fill="auto" w:val="clear"/>
              </w:rPr>
              <w:t xml:space="preserve"> (Toaletní papír, kapesníky, ru</w:t>
            </w:r>
            <w:r>
              <w:rPr>
                <w:rFonts w:ascii="Times New Roman" w:hAnsi="Times New Roman" w:cs="Times New Roman" w:eastAsia="Times New Roman"/>
                <w:color w:val="000000"/>
                <w:spacing w:val="0"/>
                <w:position w:val="0"/>
                <w:sz w:val="22"/>
                <w:shd w:fill="auto" w:val="clear"/>
              </w:rPr>
              <w:t xml:space="preserve">ční utěrky a ubrousky) </w:t>
            </w:r>
          </w:p>
        </w:tc>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120" w:after="0" w:line="240"/>
              <w:ind w:right="0" w:left="0" w:firstLine="0"/>
              <w:jc w:val="center"/>
              <w:rPr>
                <w:spacing w:val="0"/>
                <w:position w:val="0"/>
                <w:sz w:val="22"/>
              </w:rPr>
            </w:pPr>
            <w:r>
              <w:rPr>
                <w:rFonts w:ascii="Times New Roman" w:hAnsi="Times New Roman" w:cs="Times New Roman" w:eastAsia="Times New Roman"/>
                <w:b/>
                <w:color w:val="000000"/>
                <w:spacing w:val="0"/>
                <w:position w:val="0"/>
                <w:sz w:val="22"/>
                <w:shd w:fill="auto" w:val="clear"/>
              </w:rPr>
              <w:t xml:space="preserve">NE</w:t>
            </w:r>
          </w:p>
        </w:tc>
      </w:tr>
      <w:tr>
        <w:trPr>
          <w:trHeight w:val="680" w:hRule="auto"/>
          <w:jc w:val="left"/>
        </w:trPr>
        <w:tc>
          <w:tcPr>
            <w:tcW w:w="3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tbl>
            <w:tblPr>
              <w:tblInd w:w="709" w:type="dxa"/>
            </w:tblPr>
            <w:tblGrid>
              <w:gridCol w:w="2785"/>
            </w:tblGrid>
            <w:tr>
              <w:trPr>
                <w:trHeight w:val="93" w:hRule="auto"/>
                <w:jc w:val="left"/>
              </w:trPr>
              <w:tc>
                <w:tcPr>
                  <w:tcW w:w="2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z w:val="22"/>
                    </w:rPr>
                  </w:pPr>
                  <w:r>
                    <w:rPr>
                      <w:rFonts w:ascii="Times New Roman" w:hAnsi="Times New Roman" w:cs="Times New Roman" w:eastAsia="Times New Roman"/>
                      <w:b/>
                      <w:color w:val="000000"/>
                      <w:spacing w:val="0"/>
                      <w:position w:val="0"/>
                      <w:sz w:val="22"/>
                      <w:shd w:fill="auto" w:val="clear"/>
                    </w:rPr>
                    <w:t xml:space="preserve">Drogerie a </w:t>
                  </w:r>
                  <w:r>
                    <w:rPr>
                      <w:rFonts w:ascii="Times New Roman" w:hAnsi="Times New Roman" w:cs="Times New Roman" w:eastAsia="Times New Roman"/>
                      <w:b/>
                      <w:color w:val="000000"/>
                      <w:spacing w:val="0"/>
                      <w:position w:val="0"/>
                      <w:sz w:val="22"/>
                      <w:shd w:fill="auto" w:val="clear"/>
                    </w:rPr>
                    <w:t xml:space="preserve">čisticí prostředky </w:t>
                  </w:r>
                </w:p>
              </w:tc>
            </w:tr>
          </w:tbl>
          <w:p>
            <w:pPr>
              <w:spacing w:before="0" w:after="0" w:line="240"/>
              <w:ind w:right="0" w:left="0" w:firstLine="0"/>
              <w:jc w:val="left"/>
              <w:rPr>
                <w:spacing w:val="0"/>
                <w:position w:val="0"/>
                <w:sz w:val="22"/>
              </w:rPr>
            </w:pPr>
          </w:p>
        </w:tc>
        <w:tc>
          <w:tcPr>
            <w:tcW w:w="3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5"/>
              </w:numPr>
              <w:tabs>
                <w:tab w:val="left" w:pos="709" w:leader="none"/>
              </w:tabs>
              <w:spacing w:before="240" w:after="0" w:line="240"/>
              <w:ind w:right="0" w:left="709" w:hanging="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39800000-0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Čisticí prostředky a jiné drogistické zboží</w:t>
            </w:r>
          </w:p>
          <w:p>
            <w:pPr>
              <w:numPr>
                <w:ilvl w:val="0"/>
                <w:numId w:val="25"/>
              </w:numPr>
              <w:tabs>
                <w:tab w:val="left" w:pos="709" w:leader="none"/>
              </w:tabs>
              <w:spacing w:before="240" w:after="0" w:line="240"/>
              <w:ind w:right="0" w:left="709" w:hanging="709"/>
              <w:jc w:val="both"/>
              <w:rPr>
                <w:color w:val="auto"/>
                <w:spacing w:val="0"/>
                <w:position w:val="0"/>
                <w:sz w:val="22"/>
              </w:rPr>
            </w:pPr>
            <w:r>
              <w:rPr>
                <w:rFonts w:ascii="Times New Roman" w:hAnsi="Times New Roman" w:cs="Times New Roman" w:eastAsia="Times New Roman"/>
                <w:i/>
                <w:color w:val="auto"/>
                <w:spacing w:val="0"/>
                <w:position w:val="0"/>
                <w:sz w:val="22"/>
                <w:shd w:fill="auto" w:val="clear"/>
              </w:rPr>
              <w:t xml:space="preserve">vyjma 19640000-4 (Odpadní pytle a sá</w:t>
            </w:r>
            <w:r>
              <w:rPr>
                <w:rFonts w:ascii="Times New Roman" w:hAnsi="Times New Roman" w:cs="Times New Roman" w:eastAsia="Times New Roman"/>
                <w:i/>
                <w:color w:val="auto"/>
                <w:spacing w:val="0"/>
                <w:position w:val="0"/>
                <w:sz w:val="22"/>
                <w:shd w:fill="auto" w:val="clear"/>
              </w:rPr>
              <w:t xml:space="preserve">čky z polymerů ethylenu), 33760000-5 (Toaletní papír, kapesníky, ruční utěrky a ubrousky), 33770000-8 (Papírové hygienické výrobky)</w:t>
            </w:r>
          </w:p>
        </w:tc>
        <w:tc>
          <w:tcPr>
            <w:tcW w:w="2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
              </w:numPr>
              <w:tabs>
                <w:tab w:val="left" w:pos="709" w:leader="none"/>
              </w:tabs>
              <w:spacing w:before="240" w:after="0" w:line="240"/>
              <w:ind w:right="0" w:left="709" w:hanging="709"/>
              <w:jc w:val="center"/>
              <w:rPr>
                <w:rFonts w:ascii="Times New Roman" w:hAnsi="Times New Roman" w:cs="Times New Roman" w:eastAsia="Times New Roman"/>
                <w:color w:val="000000"/>
                <w:spacing w:val="0"/>
                <w:position w:val="0"/>
                <w:sz w:val="22"/>
                <w:shd w:fill="auto" w:val="clear"/>
              </w:rPr>
            </w:pPr>
          </w:p>
          <w:p>
            <w:pPr>
              <w:numPr>
                <w:ilvl w:val="0"/>
                <w:numId w:val="25"/>
              </w:numPr>
              <w:tabs>
                <w:tab w:val="left" w:pos="709" w:leader="none"/>
              </w:tabs>
              <w:spacing w:before="240" w:after="0" w:line="240"/>
              <w:ind w:right="0" w:left="709" w:hanging="709"/>
              <w:jc w:val="center"/>
              <w:rPr>
                <w:spacing w:val="0"/>
                <w:position w:val="0"/>
                <w:sz w:val="22"/>
              </w:rPr>
            </w:pPr>
            <w:r>
              <w:rPr>
                <w:rFonts w:ascii="Times New Roman" w:hAnsi="Times New Roman" w:cs="Times New Roman" w:eastAsia="Times New Roman"/>
                <w:b/>
                <w:color w:val="000000"/>
                <w:spacing w:val="0"/>
                <w:position w:val="0"/>
                <w:sz w:val="22"/>
                <w:shd w:fill="auto" w:val="clear"/>
              </w:rPr>
              <w:t xml:space="preserve">NE</w:t>
            </w:r>
          </w:p>
        </w:tc>
      </w:tr>
    </w:tbl>
    <w:p>
      <w:pPr>
        <w:numPr>
          <w:ilvl w:val="0"/>
          <w:numId w:val="25"/>
        </w:numPr>
        <w:tabs>
          <w:tab w:val="left" w:pos="709" w:leader="none"/>
        </w:tabs>
        <w:spacing w:before="24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bude ve smyslu § 9 odst. 1 písm. b) Zákona provád</w:t>
      </w:r>
      <w:r>
        <w:rPr>
          <w:rFonts w:ascii="Times New Roman" w:hAnsi="Times New Roman" w:cs="Times New Roman" w:eastAsia="Times New Roman"/>
          <w:color w:val="auto"/>
          <w:spacing w:val="0"/>
          <w:position w:val="0"/>
          <w:sz w:val="22"/>
          <w:shd w:fill="auto" w:val="clear"/>
        </w:rPr>
        <w:t xml:space="preserve">ět centralizované zadávání veřejných zakázek specifikovaných v čl. 1 odst. 1.3 Smlouvy (dále jen „Veřejná zakázka“), a to na základě této Smlouvy a dalších obdobných smluv s totožným obsahem uzavřených s jinými pověřujícími zadavateli.</w:t>
      </w:r>
    </w:p>
    <w:p>
      <w:pPr>
        <w:numPr>
          <w:ilvl w:val="0"/>
          <w:numId w:val="25"/>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Smluvní strany se dohodly, že na základ</w:t>
      </w:r>
      <w:r>
        <w:rPr>
          <w:rFonts w:ascii="Times New Roman" w:hAnsi="Times New Roman" w:cs="Times New Roman" w:eastAsia="Times New Roman"/>
          <w:color w:val="auto"/>
          <w:spacing w:val="0"/>
          <w:position w:val="0"/>
          <w:sz w:val="22"/>
          <w:shd w:fill="auto" w:val="clear"/>
        </w:rPr>
        <w:t xml:space="preserve">ě této Smlouvy může být realizováno i více zadávacích řízení pro jednu Komoditu, a to v případě opakovaného zadání veřejné zakázky na plnění v navazujícím období.</w:t>
      </w:r>
    </w:p>
    <w:p>
      <w:pPr>
        <w:numPr>
          <w:ilvl w:val="0"/>
          <w:numId w:val="25"/>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00FFFF" w:val="clear"/>
        </w:rPr>
      </w:pPr>
      <w:r>
        <w:rPr>
          <w:rFonts w:ascii="Times New Roman" w:hAnsi="Times New Roman" w:cs="Times New Roman" w:eastAsia="Times New Roman"/>
          <w:color w:val="auto"/>
          <w:spacing w:val="0"/>
          <w:position w:val="0"/>
          <w:sz w:val="22"/>
          <w:shd w:fill="auto" w:val="clear"/>
        </w:rPr>
        <w:t xml:space="preserve">Smluvní strany se dohodly, že o zp</w:t>
      </w:r>
      <w:r>
        <w:rPr>
          <w:rFonts w:ascii="Times New Roman" w:hAnsi="Times New Roman" w:cs="Times New Roman" w:eastAsia="Times New Roman"/>
          <w:color w:val="auto"/>
          <w:spacing w:val="0"/>
          <w:position w:val="0"/>
          <w:sz w:val="22"/>
          <w:shd w:fill="auto" w:val="clear"/>
        </w:rPr>
        <w:t xml:space="preserve">ůsobu pořízení Komodity rozhoduje výlučně Centrální zadavatel, a to v souladu se Zákonem.</w:t>
      </w:r>
    </w:p>
    <w:p>
      <w:pPr>
        <w:numPr>
          <w:ilvl w:val="0"/>
          <w:numId w:val="25"/>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základ</w:t>
      </w:r>
      <w:r>
        <w:rPr>
          <w:rFonts w:ascii="Times New Roman" w:hAnsi="Times New Roman" w:cs="Times New Roman" w:eastAsia="Times New Roman"/>
          <w:color w:val="auto"/>
          <w:spacing w:val="0"/>
          <w:position w:val="0"/>
          <w:sz w:val="22"/>
          <w:shd w:fill="auto" w:val="clear"/>
        </w:rPr>
        <w:t xml:space="preserve">ě Centrálním zadavatelem provedeného zadávacího řízení uzavře Centrální zadavatel pro každou veřejnou zakázku s vítězným účastníkem Rámcovou dohodu s jedním dodavatelem, jejímž předmětem budou dodávky konkrétního plnění (dále jen „Rámcová dohoda“), a to ve prospěch pověřujícího zadavatele. Rámcová dohoda bude uzavřena na dobu určitou, max. ale na dobu 4 let. Pověřující zadavatel bude na základě Rámcové dohody uzavírat prováděcí smlouvy s dodavatelem (dále jen „Prováděcí smlouvy“), kdy k uzavření takové Prováděcí smlouvy zpravidla dochází formou akceptace objednávky.</w:t>
      </w:r>
    </w:p>
    <w:p>
      <w:pPr>
        <w:numPr>
          <w:ilvl w:val="0"/>
          <w:numId w:val="25"/>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Náklady spojené se zadávacím </w:t>
      </w:r>
      <w:r>
        <w:rPr>
          <w:rFonts w:ascii="Times New Roman" w:hAnsi="Times New Roman" w:cs="Times New Roman" w:eastAsia="Times New Roman"/>
          <w:color w:val="auto"/>
          <w:spacing w:val="0"/>
          <w:position w:val="0"/>
          <w:sz w:val="22"/>
          <w:shd w:fill="auto" w:val="clear"/>
        </w:rPr>
        <w:t xml:space="preserve">řízením na uzavření Rámcové dohody nese Centrální zadavatel. Náklady spojené s uzavřením Prováděcí smlouvy nese Pověřující zadavatel. </w:t>
      </w:r>
    </w:p>
    <w:p>
      <w:pPr>
        <w:numPr>
          <w:ilvl w:val="0"/>
          <w:numId w:val="25"/>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si vyhrazuje právo pov</w:t>
      </w:r>
      <w:r>
        <w:rPr>
          <w:rFonts w:ascii="Times New Roman" w:hAnsi="Times New Roman" w:cs="Times New Roman" w:eastAsia="Times New Roman"/>
          <w:color w:val="auto"/>
          <w:spacing w:val="0"/>
          <w:position w:val="0"/>
          <w:sz w:val="22"/>
          <w:shd w:fill="auto" w:val="clear"/>
        </w:rPr>
        <w:t xml:space="preserve">ěřit realizací zadávacího řízení na veřejnou zakázku na pořízení Komodity třetí osobu (dále jen „Administrátor“) v souladu s ust. § 43 Zákona. Centrální zadavatel odpovídá za sjednání práv a povinností Administrátora. Náklady s tím spojené nese Centrální zadavatel. </w:t>
      </w:r>
    </w:p>
    <w:p>
      <w:pPr>
        <w:numPr>
          <w:ilvl w:val="0"/>
          <w:numId w:val="25"/>
        </w:numPr>
        <w:tabs>
          <w:tab w:val="left" w:pos="709" w:leader="none"/>
        </w:tabs>
        <w:spacing w:before="0" w:after="120" w:line="240"/>
        <w:ind w:right="0" w:left="709"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Smluvní strany se pro vylou</w:t>
      </w:r>
      <w:r>
        <w:rPr>
          <w:rFonts w:ascii="Times New Roman" w:hAnsi="Times New Roman" w:cs="Times New Roman" w:eastAsia="Times New Roman"/>
          <w:color w:val="auto"/>
          <w:spacing w:val="0"/>
          <w:position w:val="0"/>
          <w:sz w:val="22"/>
          <w:shd w:fill="auto" w:val="clear"/>
        </w:rPr>
        <w:t xml:space="preserve">čení pochybností výslovně dohodly, že Zadávací řízení může být po dobu trvání Smlouvy provedeno vícekrát než pouze jednou.</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Práva a povinnosti smluvních stran </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Smluvní strany jsou povinny si poskytovat vzájemnou sou</w:t>
      </w:r>
      <w:r>
        <w:rPr>
          <w:rFonts w:ascii="Times New Roman" w:hAnsi="Times New Roman" w:cs="Times New Roman" w:eastAsia="Times New Roman"/>
          <w:color w:val="auto"/>
          <w:spacing w:val="0"/>
          <w:position w:val="0"/>
          <w:sz w:val="22"/>
          <w:shd w:fill="auto" w:val="clear"/>
        </w:rPr>
        <w:t xml:space="preserve">činnost při plnění této Smlouvy, a to zejména pro naplnění účelu této Smlouvy a realizaci předmětu této Smlouvy. </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zmocňuje podpisem Smlouvy Centrálního zadavatele k přípravě a provedení zadávacích řízení dle této Smlouvy včetně všech právních jednání s tím souvisejících</w:t>
      </w: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 dále k podpisu Rámcové dohody na dodávky Komodit ve prospěch pověřujícího zadavatele. Toto zmocnění je platné po celou dobu trvání této Smlouvy. </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je povinen ve lhůtě přiměřeně stanovené Centrálním zadavatelem sdělit Centrálnímu zadavateli veškeré skutečnosti potřebné pro řádné fungování centralizovaného zadávaní, zejména relevantní informace nezbytné ke specifikaci zadávacích podmínek, případně informace, které si za tímto účelem Centrální zadavatel vyžádá. Takto získané informace je Centrální zadavatel oprávněn použít výlučně pro činnosti spojené s centralizovaným zadáváním Komodity. Smluvní strany se zavazují si poskytovat rovněž informace za účelem řádného průběhu zadávacího řízení dle příslušného zákona (vč. poskytnutí informací za účelem vysvětlení dle § 98 Zákona příp. za účelem postupu dle § 99 Zákona), uzavření příslušných smluv, komunikace s orgánem dohledu nebo soudem a realizace dodávek konkrétně požadované komodity.</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Smluvní strany jsou povinny plnit své závazky vyplývající ze Smlouvy tak, aby nedocházelo k prodlení s dodržováním zákonných </w:t>
      </w:r>
      <w:r>
        <w:rPr>
          <w:rFonts w:ascii="Times New Roman" w:hAnsi="Times New Roman" w:cs="Times New Roman" w:eastAsia="Times New Roman"/>
          <w:color w:val="auto"/>
          <w:spacing w:val="0"/>
          <w:position w:val="0"/>
          <w:sz w:val="22"/>
          <w:shd w:fill="auto" w:val="clear"/>
        </w:rPr>
        <w:t xml:space="preserve">či dohodnutých termínů.</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se zavazuje informovat Pov</w:t>
      </w:r>
      <w:r>
        <w:rPr>
          <w:rFonts w:ascii="Times New Roman" w:hAnsi="Times New Roman" w:cs="Times New Roman" w:eastAsia="Times New Roman"/>
          <w:color w:val="auto"/>
          <w:spacing w:val="0"/>
          <w:position w:val="0"/>
          <w:sz w:val="22"/>
          <w:shd w:fill="auto" w:val="clear"/>
        </w:rPr>
        <w:t xml:space="preserve">ěřujícího zadavatele o průběhu zadávacího řízení, kdykoliv o to požádá písemným dotazem, a to ve lhůtě 5 pracovních dnů ode dne, kdy písemnou žádost Pověřujícího zadavatele obdržel.</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je povinen zaslat Pov</w:t>
      </w:r>
      <w:r>
        <w:rPr>
          <w:rFonts w:ascii="Times New Roman" w:hAnsi="Times New Roman" w:cs="Times New Roman" w:eastAsia="Times New Roman"/>
          <w:color w:val="auto"/>
          <w:spacing w:val="0"/>
          <w:position w:val="0"/>
          <w:sz w:val="22"/>
          <w:shd w:fill="auto" w:val="clear"/>
        </w:rPr>
        <w:t xml:space="preserve">ěřujícímu zadavateli kopii Rámcové dohody, která bude výsledkem zadávacího řízení, nejpozději do 5 pracovních dnů ode dne žádosti Pověřujícího zadavatele. V případě, že bude v souladu s § 127, resp. § 133 odst. 2 Zákona zrušeno Zadávací řízení, Centrální zadavatel bezodkladně oznámí tuto skutečnost Pověřujícímu zadavateli. Pověřující zadavatel je povinen a zavazuje se akceptovat obchodní podmínky sjednané Centrálním zadavatelem v Rámcové dohodě uzavřené s vybraným dodavatelem. Dále se Pověřující zadavatel zavazuje vykonávat práva a povinnosti ve vztahu k vybranému dodavateli, se kterým Centrální zadavatel Rámcovou dohodu uzavřel. V případě porušení této povinnosti odpovídá za případnou škodu Pověřující zadavatel. To neplatí, nastanou-li okolnosti vylučující odpovědnost za škodu dle obecných právních předpisů. </w:t>
      </w:r>
    </w:p>
    <w:p>
      <w:pPr>
        <w:numPr>
          <w:ilvl w:val="0"/>
          <w:numId w:val="32"/>
        </w:numPr>
        <w:spacing w:before="0" w:after="200" w:line="300"/>
        <w:ind w:right="0" w:left="644"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Smluvní strany se zavazují vzájemn</w:t>
      </w:r>
      <w:r>
        <w:rPr>
          <w:rFonts w:ascii="Times New Roman" w:hAnsi="Times New Roman" w:cs="Times New Roman" w:eastAsia="Times New Roman"/>
          <w:color w:val="auto"/>
          <w:spacing w:val="0"/>
          <w:position w:val="0"/>
          <w:sz w:val="22"/>
          <w:shd w:fill="auto" w:val="clear"/>
        </w:rPr>
        <w:t xml:space="preserve">ě spolupracovat a poskytovat si veškeré informace potřebné pro řádné provádění zadávacího řízení za účelem uzavření Rámcové dohody, čerpání plnění z uzavřené Rámcové dohody, zejména je pak Pověřující zadavatel povinen postupovat dle pokynů Centrálního zadavatele tak, aby nebyl překračován limit plnění dle Rámcové dohody, bude-li stanoven.</w:t>
      </w:r>
    </w:p>
    <w:p>
      <w:pPr>
        <w:numPr>
          <w:ilvl w:val="0"/>
          <w:numId w:val="32"/>
        </w:numPr>
        <w:tabs>
          <w:tab w:val="left" w:pos="709" w:leader="none"/>
        </w:tabs>
        <w:spacing w:before="0" w:after="120" w:line="240"/>
        <w:ind w:right="0" w:left="644"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se zavazuje Komoditu, kterou se v čl. 1.2 této Smlouvy zavázal k pořizování prostřednictvím Centrálního zadavatele, obstarávat od vybraného dodavatele / dodavatelů, a to prostřednictvím k tomu určeného softwarového nástroje („Nákupní portál“). Pověřující zadavatel se dále zavazuje k evidenci skutečného proplacení objednávek v Nákupním portálu.</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se zavazuje plnit v rámci realizace Ve</w:t>
      </w:r>
      <w:r>
        <w:rPr>
          <w:rFonts w:ascii="Times New Roman" w:hAnsi="Times New Roman" w:cs="Times New Roman" w:eastAsia="Times New Roman"/>
          <w:color w:val="auto"/>
          <w:spacing w:val="0"/>
          <w:position w:val="0"/>
          <w:sz w:val="22"/>
          <w:shd w:fill="auto" w:val="clear"/>
        </w:rPr>
        <w:t xml:space="preserve">řejné zakázky veškeré Zákonem stanovené uveřejňovací povinnosti, a to jak ve vztahu k Věstníku veřejných zakázek, tak Úřednímu věstníku Evropské unie, resp. profilu Centrálního zadavatele. V případě smluv uzavřených na základě Rámcové dohody (dále jen „Prováděcí smlouva“) plní povinnost uveřejnění smlouvy dle § 219 Zákona Pověřující zadavatel, který samostatně zadává veřejnou zakázku postupem podle § 134 Zákona. V případě povinnosti uveřejnit uzavřené smlouvy v registru smluv se postup dle předchozí věty použije obdobně. Pokud se nejeví jako technicky možné, aby Pověřující zadavatel splnil povinnosti dle § 219 Zákona, konzultuje Pověřující zadavatel s dostatečným předstihem Centrálního zadavatele.</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se zavazuje informovat Centrálního zadavatele o každém jednotlivém případu, kdy dodavatel poruší své povinnosti či další podmínky stanovené Rámcovou dohodou, a to bezprostředně po každém takovém případu porušení Prováděcí smlouvy.</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 p</w:t>
      </w:r>
      <w:r>
        <w:rPr>
          <w:rFonts w:ascii="Times New Roman" w:hAnsi="Times New Roman" w:cs="Times New Roman" w:eastAsia="Times New Roman"/>
          <w:color w:val="auto"/>
          <w:spacing w:val="0"/>
          <w:position w:val="0"/>
          <w:sz w:val="22"/>
          <w:shd w:fill="auto" w:val="clear"/>
        </w:rPr>
        <w:t xml:space="preserve">řípadě povinnosti uveřejnění této smlouvy v registru smluv podle zákona č. 340/2015 Sb., o zvláštních podmínkách účinnosti některých smluv, uveřejňování těchto smluv a o registru smluv, zajistí toto uveřejnění Pověřující zadavatel.</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stanoví pro účely komunikace s Centrálním zadavatelem ohledně záležitostí vyplývajících ze Smlouvy, jakož i samotného centralizovaného zadávání Komodity, kontaktní osobu, kterou je: </w:t>
      </w:r>
    </w:p>
    <w:p>
      <w:pPr>
        <w:numPr>
          <w:ilvl w:val="0"/>
          <w:numId w:val="32"/>
        </w:numPr>
        <w:tabs>
          <w:tab w:val="left" w:pos="709" w:leader="none"/>
        </w:tabs>
        <w:spacing w:before="0" w:after="120" w:line="240"/>
        <w:ind w:right="0" w:left="720"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pan / paní: </w:t>
        <w:tab/>
        <w:tab/>
        <w:t xml:space="preserve">Mgr. Antonín Dohnal</w:t>
      </w:r>
    </w:p>
    <w:p>
      <w:pPr>
        <w:numPr>
          <w:ilvl w:val="0"/>
          <w:numId w:val="32"/>
        </w:numPr>
        <w:tabs>
          <w:tab w:val="left" w:pos="709" w:leader="none"/>
        </w:tabs>
        <w:spacing w:before="0" w:after="120" w:line="240"/>
        <w:ind w:right="0" w:left="720"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w:t>
        <w:tab/>
        <w:tab/>
      </w:r>
      <w:r>
        <w:rPr>
          <w:rFonts w:ascii="Times New Roman" w:hAnsi="Times New Roman" w:cs="Times New Roman" w:eastAsia="Times New Roman"/>
          <w:color w:val="auto"/>
          <w:spacing w:val="0"/>
          <w:position w:val="0"/>
          <w:sz w:val="22"/>
          <w:shd w:fill="auto" w:val="clear"/>
        </w:rPr>
        <w:t xml:space="preserve">XXXXX</w:t>
      </w:r>
    </w:p>
    <w:p>
      <w:pPr>
        <w:numPr>
          <w:ilvl w:val="0"/>
          <w:numId w:val="32"/>
        </w:numPr>
        <w:tabs>
          <w:tab w:val="left" w:pos="709" w:leader="none"/>
        </w:tabs>
        <w:spacing w:before="0" w:after="120" w:line="240"/>
        <w:ind w:right="0" w:left="720"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tel.:</w:t>
        <w:tab/>
        <w:tab/>
        <w:tab/>
      </w:r>
      <w:r>
        <w:rPr>
          <w:rFonts w:ascii="Times New Roman" w:hAnsi="Times New Roman" w:cs="Times New Roman" w:eastAsia="Times New Roman"/>
          <w:color w:val="auto"/>
          <w:spacing w:val="0"/>
          <w:position w:val="0"/>
          <w:sz w:val="22"/>
          <w:shd w:fill="auto" w:val="clear"/>
        </w:rPr>
        <w:t xml:space="preserve">XXXXX</w:t>
      </w:r>
    </w:p>
    <w:p>
      <w:pPr>
        <w:numPr>
          <w:ilvl w:val="0"/>
          <w:numId w:val="32"/>
        </w:numPr>
        <w:tabs>
          <w:tab w:val="left" w:pos="709" w:leader="none"/>
        </w:tabs>
        <w:spacing w:before="0" w:after="120" w:line="240"/>
        <w:ind w:right="0" w:left="644"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je oprávněn jednostranným písemným oznámením zaslaným Centrálnímu zadavateli změnit kontaktní osobu uvedenou v předchozím odstavci. </w:t>
      </w:r>
    </w:p>
    <w:p>
      <w:pPr>
        <w:numPr>
          <w:ilvl w:val="0"/>
          <w:numId w:val="32"/>
        </w:numPr>
        <w:tabs>
          <w:tab w:val="left" w:pos="709" w:leader="none"/>
        </w:tabs>
        <w:spacing w:before="0" w:after="120" w:line="240"/>
        <w:ind w:right="0" w:left="644" w:hanging="709"/>
        <w:jc w:val="both"/>
        <w:rPr>
          <w:rFonts w:ascii="Times New Roman" w:hAnsi="Times New Roman" w:cs="Times New Roman" w:eastAsia="Times New Roman"/>
          <w:color w:val="auto"/>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Doba trvání Smlouvy</w:t>
      </w:r>
    </w:p>
    <w:p>
      <w:pPr>
        <w:numPr>
          <w:ilvl w:val="0"/>
          <w:numId w:val="40"/>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Smlouva se uzavírá na dobu neur</w:t>
      </w:r>
      <w:r>
        <w:rPr>
          <w:rFonts w:ascii="Times New Roman" w:hAnsi="Times New Roman" w:cs="Times New Roman" w:eastAsia="Times New Roman"/>
          <w:color w:val="auto"/>
          <w:spacing w:val="0"/>
          <w:position w:val="0"/>
          <w:sz w:val="22"/>
          <w:shd w:fill="auto" w:val="clear"/>
        </w:rPr>
        <w:t xml:space="preserve">čitou. </w:t>
      </w:r>
    </w:p>
    <w:p>
      <w:pPr>
        <w:numPr>
          <w:ilvl w:val="0"/>
          <w:numId w:val="40"/>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Smlouva je platná ode dne jejího podpisu ob</w:t>
      </w:r>
      <w:r>
        <w:rPr>
          <w:rFonts w:ascii="Times New Roman" w:hAnsi="Times New Roman" w:cs="Times New Roman" w:eastAsia="Times New Roman"/>
          <w:color w:val="auto"/>
          <w:spacing w:val="0"/>
          <w:position w:val="0"/>
          <w:sz w:val="22"/>
          <w:shd w:fill="auto" w:val="clear"/>
        </w:rPr>
        <w:t xml:space="preserve">ěma Smluvními stranami. </w:t>
      </w:r>
    </w:p>
    <w:p>
      <w:pPr>
        <w:numPr>
          <w:ilvl w:val="0"/>
          <w:numId w:val="40"/>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Smlouva zaniká: </w:t>
      </w:r>
    </w:p>
    <w:p>
      <w:pPr>
        <w:numPr>
          <w:ilvl w:val="0"/>
          <w:numId w:val="40"/>
        </w:numPr>
        <w:tabs>
          <w:tab w:val="left" w:pos="709" w:leader="none"/>
        </w:tabs>
        <w:spacing w:before="0" w:after="120" w:line="240"/>
        <w:ind w:right="0" w:left="720"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dohodou Smluvních stran;</w:t>
      </w:r>
    </w:p>
    <w:p>
      <w:pPr>
        <w:numPr>
          <w:ilvl w:val="0"/>
          <w:numId w:val="40"/>
        </w:numPr>
        <w:tabs>
          <w:tab w:val="left" w:pos="709" w:leader="none"/>
        </w:tabs>
        <w:spacing w:before="0" w:after="120" w:line="240"/>
        <w:ind w:right="0" w:left="720"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výpov</w:t>
      </w:r>
      <w:r>
        <w:rPr>
          <w:rFonts w:ascii="Times New Roman" w:hAnsi="Times New Roman" w:cs="Times New Roman" w:eastAsia="Times New Roman"/>
          <w:color w:val="auto"/>
          <w:spacing w:val="0"/>
          <w:position w:val="0"/>
          <w:sz w:val="22"/>
          <w:shd w:fill="auto" w:val="clear"/>
        </w:rPr>
        <w:t xml:space="preserve">ědí dle následujícího odstavce.</w:t>
      </w:r>
    </w:p>
    <w:p>
      <w:pPr>
        <w:numPr>
          <w:ilvl w:val="0"/>
          <w:numId w:val="40"/>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Pov</w:t>
      </w:r>
      <w:r>
        <w:rPr>
          <w:rFonts w:ascii="Times New Roman" w:hAnsi="Times New Roman" w:cs="Times New Roman" w:eastAsia="Times New Roman"/>
          <w:color w:val="auto"/>
          <w:spacing w:val="0"/>
          <w:position w:val="0"/>
          <w:sz w:val="22"/>
          <w:shd w:fill="auto" w:val="clear"/>
        </w:rPr>
        <w:t xml:space="preserve">ěřující zadavatel a Centrální zadavatel jsou oprávněni Smlouvu vypovědět bez udání důvodu. Účinky výpovědi nastanou okamžikem jejího doručení druhé smluvní straně, není-li ve výpovědi stanoveno datum pozdější. Výpověď však nemá vliv na již probíhající Zadávací řízení ani již příp. uzavřené Prováděcí smlouvy.</w:t>
      </w:r>
    </w:p>
    <w:p>
      <w:pPr>
        <w:numPr>
          <w:ilvl w:val="0"/>
          <w:numId w:val="40"/>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Zánikem Smlouvy není dot</w:t>
      </w:r>
      <w:r>
        <w:rPr>
          <w:rFonts w:ascii="Times New Roman" w:hAnsi="Times New Roman" w:cs="Times New Roman" w:eastAsia="Times New Roman"/>
          <w:color w:val="auto"/>
          <w:spacing w:val="0"/>
          <w:position w:val="0"/>
          <w:sz w:val="22"/>
          <w:shd w:fill="auto" w:val="clear"/>
        </w:rPr>
        <w:t xml:space="preserve">čena odpovědnost Smluvních stran ani povinnost součinnosti pro příp. komunikaci s orgánem dohledu nebo soudem.</w:t>
      </w:r>
    </w:p>
    <w:p>
      <w:pPr>
        <w:numPr>
          <w:ilvl w:val="0"/>
          <w:numId w:val="40"/>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ukon</w:t>
      </w:r>
      <w:r>
        <w:rPr>
          <w:rFonts w:ascii="Times New Roman" w:hAnsi="Times New Roman" w:cs="Times New Roman" w:eastAsia="Times New Roman"/>
          <w:color w:val="auto"/>
          <w:spacing w:val="0"/>
          <w:position w:val="0"/>
          <w:sz w:val="22"/>
          <w:shd w:fill="auto" w:val="clear"/>
        </w:rPr>
        <w:t xml:space="preserve">čení Prováděcí smlouvy z důvodu odstoupení kterékoliv strany Prováděcí smlouvy je Pověřující zadavatel povinen informovat Centrálního zadavatele, a to ve lhůtě 3 pracovních dnů.</w:t>
      </w:r>
    </w:p>
    <w:p>
      <w:pPr>
        <w:spacing w:before="0" w:after="12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 </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Odpov</w:t>
      </w:r>
      <w:r>
        <w:rPr>
          <w:rFonts w:ascii="Times New Roman" w:hAnsi="Times New Roman" w:cs="Times New Roman" w:eastAsia="Times New Roman"/>
          <w:b/>
          <w:color w:val="000000"/>
          <w:spacing w:val="0"/>
          <w:position w:val="0"/>
          <w:sz w:val="22"/>
          <w:shd w:fill="auto" w:val="clear"/>
        </w:rPr>
        <w:t xml:space="preserve">ědnost za centralizované zadávání </w:t>
      </w:r>
    </w:p>
    <w:p>
      <w:pPr>
        <w:numPr>
          <w:ilvl w:val="0"/>
          <w:numId w:val="45"/>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Odpov</w:t>
      </w:r>
      <w:r>
        <w:rPr>
          <w:rFonts w:ascii="Times New Roman" w:hAnsi="Times New Roman" w:cs="Times New Roman" w:eastAsia="Times New Roman"/>
          <w:color w:val="auto"/>
          <w:spacing w:val="0"/>
          <w:position w:val="0"/>
          <w:sz w:val="22"/>
          <w:shd w:fill="auto" w:val="clear"/>
        </w:rPr>
        <w:t xml:space="preserve">ědnost za centralizované zadávání se řídí ust. § 9 odst. 2 Zákona. </w:t>
      </w:r>
    </w:p>
    <w:p>
      <w:pPr>
        <w:numPr>
          <w:ilvl w:val="0"/>
          <w:numId w:val="45"/>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Centrální zadavatel je povinen ve smyslu ust. § 216 Zákona </w:t>
      </w:r>
      <w:r>
        <w:rPr>
          <w:rFonts w:ascii="Times New Roman" w:hAnsi="Times New Roman" w:cs="Times New Roman" w:eastAsia="Times New Roman"/>
          <w:color w:val="auto"/>
          <w:spacing w:val="0"/>
          <w:position w:val="0"/>
          <w:sz w:val="22"/>
          <w:shd w:fill="auto" w:val="clear"/>
        </w:rPr>
        <w:t xml:space="preserve">řádně uchovávat dokumentaci související s provedením centralizovaných zadávacích řízení dle Smlouvy. </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5. </w:t>
      </w:r>
    </w:p>
    <w:p>
      <w:pPr>
        <w:spacing w:before="0" w:after="12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Záv</w:t>
      </w:r>
      <w:r>
        <w:rPr>
          <w:rFonts w:ascii="Times New Roman" w:hAnsi="Times New Roman" w:cs="Times New Roman" w:eastAsia="Times New Roman"/>
          <w:b/>
          <w:color w:val="000000"/>
          <w:spacing w:val="0"/>
          <w:position w:val="0"/>
          <w:sz w:val="22"/>
          <w:shd w:fill="auto" w:val="clear"/>
        </w:rPr>
        <w:t xml:space="preserve">ěrečná ustanovení</w:t>
      </w:r>
    </w:p>
    <w:p>
      <w:pPr>
        <w:numPr>
          <w:ilvl w:val="0"/>
          <w:numId w:val="47"/>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Smlouva se </w:t>
      </w:r>
      <w:r>
        <w:rPr>
          <w:rFonts w:ascii="Times New Roman" w:hAnsi="Times New Roman" w:cs="Times New Roman" w:eastAsia="Times New Roman"/>
          <w:color w:val="auto"/>
          <w:spacing w:val="0"/>
          <w:position w:val="0"/>
          <w:sz w:val="22"/>
          <w:shd w:fill="auto" w:val="clear"/>
        </w:rPr>
        <w:t xml:space="preserve">řídí právním řádem České republiky. Smluvní strany se zavazují řešit případné spory přednostně dohodou. Nedojde-li k dohodě smluvních stran, bude na návrh kterékoliv smluvní strany řešení sporu předloženo k rozhodnutí věcně a místně příslušnému soudu. </w:t>
      </w:r>
    </w:p>
    <w:p>
      <w:pPr>
        <w:numPr>
          <w:ilvl w:val="0"/>
          <w:numId w:val="47"/>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Smlouvu lze m</w:t>
      </w:r>
      <w:r>
        <w:rPr>
          <w:rFonts w:ascii="Times New Roman" w:hAnsi="Times New Roman" w:cs="Times New Roman" w:eastAsia="Times New Roman"/>
          <w:color w:val="auto"/>
          <w:spacing w:val="0"/>
          <w:position w:val="0"/>
          <w:sz w:val="22"/>
          <w:shd w:fill="auto" w:val="clear"/>
        </w:rPr>
        <w:t xml:space="preserve">ěnit pouze dohodou Smluvních stran, formou písemných, očíslovaných dodatků. </w:t>
      </w:r>
    </w:p>
    <w:p>
      <w:pPr>
        <w:numPr>
          <w:ilvl w:val="0"/>
          <w:numId w:val="47"/>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Tato smlouva je uzav</w:t>
      </w:r>
      <w:r>
        <w:rPr>
          <w:rFonts w:ascii="Times New Roman" w:hAnsi="Times New Roman" w:cs="Times New Roman" w:eastAsia="Times New Roman"/>
          <w:color w:val="auto"/>
          <w:spacing w:val="0"/>
          <w:position w:val="0"/>
          <w:sz w:val="22"/>
          <w:shd w:fill="auto" w:val="clear"/>
        </w:rPr>
        <w:t xml:space="preserve">řená v elektronické podobě. </w:t>
      </w:r>
    </w:p>
    <w:p>
      <w:pPr>
        <w:numPr>
          <w:ilvl w:val="0"/>
          <w:numId w:val="47"/>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Smluvní strany prohlašují, že si Smlouvu </w:t>
      </w:r>
      <w:r>
        <w:rPr>
          <w:rFonts w:ascii="Times New Roman" w:hAnsi="Times New Roman" w:cs="Times New Roman" w:eastAsia="Times New Roman"/>
          <w:color w:val="auto"/>
          <w:spacing w:val="0"/>
          <w:position w:val="0"/>
          <w:sz w:val="22"/>
          <w:shd w:fill="auto" w:val="clear"/>
        </w:rPr>
        <w:t xml:space="preserve">řádně přečetly, seznámily se s jejím obsahem, plně mu rozumí a nežádají žádných úprav či doplnění. Dále prohlašují, že Smlouva vyjadřuje jejich vážně míněnou vůli prostou jakéhokoliv nátlaku či tísně, což stvrzují svými podpisy.</w:t>
      </w:r>
    </w:p>
    <w:p>
      <w:pPr>
        <w:numPr>
          <w:ilvl w:val="0"/>
          <w:numId w:val="47"/>
        </w:numPr>
        <w:tabs>
          <w:tab w:val="left" w:pos="709" w:leader="none"/>
        </w:tabs>
        <w:spacing w:before="0" w:after="120" w:line="240"/>
        <w:ind w:right="0" w:left="72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Doložka platnosti právního jednání dle § 41 zákona </w:t>
      </w:r>
      <w:r>
        <w:rPr>
          <w:rFonts w:ascii="Times New Roman" w:hAnsi="Times New Roman" w:cs="Times New Roman" w:eastAsia="Times New Roman"/>
          <w:color w:val="auto"/>
          <w:spacing w:val="0"/>
          <w:position w:val="0"/>
          <w:sz w:val="22"/>
          <w:shd w:fill="auto" w:val="clear"/>
        </w:rPr>
        <w:t xml:space="preserve">č. 128/2000 Sb., o obcích (obecní zřízení), ve znění pozdějších předpisů: O uzavření této smlouvy rozhodla rada města usnesením</w:t>
        <w:br/>
        <w:t xml:space="preserve">č.</w:t>
      </w:r>
      <w:r>
        <w:rPr>
          <w:rFonts w:ascii="Times New Roman" w:hAnsi="Times New Roman" w:cs="Times New Roman" w:eastAsia="Times New Roman"/>
          <w:color w:val="1F497D"/>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03619/RM1822/54 ze dne 7.4 2020.</w:t>
      </w:r>
    </w:p>
    <w:p>
      <w:pPr>
        <w:numPr>
          <w:ilvl w:val="0"/>
          <w:numId w:val="47"/>
        </w:numPr>
        <w:tabs>
          <w:tab w:val="left" w:pos="709" w:leader="none"/>
        </w:tabs>
        <w:spacing w:before="0" w:after="120" w:line="240"/>
        <w:ind w:right="0" w:left="720" w:hanging="709"/>
        <w:jc w:val="both"/>
        <w:rPr>
          <w:rFonts w:ascii="Times New Roman" w:hAnsi="Times New Roman" w:cs="Times New Roman" w:eastAsia="Times New Roman"/>
          <w:color w:val="auto"/>
          <w:spacing w:val="0"/>
          <w:position w:val="0"/>
          <w:sz w:val="22"/>
          <w:shd w:fill="auto" w:val="clear"/>
        </w:rPr>
      </w:pPr>
    </w:p>
    <w:p>
      <w:pPr>
        <w:spacing w:before="0" w:after="12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 Centrálního zadavatele:</w:t>
        <w:tab/>
        <w:tab/>
        <w:tab/>
        <w:tab/>
        <w:t xml:space="preserve">Za Pov</w:t>
      </w:r>
      <w:r>
        <w:rPr>
          <w:rFonts w:ascii="Times New Roman" w:hAnsi="Times New Roman" w:cs="Times New Roman" w:eastAsia="Times New Roman"/>
          <w:color w:val="000000"/>
          <w:spacing w:val="0"/>
          <w:position w:val="0"/>
          <w:sz w:val="22"/>
          <w:shd w:fill="auto" w:val="clear"/>
        </w:rPr>
        <w:t xml:space="preserve">ěřujícího zadavatele:</w:t>
      </w:r>
    </w:p>
    <w:p>
      <w:pPr>
        <w:spacing w:before="0" w:after="120" w:line="240"/>
        <w:ind w:right="0" w:left="0" w:firstLine="0"/>
        <w:jc w:val="left"/>
        <w:rPr>
          <w:rFonts w:ascii="Calibri" w:hAnsi="Calibri" w:cs="Calibri" w:eastAsia="Calibri"/>
          <w:color w:val="000000"/>
          <w:spacing w:val="0"/>
          <w:position w:val="0"/>
          <w:sz w:val="20"/>
          <w:shd w:fill="auto" w:val="clear"/>
        </w:rPr>
      </w:pPr>
    </w:p>
    <w:p>
      <w:pPr>
        <w:spacing w:before="0" w:after="120" w:line="240"/>
        <w:ind w:right="0" w:left="0" w:firstLine="0"/>
        <w:jc w:val="left"/>
        <w:rPr>
          <w:rFonts w:ascii="Calibri" w:hAnsi="Calibri" w:cs="Calibri" w:eastAsia="Calibri"/>
          <w:color w:val="000000"/>
          <w:spacing w:val="0"/>
          <w:position w:val="0"/>
          <w:sz w:val="20"/>
          <w:shd w:fill="auto" w:val="clear"/>
        </w:rPr>
      </w:pPr>
    </w:p>
    <w:p>
      <w:pPr>
        <w:spacing w:before="0" w:after="120" w:line="240"/>
        <w:ind w:right="0" w:left="0" w:firstLine="0"/>
        <w:jc w:val="left"/>
        <w:rPr>
          <w:rFonts w:ascii="Calibri" w:hAnsi="Calibri" w:cs="Calibri" w:eastAsia="Calibri"/>
          <w:color w:val="000000"/>
          <w:spacing w:val="0"/>
          <w:position w:val="0"/>
          <w:sz w:val="20"/>
          <w:shd w:fill="auto" w:val="clear"/>
        </w:rPr>
      </w:pPr>
    </w:p>
    <w:p>
      <w:pPr>
        <w:spacing w:before="0" w:after="12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tab/>
        <w:tab/>
        <w:tab/>
        <w:tab/>
        <w:t xml:space="preserve">……………………………………………</w:t>
      </w:r>
    </w:p>
    <w:p>
      <w:pPr>
        <w:spacing w:before="0" w:after="12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Ing. Tomáš Macura, MBA</w:t>
      </w:r>
      <w:r>
        <w:rPr>
          <w:rFonts w:ascii="Times New Roman" w:hAnsi="Times New Roman" w:cs="Times New Roman" w:eastAsia="Times New Roman"/>
          <w:color w:val="auto"/>
          <w:spacing w:val="0"/>
          <w:position w:val="0"/>
          <w:sz w:val="22"/>
          <w:shd w:fill="auto" w:val="clear"/>
        </w:rPr>
        <w:tab/>
        <w:tab/>
        <w:tab/>
        <w:tab/>
      </w:r>
      <w:r>
        <w:rPr>
          <w:rFonts w:ascii="Times New Roman" w:hAnsi="Times New Roman" w:cs="Times New Roman" w:eastAsia="Times New Roman"/>
          <w:b/>
          <w:color w:val="auto"/>
          <w:spacing w:val="0"/>
          <w:position w:val="0"/>
          <w:sz w:val="22"/>
          <w:shd w:fill="auto" w:val="clear"/>
        </w:rPr>
        <w:t xml:space="preserve">Mgr. Antonín Dohnal</w:t>
      </w:r>
    </w:p>
    <w:p>
      <w:pPr>
        <w:spacing w:before="0" w:after="120" w:line="240"/>
        <w:ind w:right="0" w:left="0" w:firstLine="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color w:val="auto"/>
          <w:spacing w:val="0"/>
          <w:position w:val="0"/>
          <w:sz w:val="22"/>
          <w:shd w:fill="auto" w:val="clear"/>
        </w:rPr>
        <w:t xml:space="preserve">primátor</w:t>
        <w:tab/>
        <w:tab/>
        <w:tab/>
        <w:tab/>
        <w:tab/>
        <w:tab/>
      </w:r>
      <w:r>
        <w:rPr>
          <w:rFonts w:ascii="Times New Roman" w:hAnsi="Times New Roman" w:cs="Times New Roman" w:eastAsia="Times New Roman"/>
          <w:color w:val="auto"/>
          <w:spacing w:val="0"/>
          <w:position w:val="0"/>
          <w:sz w:val="22"/>
          <w:shd w:fill="auto" w:val="clear"/>
        </w:rPr>
        <w:t xml:space="preserve">ředitel</w:t>
      </w:r>
    </w:p>
    <w:p>
      <w:pPr>
        <w:spacing w:before="0" w:after="120" w:line="240"/>
        <w:ind w:right="0" w:left="0" w:firstLine="0"/>
        <w:jc w:val="left"/>
        <w:rPr>
          <w:rFonts w:ascii="Calibri" w:hAnsi="Calibri" w:cs="Calibri" w:eastAsia="Calibri"/>
          <w:color w:val="auto"/>
          <w:spacing w:val="0"/>
          <w:position w:val="0"/>
          <w:sz w:val="21"/>
          <w:shd w:fill="auto" w:val="clear"/>
        </w:rPr>
      </w:pPr>
      <w:r>
        <w:rPr>
          <w:rFonts w:ascii="Times New Roman" w:hAnsi="Times New Roman" w:cs="Times New Roman" w:eastAsia="Times New Roman"/>
          <w:color w:val="auto"/>
          <w:spacing w:val="0"/>
          <w:position w:val="0"/>
          <w:sz w:val="22"/>
          <w:shd w:fill="auto" w:val="clear"/>
        </w:rPr>
        <w:t xml:space="preserve">„podepsáno elektronicky“</w:t>
        <w:tab/>
        <w:tab/>
        <w:tab/>
        <w:tab/>
        <w:t xml:space="preserve">„podepsáno elektronicky“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10">
    <w:abstractNumId w:val="36"/>
  </w:num>
  <w:num w:numId="25">
    <w:abstractNumId w:val="30"/>
  </w:num>
  <w:num w:numId="29">
    <w:abstractNumId w:val="24"/>
  </w:num>
  <w:num w:numId="32">
    <w:abstractNumId w:val="18"/>
  </w:num>
  <w:num w:numId="40">
    <w:abstractNumId w:val="12"/>
  </w:num>
  <w:num w:numId="45">
    <w:abstractNumId w:val="6"/>
  </w:num>
  <w:num w:numId="4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