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26FE" w14:textId="77777777" w:rsidR="00CB5320" w:rsidRPr="009D6CDF" w:rsidRDefault="009D6CDF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9D6CDF">
        <w:rPr>
          <w:rFonts w:ascii="UnitPro" w:hAnsi="UnitPro" w:cs="UnitPro"/>
          <w:sz w:val="22"/>
          <w:szCs w:val="22"/>
        </w:rPr>
        <w:t>MgA. Radek František Václavík</w:t>
      </w:r>
    </w:p>
    <w:p w14:paraId="7BF5BD81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 xml:space="preserve">IČO: </w:t>
      </w:r>
      <w:r w:rsidR="009D6CDF">
        <w:rPr>
          <w:rFonts w:ascii="UnitPro" w:hAnsi="UnitPro" w:cs="UnitPro"/>
          <w:sz w:val="22"/>
          <w:szCs w:val="22"/>
        </w:rPr>
        <w:t>72961911</w:t>
      </w:r>
    </w:p>
    <w:p w14:paraId="1D73F8E6" w14:textId="77777777" w:rsidR="00CB5320" w:rsidRPr="00CB5320" w:rsidRDefault="009D6CDF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530 02  Třebosice</w:t>
      </w:r>
      <w:proofErr w:type="gramEnd"/>
      <w:r>
        <w:rPr>
          <w:rFonts w:ascii="UnitPro" w:hAnsi="UnitPro" w:cs="UnitPro"/>
          <w:sz w:val="22"/>
          <w:szCs w:val="22"/>
        </w:rPr>
        <w:t xml:space="preserve"> 66</w:t>
      </w:r>
    </w:p>
    <w:p w14:paraId="05204CED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4333CA82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71E2585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5A924CEF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399E6323" w14:textId="2EB7A43D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90307A">
        <w:rPr>
          <w:rFonts w:ascii="UnitPro" w:hAnsi="UnitPro" w:cs="UnitPro"/>
          <w:b/>
          <w:bCs/>
          <w:sz w:val="22"/>
          <w:szCs w:val="22"/>
        </w:rPr>
        <w:t>20-0205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B27D44">
        <w:rPr>
          <w:rFonts w:ascii="UnitPro" w:hAnsi="UnitPro" w:cs="UnitPro"/>
          <w:b/>
          <w:bCs/>
          <w:sz w:val="22"/>
          <w:szCs w:val="22"/>
        </w:rPr>
        <w:t>xxxxxxxxxx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4999C049" w14:textId="77777777" w:rsidR="00A54E6F" w:rsidRDefault="00A54E6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8A0B8CE" w14:textId="77777777" w:rsidR="008B0C89" w:rsidRPr="00533529" w:rsidRDefault="00293BD2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Objednávka</w:t>
      </w:r>
    </w:p>
    <w:p w14:paraId="38DE79F9" w14:textId="77777777" w:rsidR="00B445A1" w:rsidRPr="00533529" w:rsidRDefault="00B542AD" w:rsidP="009D6CDF">
      <w:pPr>
        <w:widowControl w:val="0"/>
        <w:autoSpaceDE w:val="0"/>
        <w:autoSpaceDN w:val="0"/>
        <w:adjustRightInd w:val="0"/>
        <w:ind w:right="92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Objednáváme u Vás </w:t>
      </w:r>
      <w:r w:rsidR="009D6CDF">
        <w:rPr>
          <w:rFonts w:ascii="UnitPro" w:hAnsi="UnitPro" w:cs="UnitPro"/>
          <w:sz w:val="22"/>
          <w:szCs w:val="22"/>
        </w:rPr>
        <w:t>metodiku pasportizace – Pasportizace objektu PPR</w:t>
      </w:r>
      <w:r w:rsidR="009D6CDF" w:rsidRPr="00533529">
        <w:rPr>
          <w:rFonts w:ascii="UnitPro" w:hAnsi="UnitPro" w:cs="UnitPro"/>
          <w:sz w:val="22"/>
          <w:szCs w:val="22"/>
        </w:rPr>
        <w:t xml:space="preserve"> </w:t>
      </w:r>
      <w:r w:rsidR="00B445A1" w:rsidRPr="00533529">
        <w:rPr>
          <w:rFonts w:ascii="UnitPro" w:hAnsi="UnitPro" w:cs="UnitPro"/>
          <w:sz w:val="22"/>
          <w:szCs w:val="22"/>
        </w:rPr>
        <w:t>(dále jen „</w:t>
      </w:r>
      <w:r w:rsidR="00B445A1" w:rsidRPr="00533529">
        <w:rPr>
          <w:rFonts w:ascii="UnitPro" w:hAnsi="UnitPro" w:cs="UnitPro"/>
          <w:b/>
          <w:sz w:val="22"/>
          <w:szCs w:val="22"/>
        </w:rPr>
        <w:t>předmět objednávky</w:t>
      </w:r>
      <w:r w:rsidR="00B445A1" w:rsidRPr="00533529">
        <w:rPr>
          <w:rFonts w:ascii="UnitPro" w:hAnsi="UnitPro" w:cs="UnitPro"/>
          <w:sz w:val="22"/>
          <w:szCs w:val="22"/>
        </w:rPr>
        <w:t>“).</w:t>
      </w:r>
    </w:p>
    <w:p w14:paraId="49FA15B4" w14:textId="77777777" w:rsidR="00E608C3" w:rsidRDefault="00E608C3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A72978C" w14:textId="77777777" w:rsidR="00A54E6F" w:rsidRPr="00533529" w:rsidRDefault="00A54E6F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46D1498A" w14:textId="77777777" w:rsidR="00E57184" w:rsidRPr="00533529" w:rsidRDefault="00B445A1" w:rsidP="00E608C3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533529">
        <w:rPr>
          <w:rFonts w:ascii="UnitPro" w:hAnsi="UnitPro" w:cs="UnitPro"/>
          <w:b/>
          <w:bCs/>
          <w:sz w:val="22"/>
          <w:szCs w:val="22"/>
          <w:u w:val="single"/>
        </w:rPr>
        <w:t>S</w:t>
      </w:r>
      <w:r w:rsidR="00E57184" w:rsidRPr="00533529">
        <w:rPr>
          <w:rFonts w:ascii="UnitPro" w:hAnsi="UnitPro" w:cs="UnitPro"/>
          <w:b/>
          <w:bCs/>
          <w:sz w:val="22"/>
          <w:szCs w:val="22"/>
          <w:u w:val="single"/>
        </w:rPr>
        <w:t>pecifikace předmětu objednávky:</w:t>
      </w:r>
    </w:p>
    <w:p w14:paraId="45D4BCC7" w14:textId="77777777" w:rsidR="00BD39D9" w:rsidRDefault="00E57184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Předmětem objednávky je </w:t>
      </w:r>
      <w:r w:rsidR="00CF2A59">
        <w:rPr>
          <w:rFonts w:ascii="UnitPro" w:hAnsi="UnitPro" w:cs="UnitPro"/>
          <w:sz w:val="22"/>
          <w:szCs w:val="22"/>
        </w:rPr>
        <w:t>vyhotovení pilotní pasportizace objektu</w:t>
      </w:r>
      <w:r w:rsidR="00127932" w:rsidRPr="00127932">
        <w:rPr>
          <w:rFonts w:ascii="UnitPro" w:hAnsi="UnitPro" w:cs="UnitPro"/>
          <w:sz w:val="22"/>
          <w:szCs w:val="22"/>
        </w:rPr>
        <w:t xml:space="preserve"> </w:t>
      </w:r>
      <w:r w:rsidR="00127932">
        <w:rPr>
          <w:rFonts w:ascii="UnitPro" w:hAnsi="UnitPro" w:cs="UnitPro"/>
          <w:sz w:val="22"/>
          <w:szCs w:val="22"/>
        </w:rPr>
        <w:t>(Havelská ulice čp. 510/5, Michelská 510/8) ve třech úrovních podrobnosti</w:t>
      </w:r>
      <w:r w:rsidR="00CF2A59">
        <w:rPr>
          <w:rFonts w:ascii="UnitPro" w:hAnsi="UnitPro" w:cs="UnitPro"/>
          <w:sz w:val="22"/>
          <w:szCs w:val="22"/>
        </w:rPr>
        <w:t xml:space="preserve">. </w:t>
      </w:r>
      <w:r w:rsidR="000358BC">
        <w:rPr>
          <w:rFonts w:ascii="UnitPro" w:hAnsi="UnitPro" w:cs="UnitPro"/>
          <w:sz w:val="22"/>
          <w:szCs w:val="22"/>
        </w:rPr>
        <w:t xml:space="preserve">Dodavatel </w:t>
      </w:r>
      <w:r w:rsidR="00CF2A59">
        <w:rPr>
          <w:rFonts w:ascii="UnitPro" w:hAnsi="UnitPro" w:cs="UnitPro"/>
          <w:sz w:val="22"/>
          <w:szCs w:val="22"/>
        </w:rPr>
        <w:t xml:space="preserve">provede průzkum, </w:t>
      </w:r>
      <w:r w:rsidR="00127932">
        <w:rPr>
          <w:rFonts w:ascii="UnitPro" w:hAnsi="UnitPro" w:cs="UnitPro"/>
          <w:sz w:val="22"/>
          <w:szCs w:val="22"/>
        </w:rPr>
        <w:t>kterým</w:t>
      </w:r>
      <w:r w:rsidR="00CF2A59">
        <w:rPr>
          <w:rFonts w:ascii="UnitPro" w:hAnsi="UnitPro" w:cs="UnitPro"/>
          <w:sz w:val="22"/>
          <w:szCs w:val="22"/>
        </w:rPr>
        <w:t xml:space="preserve"> získá informace nezbytné k sepsání průvodní zprávy a vyhotovení výkresové dokumentace. Následně pak zanese získané informace do </w:t>
      </w:r>
      <w:r w:rsidR="009F5604">
        <w:rPr>
          <w:rFonts w:ascii="UnitPro" w:hAnsi="UnitPro" w:cs="UnitPro"/>
          <w:sz w:val="22"/>
          <w:szCs w:val="22"/>
        </w:rPr>
        <w:t>připravených</w:t>
      </w:r>
      <w:r w:rsidR="00CF2A59">
        <w:rPr>
          <w:rFonts w:ascii="UnitPro" w:hAnsi="UnitPro" w:cs="UnitPro"/>
          <w:sz w:val="22"/>
          <w:szCs w:val="22"/>
        </w:rPr>
        <w:t xml:space="preserve"> karet, a to pro 3 modelové scénáře</w:t>
      </w:r>
      <w:r w:rsidR="00BD39D9">
        <w:rPr>
          <w:rFonts w:ascii="UnitPro" w:hAnsi="UnitPro" w:cs="UnitPro"/>
          <w:sz w:val="22"/>
          <w:szCs w:val="22"/>
        </w:rPr>
        <w:t xml:space="preserve"> podrobnosti A, B, C.</w:t>
      </w:r>
    </w:p>
    <w:p w14:paraId="65FF1E21" w14:textId="3B7808BF" w:rsidR="00E57184" w:rsidRDefault="00BD39D9" w:rsidP="00FE2742">
      <w:pPr>
        <w:spacing w:before="24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Předmět zakázky bude součástí úkolu Architektonicko-urbanistická analýza Pražské památkové rezervace</w:t>
      </w:r>
      <w:r w:rsidR="00815AFF">
        <w:rPr>
          <w:rFonts w:ascii="UnitPro" w:hAnsi="UnitPro" w:cs="UnitPro"/>
          <w:sz w:val="22"/>
          <w:szCs w:val="22"/>
        </w:rPr>
        <w:t>.</w:t>
      </w:r>
      <w:r w:rsidR="00CF2A59">
        <w:rPr>
          <w:rFonts w:ascii="UnitPro" w:hAnsi="UnitPro" w:cs="UnitPro"/>
          <w:sz w:val="22"/>
          <w:szCs w:val="22"/>
        </w:rPr>
        <w:t xml:space="preserve"> </w:t>
      </w:r>
    </w:p>
    <w:p w14:paraId="31C01EF1" w14:textId="77777777" w:rsidR="00FE7E96" w:rsidRPr="00FE7E96" w:rsidRDefault="00FE7E96" w:rsidP="00FE7E96">
      <w:pPr>
        <w:jc w:val="both"/>
        <w:rPr>
          <w:rFonts w:ascii="UnitPro" w:hAnsi="UnitPro" w:cs="UnitPro"/>
          <w:sz w:val="22"/>
          <w:szCs w:val="22"/>
        </w:rPr>
      </w:pPr>
    </w:p>
    <w:p w14:paraId="23D79B3B" w14:textId="77777777" w:rsidR="00FE7E96" w:rsidRPr="00FE7E96" w:rsidRDefault="00FE7E96" w:rsidP="00FE7E96">
      <w:pPr>
        <w:pStyle w:val="Odstavecseseznamem"/>
        <w:numPr>
          <w:ilvl w:val="0"/>
          <w:numId w:val="18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Vyplněné přílohy 1. až 5.</w:t>
      </w:r>
    </w:p>
    <w:p w14:paraId="216AF376" w14:textId="10B114A3" w:rsidR="00FE7E96" w:rsidRPr="00FE7E96" w:rsidRDefault="00FE7E96" w:rsidP="00FE7E96">
      <w:pPr>
        <w:pStyle w:val="Odstavecseseznamem"/>
        <w:numPr>
          <w:ilvl w:val="0"/>
          <w:numId w:val="19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Průvodní zpráva (příloha č. 1 zadání – Příloha</w:t>
      </w:r>
      <w:r w:rsidRPr="00FE7E96">
        <w:rPr>
          <w:rFonts w:ascii="UnitPro" w:hAnsi="UnitPro" w:cs="UnitPro"/>
          <w:bCs/>
          <w:i/>
        </w:rPr>
        <w:t xml:space="preserve"> 1_Průvodní zpráva.docx</w:t>
      </w:r>
      <w:r w:rsidRPr="00FE7E96">
        <w:rPr>
          <w:rFonts w:ascii="UnitPro" w:hAnsi="UnitPro" w:cs="UnitPro"/>
        </w:rPr>
        <w:t>)</w:t>
      </w:r>
    </w:p>
    <w:p w14:paraId="1F0AC538" w14:textId="525AD94E" w:rsidR="00FE7E96" w:rsidRPr="00FE7E96" w:rsidRDefault="00FE7E96" w:rsidP="00FE7E96">
      <w:pPr>
        <w:pStyle w:val="Odstavecseseznamem"/>
        <w:numPr>
          <w:ilvl w:val="0"/>
          <w:numId w:val="19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vyplněné karty Průčelí, Cenné prvky, Místnost, Střecha (</w:t>
      </w:r>
      <w:r w:rsidRPr="00FE7E96">
        <w:rPr>
          <w:rFonts w:ascii="UnitPro" w:hAnsi="UnitPro" w:cs="UnitPro"/>
          <w:i/>
        </w:rPr>
        <w:t>Příloha 3. – 6.</w:t>
      </w:r>
      <w:r w:rsidRPr="00FE7E96">
        <w:rPr>
          <w:rFonts w:ascii="UnitPro" w:hAnsi="UnitPro" w:cs="UnitPro"/>
        </w:rPr>
        <w:t>) pro</w:t>
      </w:r>
      <w:r>
        <w:rPr>
          <w:rFonts w:ascii="UnitPro" w:hAnsi="UnitPro" w:cs="UnitPro"/>
        </w:rPr>
        <w:t> </w:t>
      </w:r>
      <w:r w:rsidRPr="00FE7E96">
        <w:rPr>
          <w:rFonts w:ascii="UnitPro" w:hAnsi="UnitPro" w:cs="UnitPro"/>
        </w:rPr>
        <w:t>veškeré dostupné části objektu, specificky pak uspořádané podle variant A, B, C (</w:t>
      </w:r>
      <w:r w:rsidRPr="00FE7E96">
        <w:rPr>
          <w:rFonts w:ascii="UnitPro" w:hAnsi="UnitPro" w:cs="UnitPro"/>
          <w:bCs/>
          <w:i/>
        </w:rPr>
        <w:t>Příloha 6_Úrovně podrobnosti A B C.pdf</w:t>
      </w:r>
      <w:r w:rsidRPr="00FE7E96">
        <w:rPr>
          <w:rFonts w:ascii="UnitPro" w:hAnsi="UnitPro" w:cs="UnitPro"/>
          <w:bCs/>
        </w:rPr>
        <w:t>)</w:t>
      </w:r>
      <w:r w:rsidRPr="00FE7E96">
        <w:rPr>
          <w:rFonts w:ascii="UnitPro" w:hAnsi="UnitPro" w:cs="UnitPro"/>
        </w:rPr>
        <w:t>, pro krov bude použita karta Místnost</w:t>
      </w:r>
      <w:r>
        <w:rPr>
          <w:rFonts w:ascii="UnitPro" w:hAnsi="UnitPro" w:cs="UnitPro"/>
        </w:rPr>
        <w:t>.</w:t>
      </w:r>
    </w:p>
    <w:p w14:paraId="7B3CB687" w14:textId="77777777" w:rsidR="00FE7E96" w:rsidRPr="00FE7E96" w:rsidRDefault="00FE7E96" w:rsidP="00FE7E96">
      <w:pPr>
        <w:pStyle w:val="Odstavecseseznamem"/>
        <w:ind w:left="1080"/>
        <w:rPr>
          <w:rFonts w:ascii="UnitPro" w:hAnsi="UnitPro" w:cs="UnitPro"/>
        </w:rPr>
      </w:pPr>
    </w:p>
    <w:p w14:paraId="63335A4B" w14:textId="77777777" w:rsidR="00FE7E96" w:rsidRPr="00FE7E96" w:rsidRDefault="00FE7E96" w:rsidP="00FE7E96">
      <w:pPr>
        <w:pStyle w:val="Odstavecseseznamem"/>
        <w:numPr>
          <w:ilvl w:val="0"/>
          <w:numId w:val="18"/>
        </w:numPr>
        <w:spacing w:after="0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 xml:space="preserve">Podkladové materiály </w:t>
      </w:r>
    </w:p>
    <w:p w14:paraId="441BD5D3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 xml:space="preserve">Situace na podkladě digitálního katastru s vyznačením </w:t>
      </w:r>
      <w:proofErr w:type="spellStart"/>
      <w:r w:rsidRPr="00FE7E96">
        <w:rPr>
          <w:rFonts w:ascii="UnitPro" w:hAnsi="UnitPro" w:cs="UnitPro"/>
        </w:rPr>
        <w:t>pasportizovaného</w:t>
      </w:r>
      <w:proofErr w:type="spellEnd"/>
      <w:r w:rsidRPr="00FE7E96">
        <w:rPr>
          <w:rFonts w:ascii="UnitPro" w:hAnsi="UnitPro" w:cs="UnitPro"/>
        </w:rPr>
        <w:t xml:space="preserve"> objektu ve formátu *.</w:t>
      </w:r>
      <w:proofErr w:type="spellStart"/>
      <w:r w:rsidRPr="00FE7E96">
        <w:rPr>
          <w:rFonts w:ascii="UnitPro" w:hAnsi="UnitPro" w:cs="UnitPro"/>
        </w:rPr>
        <w:t>dwg</w:t>
      </w:r>
      <w:proofErr w:type="spellEnd"/>
    </w:p>
    <w:p w14:paraId="7AE6CCAD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vektory: půdorysy, nákres střechy a všech fasád ve formátu *.</w:t>
      </w:r>
      <w:proofErr w:type="spellStart"/>
      <w:r w:rsidRPr="00FE7E96">
        <w:rPr>
          <w:rFonts w:ascii="UnitPro" w:hAnsi="UnitPro" w:cs="UnitPro"/>
        </w:rPr>
        <w:t>dwg</w:t>
      </w:r>
      <w:proofErr w:type="spellEnd"/>
      <w:r w:rsidRPr="00FE7E96">
        <w:rPr>
          <w:rFonts w:ascii="UnitPro" w:hAnsi="UnitPro" w:cs="UnitPro"/>
        </w:rPr>
        <w:t>/ *.</w:t>
      </w:r>
      <w:proofErr w:type="spellStart"/>
      <w:r w:rsidRPr="00FE7E96">
        <w:rPr>
          <w:rFonts w:ascii="UnitPro" w:hAnsi="UnitPro" w:cs="UnitPro"/>
        </w:rPr>
        <w:t>dgn</w:t>
      </w:r>
      <w:proofErr w:type="spellEnd"/>
      <w:r w:rsidRPr="00FE7E96">
        <w:rPr>
          <w:rFonts w:ascii="UnitPro" w:hAnsi="UnitPro" w:cs="UnitPro"/>
        </w:rPr>
        <w:t xml:space="preserve"> včetně legendy místností, v podrobnosti m 1: 50. Půdorysy jednotlivých podlaží budou tištěné do PDF, v měřítku na A3 s 1,5cm okraji, pro všechny podlaží stejně, opatřené grafickým měřítkem a tabulkou místností</w:t>
      </w:r>
    </w:p>
    <w:p w14:paraId="0346FE90" w14:textId="77777777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snímky z Google či jiné platformy, která umožní pořízení snímku střechy</w:t>
      </w:r>
    </w:p>
    <w:p w14:paraId="55A09B93" w14:textId="62C09215" w:rsidR="00FE7E96" w:rsidRPr="00FE7E96" w:rsidRDefault="00FE7E96" w:rsidP="00FE7E96">
      <w:pPr>
        <w:pStyle w:val="Odstavecseseznamem"/>
        <w:numPr>
          <w:ilvl w:val="0"/>
          <w:numId w:val="17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fotografie, které byly vložené do karet ve formátu *.</w:t>
      </w:r>
      <w:proofErr w:type="spellStart"/>
      <w:r w:rsidRPr="00FE7E96">
        <w:rPr>
          <w:rFonts w:ascii="UnitPro" w:hAnsi="UnitPro" w:cs="UnitPro"/>
        </w:rPr>
        <w:t>jpg</w:t>
      </w:r>
      <w:proofErr w:type="spellEnd"/>
      <w:r w:rsidRPr="00FE7E96">
        <w:rPr>
          <w:rFonts w:ascii="UnitPro" w:hAnsi="UnitPro" w:cs="UnitPro"/>
        </w:rPr>
        <w:t>, v rozlišení 2Mpx, a</w:t>
      </w:r>
      <w:r>
        <w:rPr>
          <w:rFonts w:ascii="UnitPro" w:hAnsi="UnitPro" w:cs="UnitPro"/>
        </w:rPr>
        <w:t> </w:t>
      </w:r>
      <w:r w:rsidRPr="00FE7E96">
        <w:rPr>
          <w:rFonts w:ascii="UnitPro" w:hAnsi="UnitPro" w:cs="UnitPro"/>
        </w:rPr>
        <w:t>to:</w:t>
      </w:r>
    </w:p>
    <w:p w14:paraId="0D7D3844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lastRenderedPageBreak/>
        <w:t>min. 3 pro průčelí a fasády</w:t>
      </w:r>
      <w:r w:rsidRPr="00FE7E96">
        <w:rPr>
          <w:rFonts w:ascii="UnitPro" w:hAnsi="UnitPro" w:cs="UnitPro"/>
        </w:rPr>
        <w:tab/>
      </w:r>
    </w:p>
    <w:p w14:paraId="17E4355D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min. 1 pro každý z cenných prvků</w:t>
      </w:r>
    </w:p>
    <w:p w14:paraId="28DFEE27" w14:textId="77777777" w:rsidR="00FE7E96" w:rsidRPr="00FE7E96" w:rsidRDefault="00FE7E96" w:rsidP="00FE7E96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UnitPro" w:hAnsi="UnitPro" w:cs="UnitPro"/>
        </w:rPr>
      </w:pPr>
      <w:r w:rsidRPr="00FE7E96">
        <w:rPr>
          <w:rFonts w:ascii="UnitPro" w:hAnsi="UnitPro" w:cs="UnitPro"/>
        </w:rPr>
        <w:t>min. 2–3 pro každou z místností a krovu</w:t>
      </w:r>
    </w:p>
    <w:p w14:paraId="60F54E74" w14:textId="77777777" w:rsidR="00FE7E96" w:rsidRPr="00FE7E96" w:rsidRDefault="00FE7E96" w:rsidP="00FE7E96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FE7E96">
        <w:rPr>
          <w:rFonts w:ascii="UnitPro" w:hAnsi="UnitPro" w:cs="UnitPro"/>
          <w:b/>
          <w:sz w:val="22"/>
          <w:szCs w:val="22"/>
        </w:rPr>
        <w:t>Podrobné informace o metodice včetně formulářů (šablon 1-6) budou dodavateli poskytnuty kontaktní osobou objednatele.</w:t>
      </w:r>
    </w:p>
    <w:p w14:paraId="66C9C2E5" w14:textId="77777777" w:rsidR="00FE2742" w:rsidRPr="00FE2742" w:rsidRDefault="00FE2742" w:rsidP="00403E7F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FE2742">
        <w:rPr>
          <w:rFonts w:ascii="UnitPro" w:hAnsi="UnitPro" w:cs="UnitPro"/>
          <w:b/>
          <w:bCs/>
          <w:sz w:val="22"/>
          <w:szCs w:val="22"/>
          <w:u w:val="single"/>
        </w:rPr>
        <w:t>Kontaktní osoby:</w:t>
      </w:r>
    </w:p>
    <w:p w14:paraId="6546BC7B" w14:textId="53312921" w:rsidR="00D33596" w:rsidRPr="00533529" w:rsidRDefault="00E608C3" w:rsidP="00D33596">
      <w:pPr>
        <w:jc w:val="both"/>
        <w:rPr>
          <w:rFonts w:ascii="UnitPro" w:hAnsi="UnitPro" w:cs="UnitPro"/>
          <w:sz w:val="22"/>
          <w:szCs w:val="22"/>
        </w:rPr>
      </w:pPr>
      <w:r w:rsidRPr="005D3E57">
        <w:rPr>
          <w:rFonts w:ascii="UnitPro" w:hAnsi="UnitPro" w:cs="UnitPro"/>
          <w:sz w:val="22"/>
          <w:szCs w:val="22"/>
        </w:rPr>
        <w:t xml:space="preserve">Kontaktní osobou objednatele je </w:t>
      </w:r>
      <w:proofErr w:type="spellStart"/>
      <w:r w:rsidR="00B27D44">
        <w:rPr>
          <w:rFonts w:ascii="UnitPro" w:hAnsi="UnitPro" w:cs="UnitPro"/>
          <w:sz w:val="22"/>
          <w:szCs w:val="22"/>
        </w:rPr>
        <w:t>xxxxxxxxxxxxxxxxxxxxxxxx</w:t>
      </w:r>
      <w:proofErr w:type="spellEnd"/>
      <w:r w:rsidR="004B6251" w:rsidRPr="005D3E57">
        <w:rPr>
          <w:rFonts w:ascii="UnitPro" w:hAnsi="UnitPro" w:cs="UnitPro"/>
          <w:sz w:val="22"/>
          <w:szCs w:val="22"/>
        </w:rPr>
        <w:t>.</w:t>
      </w:r>
    </w:p>
    <w:p w14:paraId="65B9AD19" w14:textId="77777777" w:rsidR="00E608C3" w:rsidRPr="00533529" w:rsidRDefault="00E608C3" w:rsidP="00E608C3">
      <w:pPr>
        <w:jc w:val="both"/>
        <w:rPr>
          <w:rFonts w:ascii="UnitPro" w:hAnsi="UnitPro" w:cs="UnitPro"/>
          <w:sz w:val="22"/>
          <w:szCs w:val="22"/>
        </w:rPr>
      </w:pPr>
    </w:p>
    <w:p w14:paraId="1F327FEF" w14:textId="511BDCAE" w:rsidR="00D33596" w:rsidRPr="00533529" w:rsidRDefault="00B61D98" w:rsidP="00D33596">
      <w:pPr>
        <w:jc w:val="both"/>
        <w:rPr>
          <w:rFonts w:ascii="UnitPro" w:hAnsi="UnitPro" w:cs="UnitPro"/>
          <w:i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Kontaktní osobou </w:t>
      </w:r>
      <w:r w:rsidR="000358BC">
        <w:rPr>
          <w:rFonts w:ascii="UnitPro" w:hAnsi="UnitPro" w:cs="UnitPro"/>
          <w:sz w:val="22"/>
          <w:szCs w:val="22"/>
        </w:rPr>
        <w:t xml:space="preserve">dodavatele </w:t>
      </w:r>
      <w:r>
        <w:rPr>
          <w:rFonts w:ascii="UnitPro" w:hAnsi="UnitPro" w:cs="UnitPro"/>
          <w:sz w:val="22"/>
          <w:szCs w:val="22"/>
        </w:rPr>
        <w:t>je</w:t>
      </w:r>
      <w:r w:rsidR="005D3E57">
        <w:rPr>
          <w:rFonts w:ascii="UnitPro" w:hAnsi="UnitPro" w:cs="UnitPro"/>
          <w:sz w:val="22"/>
          <w:szCs w:val="22"/>
        </w:rPr>
        <w:t xml:space="preserve"> </w:t>
      </w:r>
      <w:proofErr w:type="spellStart"/>
      <w:r w:rsidR="00B27D44">
        <w:rPr>
          <w:rFonts w:ascii="UnitPro" w:hAnsi="UnitPro" w:cs="UnitPro"/>
          <w:sz w:val="22"/>
          <w:szCs w:val="22"/>
        </w:rPr>
        <w:t>xxxxxxxxxxxxxxxxxxxxxxxxx</w:t>
      </w:r>
      <w:proofErr w:type="spellEnd"/>
      <w:r w:rsidR="00B27D44">
        <w:rPr>
          <w:rFonts w:ascii="UnitPro" w:hAnsi="UnitPro" w:cs="UnitPro"/>
          <w:sz w:val="22"/>
          <w:szCs w:val="22"/>
        </w:rPr>
        <w:t>.</w:t>
      </w:r>
    </w:p>
    <w:p w14:paraId="693DE77F" w14:textId="77777777" w:rsidR="00403E7F" w:rsidRDefault="00403E7F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024F6B64" w14:textId="77777777" w:rsidR="00FE7E96" w:rsidRDefault="00FE7E9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396C6B21" w14:textId="77777777" w:rsidR="00C82AEE" w:rsidRPr="00533529" w:rsidRDefault="006161F6" w:rsidP="00187086">
      <w:pPr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Termín</w:t>
      </w:r>
      <w:r w:rsidR="00C82AEE" w:rsidRPr="00A7413E">
        <w:rPr>
          <w:rFonts w:ascii="UnitPro" w:hAnsi="UnitPro" w:cs="UnitPro"/>
          <w:b/>
          <w:bCs/>
          <w:sz w:val="22"/>
          <w:szCs w:val="22"/>
          <w:u w:val="single"/>
        </w:rPr>
        <w:t xml:space="preserve"> a </w:t>
      </w:r>
      <w:r w:rsidRPr="00A7413E">
        <w:rPr>
          <w:rFonts w:ascii="UnitPro" w:hAnsi="UnitPro" w:cs="UnitPro"/>
          <w:b/>
          <w:bCs/>
          <w:sz w:val="22"/>
          <w:szCs w:val="22"/>
          <w:u w:val="single"/>
        </w:rPr>
        <w:t>místo plnění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</w:t>
      </w:r>
      <w:r w:rsidR="00D50A6F" w:rsidRPr="00D50A6F">
        <w:rPr>
          <w:rFonts w:ascii="UnitPro" w:hAnsi="UnitPro" w:cs="UnitPro"/>
          <w:b/>
          <w:bCs/>
          <w:sz w:val="22"/>
          <w:szCs w:val="22"/>
          <w:u w:val="single"/>
        </w:rPr>
        <w:t xml:space="preserve">a způsob předání/převzetí </w:t>
      </w:r>
      <w:r w:rsidR="00C82AEE" w:rsidRPr="00D50A6F">
        <w:rPr>
          <w:rFonts w:ascii="UnitPro" w:hAnsi="UnitPro" w:cs="UnitPro"/>
          <w:b/>
          <w:bCs/>
          <w:sz w:val="22"/>
          <w:szCs w:val="22"/>
          <w:u w:val="single"/>
        </w:rPr>
        <w:t>předmětu</w:t>
      </w:r>
      <w:r w:rsidR="00C82AEE" w:rsidRPr="00264085">
        <w:rPr>
          <w:rFonts w:ascii="UnitPro" w:hAnsi="UnitPro" w:cs="UnitPro"/>
          <w:b/>
          <w:bCs/>
          <w:sz w:val="22"/>
          <w:szCs w:val="22"/>
          <w:u w:val="single"/>
        </w:rPr>
        <w:t xml:space="preserve"> objednávky</w:t>
      </w:r>
      <w:r w:rsidRPr="00264085">
        <w:rPr>
          <w:rFonts w:ascii="UnitPro" w:hAnsi="UnitPro" w:cs="UnitPro"/>
          <w:b/>
          <w:bCs/>
          <w:sz w:val="22"/>
          <w:szCs w:val="22"/>
          <w:u w:val="single"/>
        </w:rPr>
        <w:t>:</w:t>
      </w:r>
    </w:p>
    <w:p w14:paraId="1D501CD3" w14:textId="77777777" w:rsidR="005D3E57" w:rsidRDefault="005D3E57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07D39BFF" w14:textId="7EB003BD" w:rsidR="00B445A1" w:rsidRPr="00533529" w:rsidRDefault="005D3E57" w:rsidP="005C3DB3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Termín</w:t>
      </w:r>
      <w:r w:rsidR="002F0445" w:rsidRPr="00533529">
        <w:rPr>
          <w:rFonts w:ascii="UnitPro" w:hAnsi="UnitPro" w:cs="UnitPro"/>
          <w:sz w:val="22"/>
          <w:szCs w:val="22"/>
        </w:rPr>
        <w:t xml:space="preserve"> plnění předmětu objednávky: </w:t>
      </w:r>
      <w:r>
        <w:rPr>
          <w:rFonts w:ascii="UnitPro" w:hAnsi="UnitPro" w:cs="UnitPro"/>
          <w:sz w:val="22"/>
          <w:szCs w:val="22"/>
        </w:rPr>
        <w:t>do 3</w:t>
      </w:r>
      <w:r w:rsidR="0090307A">
        <w:rPr>
          <w:rFonts w:ascii="UnitPro" w:hAnsi="UnitPro" w:cs="UnitPro"/>
          <w:sz w:val="22"/>
          <w:szCs w:val="22"/>
        </w:rPr>
        <w:t>1. 8</w:t>
      </w:r>
      <w:r>
        <w:rPr>
          <w:rFonts w:ascii="UnitPro" w:hAnsi="UnitPro" w:cs="UnitPro"/>
          <w:sz w:val="22"/>
          <w:szCs w:val="22"/>
        </w:rPr>
        <w:t>. 2020.</w:t>
      </w:r>
    </w:p>
    <w:p w14:paraId="17CB660B" w14:textId="77777777" w:rsidR="00187086" w:rsidRDefault="00187086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11671CF" w14:textId="44DA9E91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Místo plnění předmětu </w:t>
      </w:r>
      <w:r w:rsidRPr="005D3E57">
        <w:rPr>
          <w:rFonts w:ascii="UnitPro" w:hAnsi="UnitPro" w:cs="UnitPro"/>
        </w:rPr>
        <w:t>objednávky: Vyšehradská 57, 128 00 Praha 2 – Nové Město</w:t>
      </w:r>
      <w:r w:rsidR="005D3E57" w:rsidRPr="005D3E57">
        <w:rPr>
          <w:rFonts w:ascii="UnitPro" w:hAnsi="UnitPro" w:cs="UnitPro"/>
        </w:rPr>
        <w:t>.</w:t>
      </w:r>
    </w:p>
    <w:p w14:paraId="05190CC9" w14:textId="77777777" w:rsidR="00A7413E" w:rsidRDefault="00A7413E" w:rsidP="00187086">
      <w:pPr>
        <w:pStyle w:val="Zkladntextodsazen"/>
        <w:spacing w:before="0"/>
        <w:ind w:left="0"/>
        <w:rPr>
          <w:rFonts w:ascii="UnitPro" w:hAnsi="UnitPro" w:cs="UnitPro"/>
        </w:rPr>
      </w:pPr>
    </w:p>
    <w:p w14:paraId="701E6517" w14:textId="163693BC" w:rsidR="00793148" w:rsidRDefault="00EF1F47" w:rsidP="00D50A6F">
      <w:pPr>
        <w:pStyle w:val="Zkladntextodsazen"/>
        <w:spacing w:before="0"/>
        <w:ind w:left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Po kontrole předmětu objednávky bude převzetí předmětu objednávky potvrzeno na základě </w:t>
      </w:r>
      <w:r w:rsidRPr="00A54E6F">
        <w:rPr>
          <w:rFonts w:ascii="UnitPro" w:hAnsi="UnitPro" w:cs="UnitPro"/>
          <w:b/>
          <w:u w:val="single"/>
        </w:rPr>
        <w:t>akceptačního protokolu</w:t>
      </w:r>
      <w:r w:rsidRPr="00EF1F47">
        <w:rPr>
          <w:rFonts w:ascii="UnitPro" w:hAnsi="UnitPro" w:cs="UnitPro"/>
        </w:rPr>
        <w:t xml:space="preserve"> podepsaného zástupci obou smluvních stran. Vzor akceptačního protokolu je ke stažení na webových stránkách objednatele na adrese: </w:t>
      </w:r>
      <w:hyperlink r:id="rId11" w:history="1">
        <w:r w:rsidRPr="00EF1F47">
          <w:rPr>
            <w:rStyle w:val="Hypertextovodkaz"/>
            <w:rFonts w:ascii="UnitPro" w:hAnsi="UnitPro" w:cs="UnitPro"/>
          </w:rPr>
          <w:t>http://www.iprpraha.cz/clanek/1950/vzory-dokumentu</w:t>
        </w:r>
      </w:hyperlink>
      <w:r w:rsidRPr="00EF1F47">
        <w:rPr>
          <w:rFonts w:ascii="UnitPro" w:hAnsi="UnitPro" w:cs="UnitPro"/>
        </w:rPr>
        <w:t xml:space="preserve"> v záložce „Vzory dokumentů, na které odkazují smlouvy“.</w:t>
      </w:r>
    </w:p>
    <w:p w14:paraId="46CE6259" w14:textId="77777777" w:rsidR="00B61D98" w:rsidRDefault="00B61D98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10F5E7DE" w14:textId="77777777" w:rsidR="00A54E6F" w:rsidRDefault="00A54E6F" w:rsidP="00D50A6F">
      <w:pPr>
        <w:pStyle w:val="Zkladntextodsazen"/>
        <w:spacing w:before="0"/>
        <w:ind w:left="0"/>
        <w:rPr>
          <w:rFonts w:ascii="UnitPro" w:hAnsi="UnitPro" w:cs="UnitPro"/>
        </w:rPr>
      </w:pPr>
    </w:p>
    <w:p w14:paraId="3547CD2E" w14:textId="77777777" w:rsidR="00500BC3" w:rsidRPr="005C3DB3" w:rsidRDefault="00BB7997" w:rsidP="005C3DB3">
      <w:pPr>
        <w:pStyle w:val="Zkladntextodsazen"/>
        <w:spacing w:before="0" w:after="240"/>
        <w:ind w:left="0"/>
        <w:rPr>
          <w:rFonts w:ascii="UnitPro" w:hAnsi="UnitPro" w:cs="UnitPro"/>
          <w:b/>
          <w:bCs/>
          <w:u w:val="single"/>
        </w:rPr>
      </w:pPr>
      <w:r w:rsidRPr="00533529">
        <w:rPr>
          <w:rFonts w:ascii="UnitPro" w:hAnsi="UnitPro" w:cs="UnitPro"/>
          <w:b/>
          <w:bCs/>
          <w:u w:val="single"/>
        </w:rPr>
        <w:t>Cena předmětu objednávky</w:t>
      </w:r>
      <w:r w:rsidR="006161F6" w:rsidRPr="00533529">
        <w:rPr>
          <w:rFonts w:ascii="UnitPro" w:hAnsi="UnitPro" w:cs="UnitPro"/>
          <w:b/>
          <w:bCs/>
          <w:u w:val="single"/>
        </w:rPr>
        <w:t>:</w:t>
      </w:r>
    </w:p>
    <w:p w14:paraId="52617C7D" w14:textId="55AC2F27" w:rsidR="00CE3216" w:rsidRPr="00533529" w:rsidRDefault="00FD2979" w:rsidP="00B82522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 xml:space="preserve">Celková cena za </w:t>
      </w:r>
      <w:r w:rsidR="00CE3216" w:rsidRPr="00533529">
        <w:rPr>
          <w:rFonts w:ascii="UnitPro" w:hAnsi="UnitPro" w:cs="UnitPro"/>
          <w:sz w:val="22"/>
          <w:szCs w:val="22"/>
        </w:rPr>
        <w:t>plnění před</w:t>
      </w:r>
      <w:r w:rsidR="004D60BB" w:rsidRPr="00533529">
        <w:rPr>
          <w:rFonts w:ascii="UnitPro" w:hAnsi="UnitPro" w:cs="UnitPro"/>
          <w:sz w:val="22"/>
          <w:szCs w:val="22"/>
        </w:rPr>
        <w:t>m</w:t>
      </w:r>
      <w:r w:rsidR="00205904" w:rsidRPr="00533529">
        <w:rPr>
          <w:rFonts w:ascii="UnitPro" w:hAnsi="UnitPro" w:cs="UnitPro"/>
          <w:sz w:val="22"/>
          <w:szCs w:val="22"/>
        </w:rPr>
        <w:t>ětu objednávky</w:t>
      </w:r>
      <w:r w:rsidR="00466AD0" w:rsidRPr="00533529">
        <w:rPr>
          <w:rFonts w:ascii="UnitPro" w:hAnsi="UnitPro" w:cs="UnitPro"/>
          <w:sz w:val="22"/>
          <w:szCs w:val="22"/>
        </w:rPr>
        <w:t xml:space="preserve"> </w:t>
      </w:r>
      <w:r w:rsidR="00EA6F93" w:rsidRPr="00533529">
        <w:rPr>
          <w:rFonts w:ascii="UnitPro" w:hAnsi="UnitPro" w:cs="UnitPro"/>
          <w:sz w:val="22"/>
          <w:szCs w:val="22"/>
        </w:rPr>
        <w:t>bud</w:t>
      </w:r>
      <w:r w:rsidR="00896BAA" w:rsidRPr="00533529">
        <w:rPr>
          <w:rFonts w:ascii="UnitPro" w:hAnsi="UnitPro" w:cs="UnitPro"/>
          <w:sz w:val="22"/>
          <w:szCs w:val="22"/>
        </w:rPr>
        <w:t>e čini</w:t>
      </w:r>
      <w:r w:rsidR="00B445A1" w:rsidRPr="00533529">
        <w:rPr>
          <w:rFonts w:ascii="UnitPro" w:hAnsi="UnitPro" w:cs="UnitPro"/>
          <w:sz w:val="22"/>
          <w:szCs w:val="22"/>
        </w:rPr>
        <w:t xml:space="preserve">t </w:t>
      </w:r>
      <w:r w:rsidR="00B61D98">
        <w:rPr>
          <w:rFonts w:ascii="UnitPro" w:hAnsi="UnitPro" w:cs="UnitPro"/>
          <w:b/>
          <w:sz w:val="22"/>
          <w:szCs w:val="22"/>
        </w:rPr>
        <w:t>96.</w:t>
      </w:r>
      <w:r w:rsidR="00A54E6F">
        <w:rPr>
          <w:rFonts w:ascii="UnitPro" w:hAnsi="UnitPro" w:cs="UnitPro"/>
          <w:b/>
          <w:sz w:val="22"/>
          <w:szCs w:val="22"/>
        </w:rPr>
        <w:t>9</w:t>
      </w:r>
      <w:r w:rsidR="00923B5B" w:rsidRPr="00923B5B">
        <w:rPr>
          <w:rFonts w:ascii="UnitPro" w:hAnsi="UnitPro" w:cs="UnitPro"/>
          <w:b/>
          <w:sz w:val="22"/>
          <w:szCs w:val="22"/>
        </w:rPr>
        <w:t>00,-</w:t>
      </w:r>
      <w:r w:rsidR="00B445A1" w:rsidRPr="00923B5B">
        <w:rPr>
          <w:rFonts w:ascii="UnitPro" w:hAnsi="UnitPro" w:cs="UnitPro"/>
          <w:b/>
          <w:sz w:val="22"/>
          <w:szCs w:val="22"/>
        </w:rPr>
        <w:t xml:space="preserve"> </w:t>
      </w:r>
      <w:r w:rsidR="00DE7124" w:rsidRPr="00923B5B">
        <w:rPr>
          <w:rFonts w:ascii="UnitPro" w:hAnsi="UnitPro" w:cs="UnitPro"/>
          <w:b/>
          <w:sz w:val="22"/>
          <w:szCs w:val="22"/>
        </w:rPr>
        <w:t>Kč</w:t>
      </w:r>
      <w:r w:rsidR="00DE7124" w:rsidRPr="00533529">
        <w:rPr>
          <w:rFonts w:ascii="UnitPro" w:hAnsi="UnitPro" w:cs="UnitPro"/>
          <w:sz w:val="22"/>
          <w:szCs w:val="22"/>
        </w:rPr>
        <w:t xml:space="preserve"> (slovy: </w:t>
      </w:r>
      <w:r w:rsidR="00923B5B">
        <w:rPr>
          <w:rFonts w:ascii="UnitPro" w:hAnsi="UnitPro" w:cs="UnitPro"/>
          <w:sz w:val="22"/>
          <w:szCs w:val="22"/>
        </w:rPr>
        <w:t>devadesát še</w:t>
      </w:r>
      <w:r w:rsidR="008F4E51">
        <w:rPr>
          <w:rFonts w:ascii="UnitPro" w:hAnsi="UnitPro" w:cs="UnitPro"/>
          <w:sz w:val="22"/>
          <w:szCs w:val="22"/>
        </w:rPr>
        <w:t>s</w:t>
      </w:r>
      <w:r w:rsidR="00923B5B">
        <w:rPr>
          <w:rFonts w:ascii="UnitPro" w:hAnsi="UnitPro" w:cs="UnitPro"/>
          <w:sz w:val="22"/>
          <w:szCs w:val="22"/>
        </w:rPr>
        <w:t xml:space="preserve">t tisíc </w:t>
      </w:r>
      <w:r w:rsidR="000358BC">
        <w:rPr>
          <w:rFonts w:ascii="UnitPro" w:hAnsi="UnitPro" w:cs="UnitPro"/>
          <w:sz w:val="22"/>
          <w:szCs w:val="22"/>
        </w:rPr>
        <w:t>devět</w:t>
      </w:r>
      <w:r w:rsidR="00923B5B">
        <w:rPr>
          <w:rFonts w:ascii="UnitPro" w:hAnsi="UnitPro" w:cs="UnitPro"/>
          <w:sz w:val="22"/>
          <w:szCs w:val="22"/>
        </w:rPr>
        <w:t xml:space="preserve"> set </w:t>
      </w:r>
      <w:r w:rsidR="00DE7124" w:rsidRPr="00533529">
        <w:rPr>
          <w:rFonts w:ascii="UnitPro" w:hAnsi="UnitPro" w:cs="UnitPro"/>
          <w:sz w:val="22"/>
          <w:szCs w:val="22"/>
        </w:rPr>
        <w:t>korun českých)</w:t>
      </w:r>
      <w:r w:rsidR="00CE3216" w:rsidRPr="00533529">
        <w:rPr>
          <w:rFonts w:ascii="UnitPro" w:hAnsi="UnitPro" w:cs="UnitPro"/>
          <w:sz w:val="22"/>
          <w:szCs w:val="22"/>
        </w:rPr>
        <w:t>.</w:t>
      </w:r>
    </w:p>
    <w:p w14:paraId="00F196EA" w14:textId="77777777" w:rsidR="00445AC0" w:rsidRPr="00533529" w:rsidRDefault="00445AC0" w:rsidP="00264085">
      <w:pPr>
        <w:jc w:val="both"/>
        <w:rPr>
          <w:rFonts w:ascii="UnitPro" w:hAnsi="UnitPro" w:cs="UnitPro"/>
          <w:sz w:val="22"/>
          <w:szCs w:val="22"/>
        </w:rPr>
      </w:pPr>
    </w:p>
    <w:p w14:paraId="4F3737C5" w14:textId="2E4C5973" w:rsidR="00445AC0" w:rsidRPr="00264085" w:rsidRDefault="000358BC" w:rsidP="0026408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Dodavatel</w:t>
      </w:r>
      <w:r w:rsidR="00DE7124" w:rsidRPr="00923B5B">
        <w:rPr>
          <w:rFonts w:ascii="UnitPro" w:hAnsi="UnitPro" w:cs="UnitPro"/>
          <w:b/>
          <w:sz w:val="22"/>
          <w:szCs w:val="22"/>
        </w:rPr>
        <w:t xml:space="preserve"> </w:t>
      </w:r>
      <w:r w:rsidR="00B445A1" w:rsidRPr="00923B5B">
        <w:rPr>
          <w:rFonts w:ascii="UnitPro" w:hAnsi="UnitPro" w:cs="UnitPro"/>
          <w:b/>
          <w:sz w:val="22"/>
          <w:szCs w:val="22"/>
        </w:rPr>
        <w:t>není</w:t>
      </w:r>
      <w:r w:rsidR="00DE7124" w:rsidRPr="00923B5B">
        <w:rPr>
          <w:rFonts w:ascii="UnitPro" w:hAnsi="UnitPro" w:cs="UnitPro"/>
          <w:b/>
          <w:sz w:val="22"/>
          <w:szCs w:val="22"/>
        </w:rPr>
        <w:t xml:space="preserve"> plátcem DPH</w:t>
      </w:r>
      <w:r w:rsidR="00DE7124" w:rsidRPr="00923B5B">
        <w:rPr>
          <w:rFonts w:ascii="UnitPro" w:hAnsi="UnitPro" w:cs="UnitPro"/>
          <w:sz w:val="22"/>
          <w:szCs w:val="22"/>
        </w:rPr>
        <w:t xml:space="preserve">. </w:t>
      </w:r>
    </w:p>
    <w:p w14:paraId="14635337" w14:textId="77777777" w:rsidR="00706A8C" w:rsidRPr="00533529" w:rsidRDefault="00706A8C" w:rsidP="00B82522">
      <w:pPr>
        <w:jc w:val="both"/>
        <w:rPr>
          <w:rFonts w:ascii="UnitPro" w:hAnsi="UnitPro" w:cs="UnitPro"/>
          <w:sz w:val="22"/>
          <w:szCs w:val="22"/>
        </w:rPr>
      </w:pPr>
    </w:p>
    <w:p w14:paraId="417C3155" w14:textId="77777777" w:rsidR="0035580A" w:rsidRPr="00533529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 ceně jsou zahrnuty veškeré náklady spojené se splněním předmětu objednávky.</w:t>
      </w:r>
    </w:p>
    <w:p w14:paraId="547D673D" w14:textId="77777777" w:rsidR="006161F6" w:rsidRPr="00533529" w:rsidRDefault="006161F6" w:rsidP="00B82522">
      <w:pPr>
        <w:jc w:val="both"/>
        <w:rPr>
          <w:rFonts w:ascii="UnitPro" w:hAnsi="UnitPro" w:cs="UnitPro"/>
          <w:sz w:val="22"/>
          <w:szCs w:val="22"/>
        </w:rPr>
      </w:pPr>
    </w:p>
    <w:p w14:paraId="69EE756F" w14:textId="77777777" w:rsidR="0035580A" w:rsidRDefault="0035580A" w:rsidP="00B82522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Vyúčtování – faktura musí splňovat náležitos</w:t>
      </w:r>
      <w:r w:rsidR="007D60BA">
        <w:rPr>
          <w:rFonts w:ascii="UnitPro" w:hAnsi="UnitPro" w:cs="UnitPro"/>
          <w:sz w:val="22"/>
          <w:szCs w:val="22"/>
        </w:rPr>
        <w:t>ti účetního a daňového dokladu.</w:t>
      </w:r>
    </w:p>
    <w:p w14:paraId="7C1C2133" w14:textId="77777777" w:rsidR="007D60BA" w:rsidRDefault="007D60BA" w:rsidP="00B82522">
      <w:pPr>
        <w:jc w:val="both"/>
        <w:rPr>
          <w:rFonts w:ascii="UnitPro" w:hAnsi="UnitPro" w:cs="UnitPro"/>
          <w:sz w:val="22"/>
          <w:szCs w:val="22"/>
        </w:rPr>
      </w:pPr>
    </w:p>
    <w:p w14:paraId="5E32A7B9" w14:textId="0781477C" w:rsidR="00800BC0" w:rsidRDefault="000358BC" w:rsidP="0035580A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Dodavatel</w:t>
      </w:r>
      <w:r w:rsidR="00800BC0">
        <w:rPr>
          <w:rFonts w:ascii="UnitPro" w:hAnsi="UnitPro" w:cs="UnitPro"/>
          <w:sz w:val="22"/>
          <w:szCs w:val="22"/>
        </w:rPr>
        <w:t xml:space="preserve"> je povinen </w:t>
      </w:r>
      <w:r w:rsidR="00800BC0" w:rsidRPr="00264D08">
        <w:rPr>
          <w:rFonts w:ascii="UnitPro" w:hAnsi="UnitPro" w:cs="UnitPro"/>
          <w:b/>
          <w:sz w:val="22"/>
          <w:szCs w:val="22"/>
        </w:rPr>
        <w:t>zaslat fakturu na e-mailovou adresu kontaktní osoby objednatele</w:t>
      </w:r>
      <w:r w:rsidR="00800BC0" w:rsidRPr="00533529">
        <w:rPr>
          <w:rFonts w:ascii="UnitPro" w:hAnsi="UnitPro" w:cs="UnitPro"/>
          <w:sz w:val="22"/>
          <w:szCs w:val="22"/>
        </w:rPr>
        <w:t>.</w:t>
      </w:r>
      <w:r w:rsidR="00800BC0"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sz w:val="22"/>
          <w:szCs w:val="22"/>
        </w:rPr>
        <w:t xml:space="preserve">Sjednaná cena za splnění předmětu objednávky je splatná do 21 kalendářních dnů ode dne </w:t>
      </w:r>
      <w:r w:rsidR="00800BC0">
        <w:rPr>
          <w:rFonts w:ascii="UnitPro" w:hAnsi="UnitPro" w:cs="UnitPro"/>
          <w:sz w:val="22"/>
          <w:szCs w:val="22"/>
        </w:rPr>
        <w:t>jejího doručení.</w:t>
      </w:r>
    </w:p>
    <w:p w14:paraId="58594A55" w14:textId="7786AFA2" w:rsidR="0035580A" w:rsidRPr="00533529" w:rsidRDefault="000358BC" w:rsidP="0035580A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  <w:r w:rsidRPr="000358BC">
        <w:rPr>
          <w:rFonts w:ascii="UnitPro" w:hAnsi="UnitPro" w:cs="UnitPro"/>
          <w:b/>
          <w:sz w:val="22"/>
          <w:szCs w:val="22"/>
        </w:rPr>
        <w:t>Dodavatel</w:t>
      </w:r>
      <w:r>
        <w:rPr>
          <w:rFonts w:ascii="UnitPro" w:hAnsi="UnitPro" w:cs="UnitPro"/>
          <w:sz w:val="22"/>
          <w:szCs w:val="22"/>
        </w:rPr>
        <w:t xml:space="preserve"> </w:t>
      </w:r>
      <w:r w:rsidR="0035580A" w:rsidRPr="00533529">
        <w:rPr>
          <w:rFonts w:ascii="UnitPro" w:hAnsi="UnitPro" w:cs="UnitPro"/>
          <w:b/>
          <w:bCs/>
          <w:sz w:val="22"/>
          <w:szCs w:val="22"/>
        </w:rPr>
        <w:t>je dále povinen uv</w:t>
      </w:r>
      <w:r w:rsidR="00DE100E">
        <w:rPr>
          <w:rFonts w:ascii="UnitPro" w:hAnsi="UnitPro" w:cs="UnitPro"/>
          <w:b/>
          <w:bCs/>
          <w:sz w:val="22"/>
          <w:szCs w:val="22"/>
        </w:rPr>
        <w:t xml:space="preserve">ést na faktuře číslo objednávky: ZAK </w:t>
      </w:r>
      <w:r w:rsidR="0090307A">
        <w:rPr>
          <w:rFonts w:ascii="UnitPro" w:hAnsi="UnitPro" w:cs="UnitPro"/>
          <w:b/>
          <w:bCs/>
          <w:sz w:val="22"/>
          <w:szCs w:val="22"/>
        </w:rPr>
        <w:t>20-0205</w:t>
      </w:r>
      <w:r w:rsidR="00923B5B">
        <w:rPr>
          <w:rFonts w:ascii="UnitPro" w:hAnsi="UnitPro" w:cs="UnitPro"/>
          <w:b/>
          <w:bCs/>
          <w:sz w:val="22"/>
          <w:szCs w:val="22"/>
        </w:rPr>
        <w:t>.</w:t>
      </w:r>
      <w:r w:rsidR="007D60BA">
        <w:rPr>
          <w:rFonts w:ascii="UnitPro" w:hAnsi="UnitPro" w:cs="UnitPro"/>
          <w:b/>
          <w:bCs/>
          <w:sz w:val="22"/>
          <w:szCs w:val="22"/>
        </w:rPr>
        <w:t xml:space="preserve"> </w:t>
      </w:r>
      <w:r w:rsidR="007D60BA" w:rsidRPr="007D60BA">
        <w:rPr>
          <w:rFonts w:ascii="UnitPro" w:hAnsi="UnitPro" w:cs="UnitPro"/>
          <w:bCs/>
          <w:sz w:val="22"/>
          <w:szCs w:val="22"/>
        </w:rPr>
        <w:t xml:space="preserve">Fakturu </w:t>
      </w:r>
      <w:r w:rsidR="007D60BA">
        <w:rPr>
          <w:rFonts w:ascii="UnitPro" w:hAnsi="UnitPro" w:cs="UnitPro"/>
          <w:bCs/>
          <w:sz w:val="22"/>
          <w:szCs w:val="22"/>
        </w:rPr>
        <w:t>neobsahující číslo objednávky nelze proplatit.</w:t>
      </w:r>
    </w:p>
    <w:p w14:paraId="74858ED2" w14:textId="406F8194" w:rsidR="0035580A" w:rsidRPr="00533529" w:rsidRDefault="0035580A" w:rsidP="0035580A">
      <w:pPr>
        <w:spacing w:before="240"/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0358BC">
        <w:rPr>
          <w:rFonts w:ascii="UnitPro" w:hAnsi="UnitPro" w:cs="UnitPro"/>
          <w:sz w:val="22"/>
          <w:szCs w:val="22"/>
        </w:rPr>
        <w:t xml:space="preserve">dodavatel </w:t>
      </w:r>
      <w:r w:rsidRPr="00533529">
        <w:rPr>
          <w:rFonts w:ascii="UnitPro" w:hAnsi="UnitPro" w:cs="UnitPro"/>
          <w:sz w:val="22"/>
          <w:szCs w:val="22"/>
        </w:rPr>
        <w:t>je poté povinen vystavit novou fakturu s novým termínem splatnosti. V </w:t>
      </w:r>
      <w:r w:rsidR="005C3DB3">
        <w:rPr>
          <w:rFonts w:ascii="UnitPro" w:hAnsi="UnitPro" w:cs="UnitPro"/>
          <w:sz w:val="22"/>
          <w:szCs w:val="22"/>
        </w:rPr>
        <w:t xml:space="preserve">takovém případě není objednatel v </w:t>
      </w:r>
      <w:r w:rsidRPr="00533529">
        <w:rPr>
          <w:rFonts w:ascii="UnitPro" w:hAnsi="UnitPro" w:cs="UnitPro"/>
          <w:sz w:val="22"/>
          <w:szCs w:val="22"/>
        </w:rPr>
        <w:t>prodlení s placením faktury.</w:t>
      </w:r>
    </w:p>
    <w:p w14:paraId="192C332A" w14:textId="77777777" w:rsidR="00800BC0" w:rsidRDefault="00800BC0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44CCF315" w14:textId="77777777" w:rsidR="00A54E6F" w:rsidRDefault="00A54E6F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32139726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349A63CC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21F35E88" w14:textId="0E701F9E" w:rsidR="00B542AD" w:rsidRPr="00EF1F47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B542AD" w:rsidRPr="00EF1F47">
        <w:rPr>
          <w:rFonts w:ascii="UnitPro" w:hAnsi="UnitPro" w:cs="UnitPro"/>
        </w:rPr>
        <w:t xml:space="preserve">a </w:t>
      </w:r>
      <w:r w:rsidR="000358BC">
        <w:rPr>
          <w:rFonts w:ascii="UnitPro" w:hAnsi="UnitPro" w:cs="UnitPro"/>
        </w:rPr>
        <w:t xml:space="preserve">dodavatel </w:t>
      </w:r>
      <w:r w:rsidR="00E608C3" w:rsidRPr="00EF1F47">
        <w:rPr>
          <w:rFonts w:ascii="UnitPro" w:hAnsi="UnitPro" w:cs="UnitPro"/>
        </w:rPr>
        <w:t xml:space="preserve">výslovně souhlasí s uveřejněním této </w:t>
      </w:r>
      <w:r w:rsidR="00B542AD" w:rsidRPr="00EF1F47">
        <w:rPr>
          <w:rFonts w:ascii="UnitPro" w:hAnsi="UnitPro" w:cs="UnitPro"/>
        </w:rPr>
        <w:t>potvrzené objednávky</w:t>
      </w:r>
      <w:r w:rsidR="00E608C3" w:rsidRPr="00EF1F47">
        <w:rPr>
          <w:rFonts w:ascii="UnitPro" w:hAnsi="UnitPro" w:cs="UnitPro"/>
        </w:rPr>
        <w:t xml:space="preserve"> </w:t>
      </w:r>
      <w:r w:rsidR="00EA3530" w:rsidRPr="00EF1F47">
        <w:rPr>
          <w:rFonts w:ascii="UnitPro" w:hAnsi="UnitPro" w:cs="UnitPro"/>
        </w:rPr>
        <w:br/>
      </w:r>
      <w:r w:rsidR="00E608C3" w:rsidRPr="00EF1F47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14:paraId="107E3D95" w14:textId="77777777" w:rsidR="00B542AD" w:rsidRPr="00EF1F4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0D3D1E" w14:textId="77777777" w:rsidR="005219DC" w:rsidRPr="00EF1F47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E608C3" w:rsidRPr="00EF1F47">
        <w:rPr>
          <w:rFonts w:ascii="UnitPro" w:hAnsi="UnitPro" w:cs="UnitPro"/>
        </w:rPr>
        <w:t xml:space="preserve">zajistí zveřejnění </w:t>
      </w:r>
      <w:r w:rsidR="00B542AD" w:rsidRPr="00EF1F47">
        <w:rPr>
          <w:rFonts w:ascii="UnitPro" w:hAnsi="UnitPro" w:cs="UnitPro"/>
        </w:rPr>
        <w:t xml:space="preserve">potvrzené </w:t>
      </w:r>
      <w:r w:rsidRPr="00EF1F47">
        <w:rPr>
          <w:rFonts w:ascii="UnitPro" w:hAnsi="UnitPro" w:cs="UnitPro"/>
        </w:rPr>
        <w:t>objednávky</w:t>
      </w:r>
      <w:r w:rsidR="00E608C3" w:rsidRPr="00EF1F47">
        <w:rPr>
          <w:rFonts w:ascii="UnitPro" w:hAnsi="UnitPro" w:cs="UnitPro"/>
        </w:rPr>
        <w:t xml:space="preserve"> zasláním správci registru smluv nejpozděj</w:t>
      </w:r>
      <w:r w:rsidR="00B542AD" w:rsidRPr="00EF1F47">
        <w:rPr>
          <w:rFonts w:ascii="UnitPro" w:hAnsi="UnitPro" w:cs="UnitPro"/>
        </w:rPr>
        <w:t>i ve lhůtě do 30 dnů od potvrzení objednávky</w:t>
      </w:r>
      <w:r w:rsidR="005219DC" w:rsidRPr="00EF1F47">
        <w:rPr>
          <w:rFonts w:ascii="UnitPro" w:hAnsi="UnitPro" w:cs="UnitPro"/>
        </w:rPr>
        <w:t xml:space="preserve">. </w:t>
      </w:r>
    </w:p>
    <w:p w14:paraId="0503F261" w14:textId="77777777" w:rsidR="008F4E51" w:rsidRPr="00EF1F47" w:rsidRDefault="008F4E51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536DE0" w14:textId="7A9909EE" w:rsidR="0000044F" w:rsidRPr="00EF1F47" w:rsidRDefault="00EF1F4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Objednatel informuje </w:t>
      </w:r>
      <w:r w:rsidR="000358BC">
        <w:rPr>
          <w:rFonts w:ascii="UnitPro" w:hAnsi="UnitPro" w:cs="UnitPro"/>
        </w:rPr>
        <w:t xml:space="preserve">dodavatele </w:t>
      </w:r>
      <w:r w:rsidR="005219DC" w:rsidRPr="00EF1F47">
        <w:rPr>
          <w:rFonts w:ascii="UnitPro" w:hAnsi="UnitPro" w:cs="UnitPro"/>
        </w:rPr>
        <w:t xml:space="preserve">o splnění této povinnosti. </w:t>
      </w:r>
    </w:p>
    <w:p w14:paraId="12C1AD27" w14:textId="77777777" w:rsidR="005219DC" w:rsidRPr="00EF1F47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>Objednávka nabývá účinnosti dnem uveřejnění v registru smluv.</w:t>
      </w:r>
    </w:p>
    <w:p w14:paraId="2B1C700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7D02CBF4" w14:textId="72347E32" w:rsidR="00FB757D" w:rsidRPr="00264085" w:rsidRDefault="000358BC" w:rsidP="00264085">
      <w:pPr>
        <w:suppressAutoHyphens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 xml:space="preserve">Dodavatel </w:t>
      </w:r>
      <w:r w:rsidR="00FB757D" w:rsidRPr="00264085">
        <w:rPr>
          <w:rFonts w:ascii="UnitPro" w:hAnsi="UnitPro" w:cs="UnitPro"/>
          <w:sz w:val="22"/>
          <w:szCs w:val="22"/>
        </w:rPr>
        <w:t>podpisem této objednávky souhlasí s poskytnutím informací o objednávce v rozsahu zákona č. 106/1999 Sb., o svobodném přístupu k informacím, ve znění pozdějších předpisů.</w:t>
      </w:r>
    </w:p>
    <w:p w14:paraId="6F5742CE" w14:textId="77777777" w:rsidR="00B542AD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01AAB9B9" w14:textId="411418A3" w:rsidR="00E608C3" w:rsidRPr="00264085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264085">
        <w:rPr>
          <w:rFonts w:ascii="UnitPro" w:hAnsi="UnitPro" w:cs="UnitPro"/>
        </w:rPr>
        <w:t xml:space="preserve">Objednatel a </w:t>
      </w:r>
      <w:r w:rsidR="000358BC">
        <w:rPr>
          <w:rFonts w:ascii="UnitPro" w:hAnsi="UnitPro" w:cs="UnitPro"/>
        </w:rPr>
        <w:t xml:space="preserve">dodavatel </w:t>
      </w:r>
      <w:r w:rsidR="00E608C3" w:rsidRPr="00264085">
        <w:rPr>
          <w:rFonts w:ascii="UnitPro" w:hAnsi="UnitPro" w:cs="UnitPro"/>
        </w:rPr>
        <w:t xml:space="preserve">dále prohlašují, že  skutečnosti uvedené v  této </w:t>
      </w:r>
      <w:r w:rsidRPr="00264085">
        <w:rPr>
          <w:rFonts w:ascii="UnitPro" w:hAnsi="UnitPro" w:cs="UnitPro"/>
        </w:rPr>
        <w:t>potvrzené objednávce</w:t>
      </w:r>
      <w:r w:rsidR="00E608C3" w:rsidRPr="00264085">
        <w:rPr>
          <w:rFonts w:ascii="UnitPro" w:hAnsi="UnitPro" w:cs="UnitPro"/>
        </w:rPr>
        <w:t xml:space="preserve"> nepovažují za obchodní tajemství ve smyslu ustanovení § 504 </w:t>
      </w:r>
      <w:r w:rsidR="00791EFD">
        <w:rPr>
          <w:rFonts w:ascii="UnitPro" w:hAnsi="UnitPro" w:cs="UnitPro"/>
        </w:rPr>
        <w:t xml:space="preserve">zákona č. 89/2012 Sb., </w:t>
      </w:r>
      <w:r w:rsidR="00E608C3" w:rsidRPr="00264085">
        <w:rPr>
          <w:rFonts w:ascii="UnitPro" w:hAnsi="UnitPro" w:cs="UnitPro"/>
        </w:rPr>
        <w:t>občansk</w:t>
      </w:r>
      <w:r w:rsidR="00791EFD">
        <w:rPr>
          <w:rFonts w:ascii="UnitPro" w:hAnsi="UnitPro" w:cs="UnitPro"/>
        </w:rPr>
        <w:t>ý</w:t>
      </w:r>
      <w:r w:rsidR="00E608C3" w:rsidRPr="00264085">
        <w:rPr>
          <w:rFonts w:ascii="UnitPro" w:hAnsi="UnitPro" w:cs="UnitPro"/>
        </w:rPr>
        <w:t xml:space="preserve"> zákoník</w:t>
      </w:r>
      <w:r w:rsidR="00791EFD">
        <w:rPr>
          <w:rFonts w:ascii="UnitPro" w:hAnsi="UnitPro" w:cs="UnitPro"/>
        </w:rPr>
        <w:t>,</w:t>
      </w:r>
      <w:r w:rsidR="00E608C3" w:rsidRPr="00264085">
        <w:rPr>
          <w:rFonts w:ascii="UnitPro" w:hAnsi="UnitPro" w:cs="UnitPro"/>
        </w:rPr>
        <w:t xml:space="preserve"> </w:t>
      </w:r>
      <w:r w:rsidR="00C97B78">
        <w:rPr>
          <w:rFonts w:ascii="UnitPro" w:hAnsi="UnitPro" w:cs="UnitPro"/>
        </w:rPr>
        <w:t xml:space="preserve">ve znění pozdějších předpisů, </w:t>
      </w:r>
      <w:r w:rsidR="00E608C3" w:rsidRPr="00264085">
        <w:rPr>
          <w:rFonts w:ascii="UnitPro" w:hAnsi="UnitPro" w:cs="UnitPro"/>
        </w:rPr>
        <w:t>a udělují svolení k jejich užití a zveřejnění bez stanovení jakýchkoliv dalších podmínek.</w:t>
      </w:r>
    </w:p>
    <w:p w14:paraId="0DA39C71" w14:textId="77777777" w:rsidR="00E608C3" w:rsidRPr="00264085" w:rsidRDefault="00E608C3" w:rsidP="00264085">
      <w:pPr>
        <w:jc w:val="both"/>
        <w:rPr>
          <w:rFonts w:ascii="UnitPro" w:hAnsi="UnitPro" w:cs="UnitPro"/>
          <w:sz w:val="22"/>
          <w:szCs w:val="22"/>
        </w:rPr>
      </w:pPr>
    </w:p>
    <w:p w14:paraId="58B5514D" w14:textId="77777777" w:rsidR="00C15EDF" w:rsidRPr="005802CE" w:rsidRDefault="00C15EDF" w:rsidP="00C15EDF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>V so</w:t>
      </w:r>
      <w:r w:rsidR="00DE5CA2" w:rsidRPr="00EF1F47">
        <w:rPr>
          <w:rFonts w:ascii="UnitPro" w:hAnsi="UnitPro" w:cs="UnitPro"/>
        </w:rPr>
        <w:t>uladu s ustanovením § 27 odst. 6</w:t>
      </w:r>
      <w:r w:rsidRPr="00EF1F47">
        <w:rPr>
          <w:rFonts w:ascii="UnitPro" w:hAnsi="UnitPro" w:cs="UnitPro"/>
        </w:rPr>
        <w:t xml:space="preserve"> zákona č. 250/2000 Sb., o rozpočtových pravidlech územních rozpočtů, ve znění pozdějších předpisů, nabývá objednatel předmět </w:t>
      </w:r>
      <w:r w:rsidR="00EA3530" w:rsidRPr="00EF1F47">
        <w:rPr>
          <w:rFonts w:ascii="UnitPro" w:hAnsi="UnitPro" w:cs="UnitPro"/>
        </w:rPr>
        <w:br/>
      </w:r>
      <w:r w:rsidRPr="00EF1F47">
        <w:rPr>
          <w:rFonts w:ascii="UnitPro" w:hAnsi="UnitPro" w:cs="UnitPro"/>
        </w:rPr>
        <w:t>této objednávky pro zřizovatele, kterým je hlavní město Praha.</w:t>
      </w:r>
    </w:p>
    <w:p w14:paraId="3EFCD4EF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0481A620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7CCED02B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25150AD1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334CBDE2" w14:textId="77777777" w:rsidR="00264085" w:rsidRPr="00533529" w:rsidRDefault="00264085" w:rsidP="0035580A">
      <w:pPr>
        <w:jc w:val="both"/>
        <w:rPr>
          <w:rFonts w:ascii="UnitPro" w:hAnsi="UnitPro" w:cs="UnitPro"/>
          <w:sz w:val="22"/>
          <w:szCs w:val="22"/>
        </w:rPr>
      </w:pPr>
    </w:p>
    <w:p w14:paraId="221D454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3D79BB5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17D666A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7F81EF1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CDA3881" w14:textId="77777777" w:rsidR="000358BC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2AB65E05" w14:textId="77777777" w:rsidR="000358BC" w:rsidRPr="005802CE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 w:rsidRPr="00DC7C27">
        <w:rPr>
          <w:rFonts w:ascii="UnitPro" w:hAnsi="UnitPro" w:cs="UnitPro"/>
          <w:b/>
          <w:sz w:val="22"/>
          <w:szCs w:val="22"/>
        </w:rPr>
        <w:t>Ing. arch. Lada Kolaříkov</w:t>
      </w:r>
      <w:r>
        <w:rPr>
          <w:rFonts w:ascii="UnitPro" w:hAnsi="UnitPro" w:cs="UnitPro"/>
          <w:b/>
          <w:sz w:val="22"/>
          <w:szCs w:val="22"/>
        </w:rPr>
        <w:t>á, ředitelka sekce plánování města</w:t>
      </w:r>
    </w:p>
    <w:p w14:paraId="6D1AFB4A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059658C1" w14:textId="77777777" w:rsidR="00A54E6F" w:rsidRDefault="00A54E6F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5FC156DC" w14:textId="3BB6AC7F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t xml:space="preserve">Potvrzením objednávky </w:t>
      </w:r>
      <w:r w:rsidR="000358BC" w:rsidRPr="000358BC">
        <w:rPr>
          <w:rFonts w:ascii="UnitPro" w:hAnsi="UnitPro" w:cs="UnitPro"/>
          <w:b/>
        </w:rPr>
        <w:t>dodavatel</w:t>
      </w:r>
      <w:r w:rsidR="000358BC">
        <w:rPr>
          <w:rFonts w:ascii="UnitPro" w:hAnsi="UnitPro" w:cs="UnitPro"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264D08" w:rsidRPr="002C1A3F">
        <w:rPr>
          <w:rFonts w:ascii="UnitPro" w:hAnsi="UnitPro" w:cs="UnitPro"/>
          <w:b/>
        </w:rPr>
        <w:t xml:space="preserve">objednávce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objednávky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172E1F6C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5F78427B" w14:textId="6860FE6D" w:rsidR="002C1A3F" w:rsidRPr="00533529" w:rsidRDefault="002C1A3F" w:rsidP="002C1A3F">
      <w:pPr>
        <w:jc w:val="both"/>
        <w:rPr>
          <w:rFonts w:ascii="UnitPro" w:hAnsi="UnitPro" w:cs="UnitPro"/>
          <w:b/>
          <w:sz w:val="22"/>
          <w:szCs w:val="22"/>
        </w:rPr>
      </w:pPr>
      <w:r w:rsidRPr="00533529">
        <w:rPr>
          <w:rFonts w:ascii="UnitPro" w:hAnsi="UnitPro" w:cs="UnitPro"/>
          <w:b/>
          <w:sz w:val="22"/>
          <w:szCs w:val="22"/>
        </w:rPr>
        <w:t xml:space="preserve">Objednávku,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ji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r w:rsidR="00B27D44">
        <w:rPr>
          <w:rFonts w:ascii="UnitPro" w:hAnsi="UnitPro" w:cs="UnitPro"/>
          <w:b/>
          <w:sz w:val="22"/>
          <w:szCs w:val="22"/>
        </w:rPr>
        <w:t>xxxxxxxxxxxxxxxxx</w:t>
      </w:r>
      <w:bookmarkStart w:id="0" w:name="_GoBack"/>
      <w:bookmarkEnd w:id="0"/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byla doručena.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239B5721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196A5CC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0767605" w14:textId="77777777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objednávky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7B9A5FF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C60E291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69A71E7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14:paraId="4E108F65" w14:textId="16730D8A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p w14:paraId="549CBFAB" w14:textId="01042102" w:rsidR="00F811C5" w:rsidRDefault="00EF1F47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>MgA. Radek František Václavík</w:t>
      </w:r>
    </w:p>
    <w:p w14:paraId="295A9BE4" w14:textId="77777777" w:rsidR="00FE7E96" w:rsidRPr="00EF1F47" w:rsidRDefault="00FE7E96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1C71E042" w14:textId="77777777" w:rsidR="00F811C5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14:paraId="57B51559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900DB36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39B1250D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5BE7268F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10E68554" w14:textId="23F3872A" w:rsidR="00264085" w:rsidRPr="00D04A66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objednávku prostým e-mailem, resp. do odpovědi v textu e-mailu uveďte: </w:t>
      </w:r>
      <w:r w:rsidR="00FE7E96">
        <w:rPr>
          <w:rFonts w:ascii="UnitPro" w:hAnsi="UnitPro" w:cs="UnitPro"/>
          <w:b/>
          <w:sz w:val="22"/>
          <w:szCs w:val="22"/>
        </w:rPr>
        <w:t>„</w:t>
      </w:r>
      <w:r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DF338B">
        <w:rPr>
          <w:rFonts w:ascii="UnitPro" w:hAnsi="UnitPro" w:cs="UnitPro"/>
          <w:b/>
          <w:sz w:val="22"/>
          <w:szCs w:val="22"/>
        </w:rPr>
        <w:t xml:space="preserve">vaši </w:t>
      </w:r>
      <w:r w:rsidR="0090307A">
        <w:rPr>
          <w:rFonts w:ascii="UnitPro" w:hAnsi="UnitPro" w:cs="UnitPro"/>
          <w:b/>
          <w:sz w:val="22"/>
          <w:szCs w:val="22"/>
        </w:rPr>
        <w:t>objednávku č. </w:t>
      </w:r>
      <w:r w:rsidR="000358BC">
        <w:rPr>
          <w:rFonts w:ascii="UnitPro" w:hAnsi="UnitPro" w:cs="UnitPro"/>
          <w:b/>
          <w:sz w:val="22"/>
          <w:szCs w:val="22"/>
        </w:rPr>
        <w:t>ZAK </w:t>
      </w:r>
      <w:r w:rsidR="0090307A">
        <w:rPr>
          <w:rFonts w:ascii="UnitPro" w:hAnsi="UnitPro" w:cs="UnitPro"/>
          <w:b/>
          <w:sz w:val="22"/>
          <w:szCs w:val="22"/>
        </w:rPr>
        <w:t>20- 0205</w:t>
      </w:r>
      <w:r w:rsidR="00FE7E96">
        <w:rPr>
          <w:rFonts w:ascii="UnitPro" w:hAnsi="UnitPro" w:cs="UnitPro"/>
          <w:b/>
          <w:sz w:val="22"/>
          <w:szCs w:val="22"/>
        </w:rPr>
        <w:t>“</w:t>
      </w:r>
      <w:r w:rsidR="00EF1F47">
        <w:rPr>
          <w:rFonts w:ascii="UnitPro" w:hAnsi="UnitPro" w:cs="UnitPro"/>
          <w:b/>
          <w:sz w:val="22"/>
          <w:szCs w:val="22"/>
        </w:rPr>
        <w:t>.</w:t>
      </w:r>
      <w:r w:rsidRPr="00D04A66">
        <w:rPr>
          <w:rFonts w:ascii="UnitPro" w:hAnsi="UnitPro" w:cs="UnitPro"/>
          <w:b/>
          <w:sz w:val="22"/>
          <w:szCs w:val="22"/>
        </w:rPr>
        <w:t xml:space="preserve"> 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8F4E5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560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2AFF" w14:textId="77777777" w:rsidR="00462EC6" w:rsidRDefault="00462EC6">
      <w:r>
        <w:separator/>
      </w:r>
    </w:p>
  </w:endnote>
  <w:endnote w:type="continuationSeparator" w:id="0">
    <w:p w14:paraId="3D3DB66A" w14:textId="77777777" w:rsidR="00462EC6" w:rsidRDefault="004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E491" w14:textId="08EF39E0" w:rsidR="009026B4" w:rsidRPr="00952A7B" w:rsidRDefault="009F1D87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BD1438E" wp14:editId="767BDD8C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97CB3" wp14:editId="15F6B4F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836ECB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7CB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50836ECB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9B7F8" w14:textId="7E5D36E8" w:rsidR="009026B4" w:rsidRDefault="009F1D8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69949" wp14:editId="4A035EEB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F4A3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99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19EBF4A3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3F3647C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B62B625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44F2A61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2BDBD6B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BC81F9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76FBA4B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1789" w14:textId="77777777" w:rsidR="00462EC6" w:rsidRDefault="00462EC6">
      <w:r>
        <w:separator/>
      </w:r>
    </w:p>
  </w:footnote>
  <w:footnote w:type="continuationSeparator" w:id="0">
    <w:p w14:paraId="12B4FCBD" w14:textId="77777777" w:rsidR="00462EC6" w:rsidRDefault="0046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707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C212933" w14:textId="1BB40E09" w:rsidR="00533529" w:rsidRPr="00273BB2" w:rsidRDefault="009F1D8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745621A" wp14:editId="37E735C8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29" w:rsidRPr="00273BB2">
      <w:rPr>
        <w:rFonts w:ascii="UnitPro" w:hAnsi="UnitPro" w:cs="UnitPro"/>
        <w:sz w:val="28"/>
      </w:rPr>
      <w:t xml:space="preserve">Objednávka číslo: ZAK </w:t>
    </w:r>
    <w:r w:rsidR="0090307A">
      <w:rPr>
        <w:rFonts w:ascii="UnitPro" w:hAnsi="UnitPro" w:cs="UnitPro"/>
        <w:sz w:val="28"/>
      </w:rPr>
      <w:t>20-0205</w:t>
    </w:r>
  </w:p>
  <w:p w14:paraId="55E4EF6E" w14:textId="1D038E10" w:rsidR="009026B4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24468922" w14:textId="77777777" w:rsidR="005A23FF" w:rsidRPr="00896D8F" w:rsidRDefault="005A23FF" w:rsidP="00533529">
    <w:pPr>
      <w:pStyle w:val="Zhlav"/>
      <w:tabs>
        <w:tab w:val="clear" w:pos="4536"/>
        <w:tab w:val="clear" w:pos="9072"/>
        <w:tab w:val="left" w:pos="3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14E6" w14:textId="258FE9C3" w:rsidR="009026B4" w:rsidRDefault="009F1D8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D197E7" wp14:editId="7D32EBE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6D75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09C0EC10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92CCB06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197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38B16D75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09C0EC10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92CCB06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BD2739" wp14:editId="1F6E9217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6FAF4" w14:textId="4A437264" w:rsidR="009026B4" w:rsidRDefault="009F1D8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84838" wp14:editId="2C68C467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D2739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7406FAF4" w14:textId="4A437264" w:rsidR="009026B4" w:rsidRDefault="009F1D8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584838" wp14:editId="2C68C467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521138"/>
    <w:multiLevelType w:val="hybridMultilevel"/>
    <w:tmpl w:val="6764C082"/>
    <w:lvl w:ilvl="0" w:tplc="6666DFC6">
      <w:numFmt w:val="bullet"/>
      <w:lvlText w:val="-"/>
      <w:lvlJc w:val="left"/>
      <w:pPr>
        <w:ind w:left="213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AE3"/>
    <w:multiLevelType w:val="hybridMultilevel"/>
    <w:tmpl w:val="058661FC"/>
    <w:lvl w:ilvl="0" w:tplc="52BEA6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24508"/>
    <w:multiLevelType w:val="hybridMultilevel"/>
    <w:tmpl w:val="0EFE934A"/>
    <w:lvl w:ilvl="0" w:tplc="E258F59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83F52"/>
    <w:multiLevelType w:val="hybridMultilevel"/>
    <w:tmpl w:val="47B099EE"/>
    <w:lvl w:ilvl="0" w:tplc="E4BC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F"/>
    <w:rsid w:val="0000044F"/>
    <w:rsid w:val="00004EF5"/>
    <w:rsid w:val="000050A7"/>
    <w:rsid w:val="00011146"/>
    <w:rsid w:val="000123BB"/>
    <w:rsid w:val="000358BC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27932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0AE7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3E7F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2EC6"/>
    <w:rsid w:val="00464CA5"/>
    <w:rsid w:val="00466AD0"/>
    <w:rsid w:val="004711AA"/>
    <w:rsid w:val="00472117"/>
    <w:rsid w:val="00473270"/>
    <w:rsid w:val="004737BD"/>
    <w:rsid w:val="00480B4F"/>
    <w:rsid w:val="0048597C"/>
    <w:rsid w:val="00485E85"/>
    <w:rsid w:val="00486CCC"/>
    <w:rsid w:val="004A3900"/>
    <w:rsid w:val="004B3001"/>
    <w:rsid w:val="004B625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3FF"/>
    <w:rsid w:val="005A2591"/>
    <w:rsid w:val="005B1CD0"/>
    <w:rsid w:val="005B24EA"/>
    <w:rsid w:val="005C3DB3"/>
    <w:rsid w:val="005D0F50"/>
    <w:rsid w:val="005D3E57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5AFF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8F4E51"/>
    <w:rsid w:val="009026B4"/>
    <w:rsid w:val="0090297A"/>
    <w:rsid w:val="0090307A"/>
    <w:rsid w:val="00917AE0"/>
    <w:rsid w:val="00920D5C"/>
    <w:rsid w:val="00923B5B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CDF"/>
    <w:rsid w:val="009F1D87"/>
    <w:rsid w:val="009F5101"/>
    <w:rsid w:val="009F5604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472"/>
    <w:rsid w:val="00A46F44"/>
    <w:rsid w:val="00A519CC"/>
    <w:rsid w:val="00A52758"/>
    <w:rsid w:val="00A54E6F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27D44"/>
    <w:rsid w:val="00B4235F"/>
    <w:rsid w:val="00B4275C"/>
    <w:rsid w:val="00B43600"/>
    <w:rsid w:val="00B445A1"/>
    <w:rsid w:val="00B52487"/>
    <w:rsid w:val="00B542AD"/>
    <w:rsid w:val="00B61D98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D39D9"/>
    <w:rsid w:val="00BE070A"/>
    <w:rsid w:val="00BE2C51"/>
    <w:rsid w:val="00BE36E2"/>
    <w:rsid w:val="00BE4A02"/>
    <w:rsid w:val="00BE50CC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2A59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EF1F47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E7E96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5024CF"/>
  <w15:chartTrackingRefBased/>
  <w15:docId w15:val="{40BD2218-C8E2-4474-BD6B-66557E7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59879-EE31-4443-819A-ADCBCDC239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93386-9C3B-4C1C-B369-BB08FE20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771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5914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6</cp:revision>
  <cp:lastPrinted>2019-12-06T17:50:00Z</cp:lastPrinted>
  <dcterms:created xsi:type="dcterms:W3CDTF">2019-12-10T09:29:00Z</dcterms:created>
  <dcterms:modified xsi:type="dcterms:W3CDTF">2020-07-24T07:04:00Z</dcterms:modified>
</cp:coreProperties>
</file>