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E" w:rsidRPr="002B6A79" w:rsidRDefault="001F5DBE" w:rsidP="002B6A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 100/2013</w:t>
      </w:r>
    </w:p>
    <w:p w:rsidR="001F5DBE" w:rsidRPr="002B6A79" w:rsidRDefault="001F5DBE" w:rsidP="002B6A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uzavřená dle § 409 a násl. Obchodního zákoníku</w:t>
      </w: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2P SERVIS s.r.o.  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Zastoupení: Petr Pajma, jednatel společnosti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Sídlo: Smetanova 593, 342 01 Sušice II      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Korespondenční adresa: Nádražní, Areál bývalých kasáren, 342 01 Sušice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IČ: 28049390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CZ28049390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Č. účtu: </w:t>
      </w:r>
      <w:r w:rsidR="00141F44">
        <w:rPr>
          <w:rFonts w:ascii="Times New Roman" w:hAnsi="Times New Roman" w:cs="Times New Roman"/>
          <w:sz w:val="24"/>
          <w:szCs w:val="24"/>
          <w:lang w:eastAsia="cs-CZ"/>
        </w:rPr>
        <w:t>xxxxxxx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Městská správa sociálních služeb v Mostě - příspěvková organizace     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Zastoupen</w:t>
      </w:r>
      <w:r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:  Ing. Vlast</w:t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Jakubcov</w:t>
      </w:r>
      <w:r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, ředitelk</w:t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1F5DBE" w:rsidRPr="002B6A79" w:rsidRDefault="001F5DBE" w:rsidP="002B6A7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Sídlo: Barvířská 495, 434 01 Most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Adresa pro doručování: Barvířská 495, 434 01 Most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IČ: 00831212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CZ00831212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č. účtu: </w:t>
      </w:r>
      <w:r w:rsidR="00141F44">
        <w:rPr>
          <w:rFonts w:ascii="Times New Roman" w:hAnsi="Times New Roman" w:cs="Times New Roman"/>
          <w:sz w:val="24"/>
          <w:szCs w:val="24"/>
          <w:lang w:eastAsia="cs-CZ"/>
        </w:rPr>
        <w:t>xxxxxxx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„kupující“)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se dnešního dne dohodli o níže uvedeném :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I 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Předmětem této smlouvy je dodávka ochranných osobních pracovních prostředků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dalších výrobků (dále jen „zboží“) na základě objednávek kupujícího.  </w:t>
      </w:r>
    </w:p>
    <w:p w:rsidR="001F5DBE" w:rsidRPr="002B6A79" w:rsidRDefault="001F5DBE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1.2.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 prohlašuje, že </w:t>
      </w:r>
      <w:r w:rsidRPr="002B6A79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je zaměstnavatelem, který zaměstnává více než 50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% zaměstnanců, kteří jsou osobami se zdravotním postižením a tím plní pro ostatní zaměstnavatele podmínku uvedenou v § 81 odst. 2 písm. b) zákona č. 435/2004 Sb., o</w:t>
      </w: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zaměstnanosti, ve znění pozdějších předpisů.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Splnění uvedené skutečnosti bude vyznačeno na každé vystavené faktuře. Prodávající se zavazuje vystavit kupujícímu o této skutečnosti příslušné doklady.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1.3.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Výslovně se sjednává, že kupující není touto smlouvou omezen v právu sjednávat dodávky zboží s jinými dodavateli.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a platební podmínky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F5DBE" w:rsidRDefault="001F5DBE" w:rsidP="002B6A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Druh zboží, jeho množství, termín dodání a případná další kritéria budou upřesňována</w:t>
      </w:r>
    </w:p>
    <w:p w:rsidR="001F5DBE" w:rsidRDefault="001F5DBE" w:rsidP="0046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elektronickými nebo telefonickými objednávkami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. Ceny jsou platné dle přílohy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č. </w:t>
      </w:r>
      <w:r>
        <w:rPr>
          <w:rFonts w:ascii="Times New Roman" w:hAnsi="Times New Roman" w:cs="Times New Roman"/>
          <w:sz w:val="24"/>
          <w:szCs w:val="24"/>
          <w:lang w:eastAsia="cs-CZ"/>
        </w:rPr>
        <w:t>1 Ceník dodávaného sortimentu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. V případě objednání sortimentu, který není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uveden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F5DBE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v ceníku, se na tento sortiment vztahuje sleva 2</w:t>
      </w:r>
      <w:r>
        <w:rPr>
          <w:rFonts w:ascii="Times New Roman" w:hAnsi="Times New Roman" w:cs="Times New Roman"/>
          <w:sz w:val="24"/>
          <w:szCs w:val="24"/>
          <w:lang w:eastAsia="cs-CZ"/>
        </w:rPr>
        <w:t>0% z ceny bez DPH. Nutné výjimky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se budou řešit individu</w:t>
      </w:r>
      <w:r>
        <w:rPr>
          <w:rFonts w:ascii="Times New Roman" w:hAnsi="Times New Roman" w:cs="Times New Roman"/>
          <w:sz w:val="24"/>
          <w:szCs w:val="24"/>
          <w:lang w:eastAsia="cs-CZ"/>
        </w:rPr>
        <w:t>álně. O případných změnách cen uvedených v příloze č. 1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 neprodleně informuje kupujícího a dále tato změna bude předmětem jednání.</w:t>
      </w:r>
    </w:p>
    <w:p w:rsidR="001F5DBE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F5DBE" w:rsidRPr="00F42144" w:rsidRDefault="001F5DBE" w:rsidP="00970EB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cs-CZ"/>
        </w:rPr>
        <w:t>Doprava objednaného zboží bude</w:t>
      </w:r>
      <w:r w:rsidRPr="00F4214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realizována smluvními partnery</w:t>
      </w:r>
      <w:r w:rsidRPr="00F42144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prodávajícího (</w:t>
      </w:r>
      <w:r>
        <w:rPr>
          <w:rFonts w:ascii="Times New Roman" w:hAnsi="Times New Roman" w:cs="Times New Roman"/>
          <w:sz w:val="24"/>
          <w:szCs w:val="24"/>
          <w:lang w:eastAsia="cs-CZ"/>
        </w:rPr>
        <w:t>Česká pošta</w:t>
      </w:r>
      <w:r w:rsidRPr="00F42144">
        <w:rPr>
          <w:rFonts w:ascii="Times New Roman" w:hAnsi="Times New Roman" w:cs="Times New Roman"/>
          <w:sz w:val="24"/>
          <w:szCs w:val="24"/>
          <w:lang w:eastAsia="cs-CZ"/>
        </w:rPr>
        <w:t>, PPL) v pracovní dny od 7,00 do 14,30 hodin. Nedílnou součástí každé dodávky bude doklad o předání a převzetí zboží (daňový doklad, dodací list). V rámci smluvního ujednání bude dopravné hrazeno prodávajícím po celou dobu platnosti smlouvy.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2.3.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Dodávka je splněna dodáním předmětu plnění do místa plnění dle této smlouvy s potvrzením o převzetí odpovědným pracovníkem kupujícího, který zkontroluje obsah dodávky s dodacím listem, kvalitu zboží a neporušenost obalů. Případné nesrovnalosti vyřeší na místě. Nebude-li možné provést přejímku ihned po reálném přijetí zboží, lze nesrovnalosti reklamovat během dalšího následujícího pracovního dne, kdy budou vyřešeny důvody neuskutečnění převzetí zboží. Potvrzením o převzetí přechází vlastnické právo na kupujícího. 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2.4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>zboží nepřijmout v případě poškozeného obalu, které by mohlo vést k poškození obsahu.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2.5.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Kupující může i po proběhnutí přejímky reklamovat zboží, především pro jeho kvalitu.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Toto zboží vrátí prodávajícímu a ten je povinen vystavit dobropis na vrácené zboží.</w:t>
      </w: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2.6.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Faktury  budou vystavovány se 14ti-denní splatností, v případě prodlení bude účtován úrok z prodlení z dlužné částky za každý i započatý den prodlení, stanovený dle nařízení občanského zákoníku, ve znění pozdějších předpisů.</w:t>
      </w:r>
    </w:p>
    <w:p w:rsidR="001F5DBE" w:rsidRDefault="001F5DBE" w:rsidP="00970E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465528" w:rsidRDefault="001F5DBE" w:rsidP="0097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28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465528">
        <w:rPr>
          <w:rFonts w:ascii="Times New Roman" w:hAnsi="Times New Roman" w:cs="Times New Roman"/>
          <w:sz w:val="24"/>
          <w:szCs w:val="24"/>
        </w:rPr>
        <w:t xml:space="preserve"> Kupující požaduje, aby mu prodávající v roce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5528">
        <w:rPr>
          <w:rFonts w:ascii="Times New Roman" w:hAnsi="Times New Roman" w:cs="Times New Roman"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300.000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1F5DBE" w:rsidRDefault="001F5DBE" w:rsidP="00970EB0">
      <w:pPr>
        <w:pStyle w:val="Zklad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Pr="00970EB0">
        <w:rPr>
          <w:rFonts w:ascii="Times New Roman" w:hAnsi="Times New Roman" w:cs="Times New Roman"/>
          <w:sz w:val="24"/>
          <w:szCs w:val="24"/>
        </w:rPr>
        <w:t xml:space="preserve"> Pokud správce daně zveřejnil způsobem umožňujícím dálkový přístup čísla účtu, které prodávající určil v přihlášce k registraci plátce DPH ke zveřejnění, považuje se povinnost kupujícího zaplatit DPH za splněnou připsáním DPH na takto zveřejněný účet.</w:t>
      </w:r>
    </w:p>
    <w:p w:rsidR="001F5DBE" w:rsidRPr="00970EB0" w:rsidRDefault="001F5DBE" w:rsidP="0097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Pr="00970EB0">
        <w:rPr>
          <w:rFonts w:ascii="Times New Roman" w:hAnsi="Times New Roman" w:cs="Times New Roman"/>
          <w:sz w:val="24"/>
          <w:szCs w:val="24"/>
        </w:rPr>
        <w:t xml:space="preserve">Pro případ, že se prodávající stane nespolehlivým plátcem ve smyslu § 106a zákona </w:t>
      </w:r>
      <w:r w:rsidRPr="00970EB0">
        <w:rPr>
          <w:rFonts w:ascii="Times New Roman" w:hAnsi="Times New Roman" w:cs="Times New Roman"/>
          <w:sz w:val="24"/>
          <w:szCs w:val="24"/>
        </w:rPr>
        <w:br/>
        <w:t xml:space="preserve">č. 235/2004 Sb., o dani z přidané hodnoty, ve znění pozdějších předpisů, se smluvní strany </w:t>
      </w:r>
      <w:r w:rsidRPr="00970EB0">
        <w:rPr>
          <w:rFonts w:ascii="Times New Roman" w:hAnsi="Times New Roman" w:cs="Times New Roman"/>
          <w:sz w:val="24"/>
          <w:szCs w:val="24"/>
        </w:rPr>
        <w:br/>
        <w:t>ve smyslu § 109a cit. zákona dohodly, že kupující  zaplatí cenu plnění takto:</w:t>
      </w:r>
    </w:p>
    <w:p w:rsidR="001F5DBE" w:rsidRPr="00970EB0" w:rsidRDefault="001F5DBE" w:rsidP="00970EB0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cenu plnění bez DPH zaplatí na účet prodávajícího vedený u </w:t>
      </w:r>
      <w:r w:rsidR="00141F44">
        <w:rPr>
          <w:rFonts w:ascii="Times New Roman" w:hAnsi="Times New Roman" w:cs="Times New Roman"/>
          <w:sz w:val="24"/>
          <w:szCs w:val="24"/>
        </w:rPr>
        <w:t>xxxxx,</w:t>
      </w:r>
      <w:r w:rsidRPr="00970EB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</w:t>
      </w:r>
      <w:r w:rsidRPr="00970EB0">
        <w:rPr>
          <w:rFonts w:ascii="Times New Roman" w:hAnsi="Times New Roman" w:cs="Times New Roman"/>
          <w:sz w:val="24"/>
          <w:szCs w:val="24"/>
        </w:rPr>
        <w:t xml:space="preserve"> účtu </w:t>
      </w:r>
      <w:r w:rsidR="00141F44">
        <w:rPr>
          <w:rFonts w:ascii="Times New Roman" w:hAnsi="Times New Roman" w:cs="Times New Roman"/>
          <w:sz w:val="24"/>
          <w:szCs w:val="24"/>
        </w:rPr>
        <w:t>xxxxx</w:t>
      </w:r>
    </w:p>
    <w:p w:rsidR="001F5DBE" w:rsidRPr="00970EB0" w:rsidRDefault="001F5DBE" w:rsidP="00970EB0">
      <w:pPr>
        <w:pStyle w:val="Zkladntext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b)  DPH zaplatí na účet </w:t>
      </w:r>
      <w:r w:rsidR="00141F4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pod variabilním symbolem č. </w:t>
      </w:r>
      <w:r w:rsidR="00141F4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konstantní symbol č. </w:t>
      </w:r>
      <w:r w:rsidR="00141F44">
        <w:rPr>
          <w:rFonts w:ascii="Times New Roman" w:hAnsi="Times New Roman" w:cs="Times New Roman"/>
          <w:sz w:val="24"/>
          <w:szCs w:val="24"/>
        </w:rPr>
        <w:t>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specifický symbol č. </w:t>
      </w:r>
      <w:r w:rsidR="00141F4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ve zprávě pro příjemce bude uveden den uskutečněného zdanitelného plnění.</w:t>
      </w:r>
    </w:p>
    <w:p w:rsidR="001F5DBE" w:rsidRPr="00970EB0" w:rsidRDefault="001F5DBE" w:rsidP="00970EB0">
      <w:pPr>
        <w:pStyle w:val="Zkladn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lastRenderedPageBreak/>
        <w:t xml:space="preserve">Prodávající ujišťuje kupujícího, že číslo matriky </w:t>
      </w:r>
      <w:r w:rsidR="00141F44">
        <w:rPr>
          <w:rFonts w:ascii="Times New Roman" w:hAnsi="Times New Roman" w:cs="Times New Roman"/>
          <w:sz w:val="24"/>
          <w:szCs w:val="24"/>
        </w:rPr>
        <w:t>xxxxxxx</w:t>
      </w:r>
      <w:bookmarkStart w:id="0" w:name="_GoBack"/>
      <w:bookmarkEnd w:id="0"/>
      <w:r w:rsidRPr="00970EB0">
        <w:rPr>
          <w:rFonts w:ascii="Times New Roman" w:hAnsi="Times New Roman" w:cs="Times New Roman"/>
          <w:sz w:val="24"/>
          <w:szCs w:val="24"/>
        </w:rPr>
        <w:t xml:space="preserve"> je číslem matriky bankovního účtu příslušného finančního úřadu (správce daně), a tedy součástí čísla bankovního účtu správce daně, na který prodávající platí DPH.</w:t>
      </w: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1F5DBE" w:rsidRPr="00970EB0" w:rsidRDefault="001F5DBE" w:rsidP="00970EB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>Při placení DPH bude kupující postupovat podle § 109a cit. zákona.</w:t>
      </w:r>
    </w:p>
    <w:p w:rsidR="001F5DBE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III</w:t>
      </w:r>
    </w:p>
    <w:p w:rsidR="001F5DBE" w:rsidRPr="002B6A79" w:rsidRDefault="001F5DBE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Tato smlouva nabývá účinnosti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1. ledna 2014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. Uzavírá se na dobu určitou, do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31.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prosince 201</w:t>
      </w: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. Pokud výše peněžitého plnění kupujícího poskytovaného prodávajícímu na základě této kupní smlouvy dosáhne částky 1.000 tis. bez DPH přede dnem 31. prosince 201</w:t>
      </w: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, pozbývá tato smlouva účinnosti v den, kdy výše popsaného peněžitého plnění odběratele dosáhne částky 1.000 tis. bez DPH.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3.2.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Platnost této smlouvy lze ukončit písemnou dohodou obou smluvních stran nebo výpovědí s jednoměsíční výpovědní lhůtou. Výpovědní lhůta začíná běžet prvním dnem měsíce následujícího po měsíci, v němž bude druhé straně doručena písemná výpověď.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3.3.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Jakékoli změny této smlouvy mohou být provedeny ve formě písemných dodatků.</w:t>
      </w: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3.4.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Smluvní strany výslovně souhlasí s tím, aby tato smlouva byla v evidenci smluv vedené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kupujícím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která bude přístupná dle zákona č. 106/1999 Sb., o svobodném přístupu k informacím, ve znění pozdějších předpisů a která obsahuje údaje o smluvních stranách, předmětu smlouvy, číselné označení dohody a datum jejího uzavření. Smluvní strany prohlašují, že skutečnosti uvedené v této smlouvě nepovažují za obchodní tajemství a udělují svolení k jejich zpřístupnění ve smyslu zákona č. 106/1999 Sb., o svobodném přístupu k informacím, ve znění pozdějších předpisů a ke zveřejnění bez stanovení jakýchkoli dalších podmínek. 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3.5.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Sjednává se, že smluvní strany považují povinnost doručit písemnost do vlastních rukou za splněnou i v případě, že adresát zásilku, odeslanou na jeho v této dohodě uvedenou či naposledy písemně oznámenou adresu pro doručování, odmítne převzít, její doručení zmaří nebo si ji v odběrní lhůtě nevyzvedne, a to dnem, kdy se zásilka vrátí zpět odesílateli.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3.6.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Prodávající se zavazuje vystavit kupujícímu po uzavření účetního období potvrzení o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celkové výši nakoupeného náhradního plnění, kterým kupující prokáže příslušným úřadům, že řádně splnil své povinnosti uložené mu zákonem č. 435/2004 Sb. o zaměstnanosti, ve znění pozdějších předpisů.</w:t>
      </w:r>
    </w:p>
    <w:p w:rsidR="001F5DBE" w:rsidRPr="002B6A79" w:rsidRDefault="001F5DBE" w:rsidP="002B6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3.7.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Tato smlouva je sepsána ve dvou vyhotoveních, přičemž každá ze smluvních stran obdrží jedno vyhotovení.</w:t>
      </w:r>
    </w:p>
    <w:p w:rsidR="001F5DBE" w:rsidRPr="00970EB0" w:rsidRDefault="001F5DBE" w:rsidP="002B6A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</w:p>
    <w:p w:rsidR="001F5DBE" w:rsidRDefault="001F5DBE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Sušice dne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1F5DBE" w:rsidRDefault="001F5DBE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5DBE" w:rsidRPr="002B6A79" w:rsidRDefault="001F5DBE" w:rsidP="00970EB0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1F5DBE" w:rsidRPr="002B6A79" w:rsidRDefault="001F5DBE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Petr Pajma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Vlasta Jakubcová   </w:t>
      </w:r>
    </w:p>
    <w:p w:rsidR="001F5DBE" w:rsidRPr="00970EB0" w:rsidRDefault="001F5DBE" w:rsidP="00970E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jednatel společnosti                                                      ředitelka organizace             </w:t>
      </w:r>
    </w:p>
    <w:sectPr w:rsidR="001F5DBE" w:rsidRPr="00970EB0" w:rsidSect="001D60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DA" w:rsidRDefault="00AF39DA" w:rsidP="000F2A9D">
      <w:pPr>
        <w:spacing w:after="0" w:line="240" w:lineRule="auto"/>
      </w:pPr>
      <w:r>
        <w:separator/>
      </w:r>
    </w:p>
  </w:endnote>
  <w:endnote w:type="continuationSeparator" w:id="0">
    <w:p w:rsidR="00AF39DA" w:rsidRDefault="00AF39DA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E" w:rsidRDefault="001F5DBE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1F4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DA" w:rsidRDefault="00AF39DA" w:rsidP="000F2A9D">
      <w:pPr>
        <w:spacing w:after="0" w:line="240" w:lineRule="auto"/>
      </w:pPr>
      <w:r>
        <w:separator/>
      </w:r>
    </w:p>
  </w:footnote>
  <w:footnote w:type="continuationSeparator" w:id="0">
    <w:p w:rsidR="00AF39DA" w:rsidRDefault="00AF39DA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E" w:rsidRDefault="00AF39D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-17.2pt;width:113.25pt;height:42.75pt;z-index:1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79"/>
    <w:rsid w:val="00080992"/>
    <w:rsid w:val="000F2A9D"/>
    <w:rsid w:val="00141F44"/>
    <w:rsid w:val="001D600A"/>
    <w:rsid w:val="001E3BEB"/>
    <w:rsid w:val="001F5DBE"/>
    <w:rsid w:val="002B6A79"/>
    <w:rsid w:val="002F72F2"/>
    <w:rsid w:val="00415909"/>
    <w:rsid w:val="00431BAC"/>
    <w:rsid w:val="00465528"/>
    <w:rsid w:val="004C06A8"/>
    <w:rsid w:val="004F2D0D"/>
    <w:rsid w:val="005365B3"/>
    <w:rsid w:val="006129CD"/>
    <w:rsid w:val="006B3ADC"/>
    <w:rsid w:val="006D390F"/>
    <w:rsid w:val="00764062"/>
    <w:rsid w:val="0089518B"/>
    <w:rsid w:val="0094080A"/>
    <w:rsid w:val="00970EB0"/>
    <w:rsid w:val="00993B5B"/>
    <w:rsid w:val="009B024A"/>
    <w:rsid w:val="009F3F22"/>
    <w:rsid w:val="009F7681"/>
    <w:rsid w:val="00AF39DA"/>
    <w:rsid w:val="00BC03ED"/>
    <w:rsid w:val="00C05D9F"/>
    <w:rsid w:val="00C7294C"/>
    <w:rsid w:val="00CB443D"/>
    <w:rsid w:val="00CE7E99"/>
    <w:rsid w:val="00D3443E"/>
    <w:rsid w:val="00D52B4B"/>
    <w:rsid w:val="00D54B18"/>
    <w:rsid w:val="00EF13A4"/>
    <w:rsid w:val="00F3164F"/>
    <w:rsid w:val="00F42144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970EB0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EB0"/>
    <w:rPr>
      <w:rFonts w:ascii="Calibri" w:hAnsi="Calibri" w:cs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1076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PC</dc:creator>
  <cp:keywords/>
  <dc:description/>
  <cp:lastModifiedBy>Michaela Nermuťová</cp:lastModifiedBy>
  <cp:revision>7</cp:revision>
  <cp:lastPrinted>2011-04-11T08:13:00Z</cp:lastPrinted>
  <dcterms:created xsi:type="dcterms:W3CDTF">2013-11-20T08:02:00Z</dcterms:created>
  <dcterms:modified xsi:type="dcterms:W3CDTF">2017-02-02T12:01:00Z</dcterms:modified>
</cp:coreProperties>
</file>