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3F5FF" w14:textId="77777777" w:rsidR="004B5B4A" w:rsidRPr="008166AF" w:rsidRDefault="004B5B4A" w:rsidP="00F02929">
      <w:pPr>
        <w:widowControl w:val="0"/>
        <w:suppressAutoHyphens/>
        <w:spacing w:before="60" w:after="0"/>
        <w:jc w:val="center"/>
        <w:rPr>
          <w:caps/>
          <w:spacing w:val="20"/>
          <w:szCs w:val="24"/>
        </w:rPr>
      </w:pPr>
    </w:p>
    <w:p w14:paraId="0200E5D3" w14:textId="77777777" w:rsidR="005B54B6" w:rsidRDefault="005B54B6" w:rsidP="00F02929">
      <w:pPr>
        <w:widowControl w:val="0"/>
        <w:suppressAutoHyphens/>
        <w:spacing w:after="0"/>
        <w:jc w:val="center"/>
        <w:rPr>
          <w:b/>
          <w:caps/>
          <w:sz w:val="28"/>
          <w:szCs w:val="26"/>
        </w:rPr>
      </w:pPr>
      <w:r>
        <w:rPr>
          <w:b/>
          <w:caps/>
          <w:sz w:val="28"/>
          <w:szCs w:val="26"/>
        </w:rPr>
        <w:t xml:space="preserve">Dodatek č. 1 </w:t>
      </w:r>
    </w:p>
    <w:p w14:paraId="1E30F501" w14:textId="4999991A" w:rsidR="004B5B4A" w:rsidRPr="008166AF" w:rsidRDefault="005B54B6" w:rsidP="00F02929">
      <w:pPr>
        <w:widowControl w:val="0"/>
        <w:suppressAutoHyphens/>
        <w:spacing w:after="0"/>
        <w:jc w:val="center"/>
        <w:rPr>
          <w:b/>
          <w:caps/>
          <w:sz w:val="28"/>
          <w:szCs w:val="26"/>
        </w:rPr>
      </w:pPr>
      <w:r>
        <w:rPr>
          <w:b/>
          <w:caps/>
          <w:sz w:val="28"/>
          <w:szCs w:val="26"/>
        </w:rPr>
        <w:t xml:space="preserve">ke </w:t>
      </w:r>
      <w:r w:rsidR="004B5B4A" w:rsidRPr="008166AF">
        <w:rPr>
          <w:b/>
          <w:caps/>
          <w:sz w:val="28"/>
          <w:szCs w:val="26"/>
        </w:rPr>
        <w:t>Smlouv</w:t>
      </w:r>
      <w:r>
        <w:rPr>
          <w:b/>
          <w:caps/>
          <w:sz w:val="28"/>
          <w:szCs w:val="26"/>
        </w:rPr>
        <w:t>ě</w:t>
      </w:r>
      <w:r w:rsidR="004B5B4A">
        <w:rPr>
          <w:b/>
          <w:caps/>
          <w:sz w:val="28"/>
          <w:szCs w:val="26"/>
        </w:rPr>
        <w:t xml:space="preserve"> o poskytování právních služeb</w:t>
      </w:r>
    </w:p>
    <w:p w14:paraId="5733F823" w14:textId="77777777" w:rsidR="004B5B4A" w:rsidRPr="008166AF" w:rsidRDefault="004B5B4A" w:rsidP="00F02929">
      <w:pPr>
        <w:widowControl w:val="0"/>
        <w:suppressAutoHyphens/>
        <w:spacing w:after="0"/>
        <w:jc w:val="center"/>
        <w:rPr>
          <w:szCs w:val="21"/>
        </w:rPr>
      </w:pPr>
    </w:p>
    <w:p w14:paraId="7FC32935" w14:textId="77777777" w:rsidR="004B5B4A" w:rsidRPr="008166AF" w:rsidRDefault="004B5B4A" w:rsidP="00F02929">
      <w:pPr>
        <w:widowControl w:val="0"/>
        <w:suppressAutoHyphens/>
        <w:spacing w:after="0"/>
        <w:jc w:val="center"/>
        <w:rPr>
          <w:szCs w:val="21"/>
        </w:rPr>
      </w:pPr>
    </w:p>
    <w:p w14:paraId="7D10D5EE" w14:textId="77777777" w:rsidR="004B5B4A" w:rsidRPr="008166AF" w:rsidRDefault="004B5B4A" w:rsidP="00F02929">
      <w:pPr>
        <w:widowControl w:val="0"/>
        <w:suppressAutoHyphens/>
        <w:spacing w:after="0"/>
        <w:jc w:val="center"/>
        <w:rPr>
          <w:szCs w:val="21"/>
        </w:rPr>
      </w:pPr>
    </w:p>
    <w:p w14:paraId="09EBF916" w14:textId="77777777" w:rsidR="004B5B4A" w:rsidRPr="008166AF" w:rsidRDefault="004B5B4A" w:rsidP="00F02929">
      <w:pPr>
        <w:widowControl w:val="0"/>
        <w:suppressAutoHyphens/>
        <w:spacing w:after="0"/>
        <w:jc w:val="center"/>
        <w:rPr>
          <w:szCs w:val="21"/>
        </w:rPr>
      </w:pPr>
      <w:r w:rsidRPr="008166AF">
        <w:rPr>
          <w:szCs w:val="21"/>
        </w:rPr>
        <w:t>mezi</w:t>
      </w:r>
    </w:p>
    <w:p w14:paraId="3CBF6A94" w14:textId="77777777" w:rsidR="004B5B4A" w:rsidRPr="008166AF" w:rsidRDefault="004B5B4A" w:rsidP="00F02929">
      <w:pPr>
        <w:widowControl w:val="0"/>
        <w:suppressAutoHyphens/>
        <w:spacing w:after="0"/>
        <w:jc w:val="center"/>
        <w:rPr>
          <w:szCs w:val="21"/>
        </w:rPr>
      </w:pPr>
    </w:p>
    <w:p w14:paraId="16688257" w14:textId="77777777" w:rsidR="004B5B4A" w:rsidRPr="008166AF" w:rsidRDefault="004B5B4A" w:rsidP="00F02929">
      <w:pPr>
        <w:widowControl w:val="0"/>
        <w:suppressAutoHyphens/>
        <w:spacing w:after="0"/>
        <w:jc w:val="center"/>
        <w:rPr>
          <w:szCs w:val="21"/>
        </w:rPr>
      </w:pPr>
    </w:p>
    <w:p w14:paraId="425CFD86" w14:textId="77777777" w:rsidR="004B5B4A" w:rsidRPr="001041F2" w:rsidRDefault="004B5B4A" w:rsidP="00F02929">
      <w:pPr>
        <w:widowControl w:val="0"/>
        <w:suppressAutoHyphens/>
        <w:spacing w:after="0"/>
        <w:jc w:val="center"/>
        <w:rPr>
          <w:b/>
          <w:szCs w:val="21"/>
        </w:rPr>
      </w:pPr>
      <w:r w:rsidRPr="001041F2">
        <w:rPr>
          <w:b/>
          <w:caps/>
          <w:szCs w:val="21"/>
        </w:rPr>
        <w:t>řANDA HAVEL LEGAL</w:t>
      </w:r>
      <w:r w:rsidRPr="001041F2">
        <w:rPr>
          <w:b/>
          <w:szCs w:val="21"/>
        </w:rPr>
        <w:t xml:space="preserve"> advokátní kancelář s.r.o.</w:t>
      </w:r>
    </w:p>
    <w:p w14:paraId="0476E72F" w14:textId="77777777" w:rsidR="004B5B4A" w:rsidRPr="008166AF" w:rsidRDefault="004B5B4A" w:rsidP="00F02929">
      <w:pPr>
        <w:widowControl w:val="0"/>
        <w:suppressAutoHyphens/>
        <w:spacing w:after="0"/>
        <w:jc w:val="center"/>
        <w:rPr>
          <w:szCs w:val="21"/>
        </w:rPr>
      </w:pPr>
      <w:r>
        <w:rPr>
          <w:szCs w:val="21"/>
        </w:rPr>
        <w:t>jako a</w:t>
      </w:r>
      <w:r w:rsidRPr="008166AF">
        <w:rPr>
          <w:szCs w:val="21"/>
        </w:rPr>
        <w:t>dvokátní kanceláří</w:t>
      </w:r>
    </w:p>
    <w:p w14:paraId="608F9FF5" w14:textId="77777777" w:rsidR="004B5B4A" w:rsidRPr="008166AF" w:rsidRDefault="004B5B4A" w:rsidP="00F02929">
      <w:pPr>
        <w:widowControl w:val="0"/>
        <w:suppressAutoHyphens/>
        <w:spacing w:after="0"/>
        <w:jc w:val="center"/>
        <w:rPr>
          <w:szCs w:val="21"/>
        </w:rPr>
      </w:pPr>
    </w:p>
    <w:p w14:paraId="00F86874" w14:textId="77777777" w:rsidR="004B5B4A" w:rsidRPr="008166AF" w:rsidRDefault="004B5B4A" w:rsidP="00F02929">
      <w:pPr>
        <w:widowControl w:val="0"/>
        <w:suppressAutoHyphens/>
        <w:spacing w:after="0"/>
        <w:jc w:val="center"/>
        <w:rPr>
          <w:szCs w:val="21"/>
        </w:rPr>
      </w:pPr>
    </w:p>
    <w:p w14:paraId="54CBD393" w14:textId="77777777" w:rsidR="004B5B4A" w:rsidRPr="008166AF" w:rsidRDefault="004B5B4A" w:rsidP="00F02929">
      <w:pPr>
        <w:widowControl w:val="0"/>
        <w:suppressAutoHyphens/>
        <w:spacing w:after="0"/>
        <w:jc w:val="center"/>
        <w:rPr>
          <w:szCs w:val="21"/>
        </w:rPr>
      </w:pPr>
      <w:r>
        <w:rPr>
          <w:szCs w:val="21"/>
        </w:rPr>
        <w:t>a</w:t>
      </w:r>
    </w:p>
    <w:p w14:paraId="2A809967" w14:textId="77777777" w:rsidR="004B5B4A" w:rsidRPr="008166AF" w:rsidRDefault="004B5B4A" w:rsidP="00F02929">
      <w:pPr>
        <w:widowControl w:val="0"/>
        <w:suppressAutoHyphens/>
        <w:spacing w:after="0"/>
        <w:jc w:val="center"/>
        <w:rPr>
          <w:szCs w:val="21"/>
        </w:rPr>
      </w:pPr>
    </w:p>
    <w:p w14:paraId="2289D20C" w14:textId="77777777" w:rsidR="004B5B4A" w:rsidRPr="001041F2" w:rsidRDefault="004B5B4A" w:rsidP="00F02929">
      <w:pPr>
        <w:widowControl w:val="0"/>
        <w:suppressAutoHyphens/>
        <w:spacing w:before="0" w:after="0" w:line="360" w:lineRule="atLeast"/>
        <w:jc w:val="center"/>
        <w:rPr>
          <w:b/>
          <w:szCs w:val="21"/>
        </w:rPr>
      </w:pPr>
      <w:r w:rsidRPr="008166AF">
        <w:rPr>
          <w:rFonts w:ascii="inherit" w:hAnsi="inherit"/>
          <w:b/>
          <w:bCs/>
          <w:color w:val="333333"/>
          <w:sz w:val="18"/>
          <w:szCs w:val="18"/>
          <w:bdr w:val="none" w:sz="0" w:space="0" w:color="auto" w:frame="1"/>
        </w:rPr>
        <w:br/>
      </w:r>
      <w:r w:rsidR="00420A2E" w:rsidRPr="001041F2">
        <w:rPr>
          <w:b/>
          <w:szCs w:val="21"/>
        </w:rPr>
        <w:t>Západočeská univerzita v Plzni</w:t>
      </w:r>
    </w:p>
    <w:p w14:paraId="1C4BD0BB" w14:textId="77777777" w:rsidR="004B5B4A" w:rsidRPr="008166AF" w:rsidRDefault="004B5B4A" w:rsidP="00F02929">
      <w:pPr>
        <w:widowControl w:val="0"/>
        <w:suppressAutoHyphens/>
        <w:spacing w:after="0"/>
        <w:jc w:val="center"/>
        <w:rPr>
          <w:szCs w:val="21"/>
        </w:rPr>
      </w:pPr>
      <w:r>
        <w:rPr>
          <w:szCs w:val="21"/>
        </w:rPr>
        <w:t>jako k</w:t>
      </w:r>
      <w:r w:rsidRPr="008166AF">
        <w:rPr>
          <w:szCs w:val="21"/>
        </w:rPr>
        <w:t>lientem</w:t>
      </w:r>
    </w:p>
    <w:p w14:paraId="23935C85" w14:textId="77777777" w:rsidR="004B5B4A" w:rsidRPr="008166AF" w:rsidRDefault="004B5B4A" w:rsidP="00F02929">
      <w:pPr>
        <w:widowControl w:val="0"/>
        <w:suppressAutoHyphens/>
        <w:spacing w:after="0"/>
        <w:jc w:val="center"/>
        <w:rPr>
          <w:szCs w:val="21"/>
        </w:rPr>
      </w:pPr>
    </w:p>
    <w:p w14:paraId="675111D6" w14:textId="77777777" w:rsidR="004B5B4A" w:rsidRPr="008166AF" w:rsidRDefault="004B5B4A" w:rsidP="00F02929">
      <w:pPr>
        <w:widowControl w:val="0"/>
        <w:suppressAutoHyphens/>
        <w:spacing w:after="0"/>
        <w:jc w:val="center"/>
        <w:rPr>
          <w:szCs w:val="21"/>
        </w:rPr>
      </w:pPr>
    </w:p>
    <w:p w14:paraId="2C262F70" w14:textId="77777777" w:rsidR="004B5B4A" w:rsidRPr="008166AF" w:rsidRDefault="004B5B4A" w:rsidP="00F02929">
      <w:pPr>
        <w:widowControl w:val="0"/>
        <w:suppressAutoHyphens/>
        <w:spacing w:after="0"/>
        <w:jc w:val="both"/>
        <w:rPr>
          <w:szCs w:val="21"/>
        </w:rPr>
      </w:pPr>
    </w:p>
    <w:p w14:paraId="4FF6965B" w14:textId="77777777" w:rsidR="004B5B4A" w:rsidRDefault="004B5B4A" w:rsidP="00F02929">
      <w:pPr>
        <w:widowControl w:val="0"/>
        <w:suppressAutoHyphens/>
        <w:spacing w:before="0" w:after="60"/>
        <w:contextualSpacing/>
        <w:jc w:val="both"/>
        <w:rPr>
          <w:szCs w:val="21"/>
        </w:rPr>
      </w:pPr>
    </w:p>
    <w:p w14:paraId="41F30384" w14:textId="77777777" w:rsidR="00420A2E" w:rsidRDefault="00420A2E" w:rsidP="00F02929">
      <w:pPr>
        <w:widowControl w:val="0"/>
        <w:suppressAutoHyphens/>
        <w:spacing w:before="0" w:after="60"/>
        <w:contextualSpacing/>
        <w:jc w:val="both"/>
        <w:rPr>
          <w:szCs w:val="21"/>
        </w:rPr>
      </w:pPr>
    </w:p>
    <w:p w14:paraId="22DAAC5B" w14:textId="77777777" w:rsidR="00420A2E" w:rsidRDefault="00420A2E" w:rsidP="00F02929">
      <w:pPr>
        <w:widowControl w:val="0"/>
        <w:suppressAutoHyphens/>
        <w:spacing w:before="0" w:after="60"/>
        <w:contextualSpacing/>
        <w:jc w:val="both"/>
        <w:rPr>
          <w:szCs w:val="21"/>
        </w:rPr>
      </w:pPr>
    </w:p>
    <w:p w14:paraId="3A12EAE3" w14:textId="77777777" w:rsidR="00420A2E" w:rsidRDefault="00420A2E" w:rsidP="00F02929">
      <w:pPr>
        <w:widowControl w:val="0"/>
        <w:suppressAutoHyphens/>
        <w:spacing w:before="0" w:after="60"/>
        <w:contextualSpacing/>
        <w:jc w:val="both"/>
        <w:rPr>
          <w:szCs w:val="21"/>
        </w:rPr>
      </w:pPr>
    </w:p>
    <w:p w14:paraId="02C9D96A" w14:textId="77777777" w:rsidR="00420A2E" w:rsidRDefault="00420A2E" w:rsidP="00F02929">
      <w:pPr>
        <w:widowControl w:val="0"/>
        <w:suppressAutoHyphens/>
        <w:spacing w:before="0" w:after="60"/>
        <w:contextualSpacing/>
        <w:jc w:val="both"/>
        <w:rPr>
          <w:szCs w:val="21"/>
        </w:rPr>
      </w:pPr>
    </w:p>
    <w:p w14:paraId="14A66DE9" w14:textId="77777777" w:rsidR="00420A2E" w:rsidRDefault="00420A2E" w:rsidP="00F02929">
      <w:pPr>
        <w:widowControl w:val="0"/>
        <w:suppressAutoHyphens/>
        <w:spacing w:before="0" w:after="60"/>
        <w:contextualSpacing/>
        <w:jc w:val="both"/>
        <w:rPr>
          <w:szCs w:val="21"/>
        </w:rPr>
      </w:pPr>
    </w:p>
    <w:p w14:paraId="4FD3322D" w14:textId="77777777" w:rsidR="00420A2E" w:rsidRDefault="00420A2E" w:rsidP="00F02929">
      <w:pPr>
        <w:widowControl w:val="0"/>
        <w:suppressAutoHyphens/>
        <w:spacing w:before="0" w:after="60"/>
        <w:contextualSpacing/>
        <w:jc w:val="both"/>
        <w:rPr>
          <w:szCs w:val="21"/>
        </w:rPr>
      </w:pPr>
    </w:p>
    <w:p w14:paraId="7438D178" w14:textId="77777777" w:rsidR="00420A2E" w:rsidRDefault="00420A2E" w:rsidP="00F02929">
      <w:pPr>
        <w:widowControl w:val="0"/>
        <w:suppressAutoHyphens/>
        <w:spacing w:before="0" w:after="60"/>
        <w:contextualSpacing/>
        <w:jc w:val="both"/>
        <w:rPr>
          <w:szCs w:val="21"/>
        </w:rPr>
      </w:pPr>
    </w:p>
    <w:p w14:paraId="42C8E2BA" w14:textId="77777777" w:rsidR="00420A2E" w:rsidRDefault="00420A2E" w:rsidP="00F02929">
      <w:pPr>
        <w:widowControl w:val="0"/>
        <w:suppressAutoHyphens/>
        <w:spacing w:before="0" w:after="60"/>
        <w:contextualSpacing/>
        <w:jc w:val="both"/>
        <w:rPr>
          <w:szCs w:val="21"/>
        </w:rPr>
      </w:pPr>
    </w:p>
    <w:p w14:paraId="2FAED668" w14:textId="77777777" w:rsidR="00420A2E" w:rsidRPr="008166AF" w:rsidRDefault="00420A2E" w:rsidP="00F02929">
      <w:pPr>
        <w:widowControl w:val="0"/>
        <w:suppressAutoHyphens/>
        <w:spacing w:before="0" w:after="60"/>
        <w:contextualSpacing/>
        <w:jc w:val="both"/>
        <w:rPr>
          <w:szCs w:val="21"/>
        </w:rPr>
      </w:pPr>
    </w:p>
    <w:p w14:paraId="00ECBB22" w14:textId="77777777" w:rsidR="00F66B84" w:rsidRDefault="004B5B4A" w:rsidP="00F66B84">
      <w:pPr>
        <w:widowControl w:val="0"/>
        <w:spacing w:line="276" w:lineRule="auto"/>
        <w:rPr>
          <w:b/>
          <w:caps/>
          <w:szCs w:val="21"/>
        </w:rPr>
      </w:pPr>
      <w:r w:rsidRPr="008166AF">
        <w:rPr>
          <w:b/>
          <w:caps/>
          <w:szCs w:val="21"/>
        </w:rPr>
        <w:br w:type="page"/>
      </w:r>
    </w:p>
    <w:p w14:paraId="3E3A720D" w14:textId="055C5027" w:rsidR="00F66B84" w:rsidRPr="006759C7" w:rsidRDefault="006759C7" w:rsidP="006759C7">
      <w:pPr>
        <w:suppressAutoHyphens/>
        <w:jc w:val="both"/>
        <w:rPr>
          <w:rStyle w:val="ZhlavChar"/>
          <w:szCs w:val="21"/>
        </w:rPr>
      </w:pPr>
      <w:r w:rsidRPr="006759C7">
        <w:rPr>
          <w:szCs w:val="21"/>
        </w:rPr>
        <w:lastRenderedPageBreak/>
        <w:t>Tento</w:t>
      </w:r>
      <w:r w:rsidR="00F66B84" w:rsidRPr="006759C7">
        <w:rPr>
          <w:szCs w:val="21"/>
        </w:rPr>
        <w:t xml:space="preserve"> dodatek č. 1 (dále jen „</w:t>
      </w:r>
      <w:r w:rsidR="00F66B84" w:rsidRPr="006759C7">
        <w:rPr>
          <w:b/>
          <w:szCs w:val="21"/>
        </w:rPr>
        <w:t>Dodatek</w:t>
      </w:r>
      <w:r w:rsidR="00F66B84" w:rsidRPr="006759C7">
        <w:rPr>
          <w:szCs w:val="21"/>
        </w:rPr>
        <w:t>“) ke smlouvě o poskytování právních služeb ze dne 18. května 2020 (dále jen „</w:t>
      </w:r>
      <w:r w:rsidR="00F66B84" w:rsidRPr="006759C7">
        <w:rPr>
          <w:b/>
          <w:szCs w:val="21"/>
        </w:rPr>
        <w:t>Smlouva</w:t>
      </w:r>
      <w:r w:rsidR="00F66B84" w:rsidRPr="006759C7">
        <w:rPr>
          <w:szCs w:val="21"/>
        </w:rPr>
        <w:t>“) byl uzavřen v souladu se zákonem č. 85/1996 Sb., o advokacii, ve znění pozdějších předpisů (dále jen „</w:t>
      </w:r>
      <w:r w:rsidR="00F66B84" w:rsidRPr="006759C7">
        <w:rPr>
          <w:b/>
          <w:szCs w:val="21"/>
        </w:rPr>
        <w:t>Zákon</w:t>
      </w:r>
      <w:r w:rsidR="00F66B84" w:rsidRPr="006759C7">
        <w:rPr>
          <w:szCs w:val="21"/>
        </w:rPr>
        <w:t>“), a vyhláškou č. 177/1996 Sb., o odměnách advokátů a náhradách advokátů za poskytování právních služeb (advokátní tarif), ve znění pozdějších předpisů (dále jen „</w:t>
      </w:r>
      <w:r w:rsidR="00F66B84" w:rsidRPr="006759C7">
        <w:rPr>
          <w:b/>
          <w:szCs w:val="21"/>
        </w:rPr>
        <w:t>Vyhláška</w:t>
      </w:r>
      <w:r w:rsidR="00F66B84" w:rsidRPr="006759C7">
        <w:rPr>
          <w:szCs w:val="21"/>
        </w:rPr>
        <w:t xml:space="preserve">“), mezi </w:t>
      </w:r>
      <w:r w:rsidR="00F66B84" w:rsidRPr="006759C7">
        <w:rPr>
          <w:bCs/>
          <w:szCs w:val="21"/>
        </w:rPr>
        <w:t>následujícími</w:t>
      </w:r>
      <w:r w:rsidR="00F66B84" w:rsidRPr="006759C7">
        <w:rPr>
          <w:szCs w:val="21"/>
        </w:rPr>
        <w:t xml:space="preserve"> smluvními stranami</w:t>
      </w:r>
      <w:r w:rsidR="00F66B84" w:rsidRPr="006759C7">
        <w:rPr>
          <w:rStyle w:val="ZhlavChar"/>
          <w:szCs w:val="21"/>
        </w:rPr>
        <w:t>:</w:t>
      </w:r>
    </w:p>
    <w:p w14:paraId="63362A75" w14:textId="417B9B45" w:rsidR="00F66B84" w:rsidRPr="006759C7" w:rsidRDefault="00F66B84" w:rsidP="006759C7">
      <w:pPr>
        <w:pStyle w:val="Odstavecseseznamem"/>
        <w:numPr>
          <w:ilvl w:val="0"/>
          <w:numId w:val="2"/>
        </w:numPr>
        <w:suppressAutoHyphens/>
        <w:spacing w:before="120" w:after="120"/>
        <w:ind w:left="709" w:hanging="709"/>
        <w:contextualSpacing w:val="0"/>
        <w:jc w:val="both"/>
        <w:rPr>
          <w:szCs w:val="21"/>
        </w:rPr>
      </w:pPr>
      <w:r w:rsidRPr="006759C7">
        <w:rPr>
          <w:b/>
          <w:szCs w:val="21"/>
        </w:rPr>
        <w:t>ŘANDA HAVEL LEGAL advokátní kancelář s.r.o.</w:t>
      </w:r>
      <w:r w:rsidRPr="006759C7">
        <w:rPr>
          <w:szCs w:val="21"/>
        </w:rPr>
        <w:t>, IČO: 27636836</w:t>
      </w:r>
      <w:r w:rsidRPr="006759C7">
        <w:rPr>
          <w:rStyle w:val="platne1"/>
          <w:szCs w:val="21"/>
        </w:rPr>
        <w:t xml:space="preserve">, </w:t>
      </w:r>
      <w:r w:rsidRPr="006759C7">
        <w:rPr>
          <w:szCs w:val="21"/>
        </w:rPr>
        <w:t>se sídlem Praha 1, Truhlářská 13-15, PSČ 110 00</w:t>
      </w:r>
      <w:r w:rsidRPr="006759C7">
        <w:rPr>
          <w:rStyle w:val="platne1"/>
          <w:szCs w:val="21"/>
        </w:rPr>
        <w:t xml:space="preserve">, </w:t>
      </w:r>
      <w:r w:rsidRPr="006759C7">
        <w:rPr>
          <w:szCs w:val="21"/>
        </w:rPr>
        <w:t>zapsaná v obchodním rejstříku vedeném Městským soudem v Praze, oddíl C, vložka 120572,</w:t>
      </w:r>
      <w:r w:rsidR="006759C7" w:rsidRPr="006759C7">
        <w:rPr>
          <w:szCs w:val="21"/>
        </w:rPr>
        <w:t xml:space="preserve"> </w:t>
      </w:r>
    </w:p>
    <w:p w14:paraId="3007C8D6" w14:textId="77777777" w:rsidR="00F66B84" w:rsidRPr="006759C7" w:rsidRDefault="00F66B84" w:rsidP="006759C7">
      <w:pPr>
        <w:suppressAutoHyphens/>
        <w:ind w:left="709"/>
        <w:jc w:val="both"/>
        <w:rPr>
          <w:szCs w:val="21"/>
        </w:rPr>
      </w:pPr>
      <w:r w:rsidRPr="006759C7">
        <w:rPr>
          <w:szCs w:val="21"/>
        </w:rPr>
        <w:t>(dále jen „</w:t>
      </w:r>
      <w:r w:rsidRPr="006759C7">
        <w:rPr>
          <w:b/>
          <w:szCs w:val="21"/>
        </w:rPr>
        <w:t>Advokátní kancelář</w:t>
      </w:r>
      <w:r w:rsidRPr="006759C7">
        <w:rPr>
          <w:szCs w:val="21"/>
        </w:rPr>
        <w:t>“);</w:t>
      </w:r>
    </w:p>
    <w:p w14:paraId="35B076A9" w14:textId="77777777" w:rsidR="00F66B84" w:rsidRPr="006759C7" w:rsidRDefault="00F66B84" w:rsidP="006759C7">
      <w:pPr>
        <w:suppressAutoHyphens/>
        <w:jc w:val="both"/>
        <w:rPr>
          <w:szCs w:val="21"/>
        </w:rPr>
      </w:pPr>
      <w:r w:rsidRPr="006759C7">
        <w:rPr>
          <w:szCs w:val="21"/>
        </w:rPr>
        <w:t>a</w:t>
      </w:r>
    </w:p>
    <w:p w14:paraId="4DC4FEB8" w14:textId="77777777" w:rsidR="00F66B84" w:rsidRPr="006759C7" w:rsidRDefault="00F66B84" w:rsidP="006759C7">
      <w:pPr>
        <w:pStyle w:val="Odstavecseseznamem"/>
        <w:numPr>
          <w:ilvl w:val="0"/>
          <w:numId w:val="2"/>
        </w:numPr>
        <w:suppressAutoHyphens/>
        <w:spacing w:before="120" w:after="120"/>
        <w:ind w:left="709" w:hanging="709"/>
        <w:contextualSpacing w:val="0"/>
        <w:jc w:val="both"/>
        <w:rPr>
          <w:rFonts w:eastAsia="Times New Roman"/>
          <w:szCs w:val="21"/>
          <w:lang w:eastAsia="cs-CZ"/>
        </w:rPr>
      </w:pPr>
      <w:r w:rsidRPr="006759C7">
        <w:rPr>
          <w:b/>
          <w:szCs w:val="21"/>
        </w:rPr>
        <w:t>Západočeská univerzita v Plzni</w:t>
      </w:r>
      <w:r w:rsidRPr="006759C7">
        <w:rPr>
          <w:rFonts w:eastAsia="Times New Roman"/>
          <w:szCs w:val="21"/>
          <w:lang w:eastAsia="cs-CZ"/>
        </w:rPr>
        <w:t xml:space="preserve">, IČO: 49777513, se sídlem Plzeň, Univerzitní 8, PSČ 301 00, </w:t>
      </w:r>
    </w:p>
    <w:p w14:paraId="196CC412" w14:textId="77777777" w:rsidR="00F66B84" w:rsidRPr="006759C7" w:rsidRDefault="00F66B84" w:rsidP="006759C7">
      <w:pPr>
        <w:pStyle w:val="Odstavecseseznamem"/>
        <w:suppressAutoHyphens/>
        <w:spacing w:before="120" w:after="120"/>
        <w:ind w:left="709"/>
        <w:contextualSpacing w:val="0"/>
        <w:jc w:val="both"/>
        <w:rPr>
          <w:szCs w:val="21"/>
        </w:rPr>
      </w:pPr>
      <w:r w:rsidRPr="006759C7">
        <w:rPr>
          <w:szCs w:val="21"/>
        </w:rPr>
        <w:t>(dále jen „</w:t>
      </w:r>
      <w:r w:rsidRPr="006759C7">
        <w:rPr>
          <w:b/>
          <w:szCs w:val="21"/>
        </w:rPr>
        <w:t>Klient</w:t>
      </w:r>
      <w:r w:rsidRPr="006759C7">
        <w:rPr>
          <w:szCs w:val="21"/>
        </w:rPr>
        <w:t>“);</w:t>
      </w:r>
    </w:p>
    <w:p w14:paraId="7CAA973D" w14:textId="77777777" w:rsidR="00F66B84" w:rsidRDefault="00F66B84" w:rsidP="006759C7">
      <w:pPr>
        <w:suppressAutoHyphens/>
        <w:jc w:val="both"/>
        <w:rPr>
          <w:szCs w:val="21"/>
        </w:rPr>
      </w:pPr>
      <w:r w:rsidRPr="006759C7">
        <w:rPr>
          <w:szCs w:val="21"/>
        </w:rPr>
        <w:t>(Advokátní kancelář a Klient jednotlivě dále též jen „</w:t>
      </w:r>
      <w:r w:rsidRPr="006759C7">
        <w:rPr>
          <w:b/>
          <w:szCs w:val="21"/>
        </w:rPr>
        <w:t>Smluvní strana</w:t>
      </w:r>
      <w:r w:rsidRPr="006759C7">
        <w:rPr>
          <w:szCs w:val="21"/>
        </w:rPr>
        <w:t>“ a společně jen „</w:t>
      </w:r>
      <w:r w:rsidRPr="006759C7">
        <w:rPr>
          <w:b/>
          <w:szCs w:val="21"/>
        </w:rPr>
        <w:t>Smluvní strany</w:t>
      </w:r>
      <w:r w:rsidRPr="006759C7">
        <w:rPr>
          <w:szCs w:val="21"/>
        </w:rPr>
        <w:t>“).</w:t>
      </w:r>
    </w:p>
    <w:p w14:paraId="6D14EF0F" w14:textId="77777777" w:rsidR="006759C7" w:rsidRPr="006759C7" w:rsidRDefault="006759C7" w:rsidP="006759C7">
      <w:pPr>
        <w:suppressAutoHyphens/>
        <w:jc w:val="both"/>
        <w:rPr>
          <w:szCs w:val="21"/>
        </w:rPr>
      </w:pPr>
    </w:p>
    <w:p w14:paraId="7263395F" w14:textId="3E41CDCD" w:rsidR="004B5B4A" w:rsidRPr="006759C7" w:rsidRDefault="004B5B4A" w:rsidP="006759C7">
      <w:pPr>
        <w:pStyle w:val="Nadpis1"/>
        <w:keepNext w:val="0"/>
        <w:widowControl/>
        <w:suppressAutoHyphens/>
        <w:spacing w:before="120"/>
        <w:ind w:left="567" w:hanging="567"/>
        <w:jc w:val="both"/>
      </w:pPr>
      <w:r w:rsidRPr="006759C7">
        <w:t xml:space="preserve">Předmět </w:t>
      </w:r>
      <w:r w:rsidR="005B54B6" w:rsidRPr="006759C7">
        <w:t>Dodatku</w:t>
      </w:r>
    </w:p>
    <w:p w14:paraId="0DB55E80" w14:textId="2BC5B031" w:rsidR="00F73A0F" w:rsidRPr="006759C7" w:rsidRDefault="005B54B6" w:rsidP="006759C7">
      <w:pPr>
        <w:pStyle w:val="Nadpis2"/>
        <w:widowControl/>
        <w:suppressAutoHyphens/>
        <w:ind w:left="576"/>
        <w:jc w:val="both"/>
        <w:rPr>
          <w:szCs w:val="21"/>
        </w:rPr>
      </w:pPr>
      <w:r w:rsidRPr="006759C7">
        <w:rPr>
          <w:szCs w:val="21"/>
        </w:rPr>
        <w:t>Smluvní strany se dohodly na následující změn</w:t>
      </w:r>
      <w:r w:rsidR="00F66B84" w:rsidRPr="006759C7">
        <w:rPr>
          <w:szCs w:val="21"/>
        </w:rPr>
        <w:t>ě</w:t>
      </w:r>
      <w:r w:rsidRPr="006759C7">
        <w:rPr>
          <w:szCs w:val="21"/>
        </w:rPr>
        <w:t xml:space="preserve"> Smlouvy</w:t>
      </w:r>
      <w:r w:rsidR="004B5B4A" w:rsidRPr="006759C7">
        <w:rPr>
          <w:szCs w:val="21"/>
        </w:rPr>
        <w:t>.</w:t>
      </w:r>
      <w:r w:rsidR="00F66B84" w:rsidRPr="006759C7">
        <w:rPr>
          <w:szCs w:val="21"/>
        </w:rPr>
        <w:t xml:space="preserve"> </w:t>
      </w:r>
      <w:bookmarkStart w:id="0" w:name="_Ref785553"/>
      <w:r w:rsidRPr="006759C7">
        <w:rPr>
          <w:szCs w:val="21"/>
        </w:rPr>
        <w:t xml:space="preserve">Do článku 1 Smlouvy se vkládá nový odstavec </w:t>
      </w:r>
      <w:r w:rsidR="00F73A0F" w:rsidRPr="006759C7">
        <w:rPr>
          <w:szCs w:val="21"/>
        </w:rPr>
        <w:t>1.5 v následujícím znění:</w:t>
      </w:r>
    </w:p>
    <w:p w14:paraId="3CF0C4D2" w14:textId="6EF588C5" w:rsidR="008C468C" w:rsidRDefault="00F73A0F" w:rsidP="006759C7">
      <w:pPr>
        <w:pStyle w:val="Nadpis2"/>
        <w:widowControl/>
        <w:numPr>
          <w:ilvl w:val="0"/>
          <w:numId w:val="0"/>
        </w:numPr>
        <w:suppressAutoHyphens/>
        <w:ind w:left="1134" w:hanging="567"/>
        <w:jc w:val="both"/>
        <w:rPr>
          <w:szCs w:val="21"/>
        </w:rPr>
      </w:pPr>
      <w:r w:rsidRPr="006759C7">
        <w:rPr>
          <w:i/>
          <w:iCs w:val="0"/>
          <w:szCs w:val="21"/>
        </w:rPr>
        <w:t>„1.5</w:t>
      </w:r>
      <w:r w:rsidRPr="006759C7">
        <w:rPr>
          <w:i/>
          <w:iCs w:val="0"/>
          <w:szCs w:val="21"/>
        </w:rPr>
        <w:tab/>
        <w:t>Advokátní kancelář bude podle této Smlouvy poskytovat i jiné právní služby než služby uvedené v článku 1.2 této Smlouvy, a to dle požadavků Klienta a na jeho výslovný pokyn, avšak vždy po jejich projednání a odsouhlasení Advokátní kanceláří před jejich poskytnutím</w:t>
      </w:r>
      <w:r w:rsidR="003905CB" w:rsidRPr="006759C7">
        <w:rPr>
          <w:szCs w:val="21"/>
        </w:rPr>
        <w:t>.</w:t>
      </w:r>
      <w:r w:rsidRPr="006759C7">
        <w:rPr>
          <w:szCs w:val="21"/>
        </w:rPr>
        <w:t>“</w:t>
      </w:r>
      <w:r w:rsidR="003905CB" w:rsidRPr="006759C7">
        <w:rPr>
          <w:szCs w:val="21"/>
        </w:rPr>
        <w:t xml:space="preserve"> </w:t>
      </w:r>
      <w:r w:rsidR="008C468C" w:rsidRPr="006759C7">
        <w:rPr>
          <w:szCs w:val="21"/>
        </w:rPr>
        <w:t xml:space="preserve"> </w:t>
      </w:r>
      <w:bookmarkEnd w:id="0"/>
    </w:p>
    <w:p w14:paraId="24E1A4FE" w14:textId="77777777" w:rsidR="006759C7" w:rsidRPr="006759C7" w:rsidRDefault="006759C7" w:rsidP="006759C7"/>
    <w:p w14:paraId="631A91E9" w14:textId="77777777" w:rsidR="004B5B4A" w:rsidRPr="006759C7" w:rsidRDefault="004B5B4A" w:rsidP="006759C7">
      <w:pPr>
        <w:pStyle w:val="Nadpis1"/>
        <w:keepNext w:val="0"/>
        <w:widowControl/>
        <w:suppressAutoHyphens/>
        <w:spacing w:before="120"/>
        <w:ind w:left="567" w:hanging="567"/>
        <w:jc w:val="both"/>
      </w:pPr>
      <w:r w:rsidRPr="006759C7">
        <w:t>Závěrečná ustanovení</w:t>
      </w:r>
    </w:p>
    <w:p w14:paraId="710DF86C" w14:textId="77777777" w:rsidR="00F73A0F" w:rsidRPr="006759C7" w:rsidRDefault="00F73A0F" w:rsidP="006759C7">
      <w:pPr>
        <w:pStyle w:val="Nadpis2"/>
        <w:widowControl/>
        <w:suppressAutoHyphens/>
        <w:ind w:left="576"/>
        <w:jc w:val="both"/>
        <w:rPr>
          <w:szCs w:val="21"/>
        </w:rPr>
      </w:pPr>
      <w:r w:rsidRPr="006759C7">
        <w:rPr>
          <w:szCs w:val="21"/>
        </w:rPr>
        <w:t>Ostatní ustanovení Smlouvy tímto Dodatkem nedotčená zůstávají nezměněna.</w:t>
      </w:r>
    </w:p>
    <w:p w14:paraId="69361810" w14:textId="77777777" w:rsidR="00F66B84" w:rsidRPr="006759C7" w:rsidRDefault="00F73A0F" w:rsidP="006759C7">
      <w:pPr>
        <w:pStyle w:val="Nadpis2"/>
        <w:widowControl/>
        <w:suppressAutoHyphens/>
        <w:ind w:left="576"/>
        <w:jc w:val="both"/>
        <w:rPr>
          <w:szCs w:val="21"/>
        </w:rPr>
      </w:pPr>
      <w:r w:rsidRPr="006759C7">
        <w:rPr>
          <w:szCs w:val="21"/>
        </w:rPr>
        <w:t xml:space="preserve">Tento Dodatek nabývá platnosti dnem jeho podpisu oběma Smluvními stranami. </w:t>
      </w:r>
    </w:p>
    <w:p w14:paraId="00B48F14" w14:textId="5B461120" w:rsidR="004B5B4A" w:rsidRPr="006759C7" w:rsidRDefault="00F73A0F" w:rsidP="006759C7">
      <w:pPr>
        <w:pStyle w:val="Nadpis2"/>
        <w:widowControl/>
        <w:suppressAutoHyphens/>
        <w:ind w:left="576"/>
        <w:jc w:val="both"/>
        <w:rPr>
          <w:szCs w:val="21"/>
        </w:rPr>
      </w:pPr>
      <w:r w:rsidRPr="006759C7">
        <w:rPr>
          <w:szCs w:val="21"/>
        </w:rPr>
        <w:t>Tento Dodatek nabývá účinnosti dnem jeho uveřejnění v registru smluv. Advokátní kancelář tímto souhlasí s tím, aby tento Dodatek byl Klientem uveřejněna na webových stránkách určených Klientem a dále v registru smluv v souladu se zákonem č. 340/2015 Sb., o zvláštních podmínkách účinnosti některých smluv, uveřejňování těchto smluv a o registru smluv (zákon o registru smluv).</w:t>
      </w:r>
    </w:p>
    <w:p w14:paraId="07236D0C" w14:textId="296D5F2B" w:rsidR="004B5B4A" w:rsidRPr="006759C7" w:rsidRDefault="00F73A0F" w:rsidP="006759C7">
      <w:pPr>
        <w:pStyle w:val="Nadpis2"/>
        <w:widowControl/>
        <w:suppressAutoHyphens/>
        <w:ind w:left="576"/>
        <w:jc w:val="both"/>
        <w:rPr>
          <w:szCs w:val="21"/>
        </w:rPr>
      </w:pPr>
      <w:r w:rsidRPr="006759C7">
        <w:rPr>
          <w:szCs w:val="21"/>
        </w:rPr>
        <w:t>Tento Dodatek</w:t>
      </w:r>
      <w:r w:rsidR="004B5B4A" w:rsidRPr="006759C7">
        <w:rPr>
          <w:szCs w:val="21"/>
        </w:rPr>
        <w:t xml:space="preserve"> se vyhotovuje ve dvou (2) stejnopisech, z nichž každý má povahu originálu. Každá ze Smluvních stran obdrží po jednom (1) stejnopisu.</w:t>
      </w:r>
    </w:p>
    <w:p w14:paraId="751B16A9" w14:textId="04AB2010" w:rsidR="004B5B4A" w:rsidRPr="006759C7" w:rsidRDefault="004B5B4A" w:rsidP="006759C7">
      <w:pPr>
        <w:pStyle w:val="Nadpis2"/>
        <w:widowControl/>
        <w:suppressAutoHyphens/>
        <w:ind w:left="576"/>
        <w:jc w:val="both"/>
        <w:rPr>
          <w:szCs w:val="21"/>
        </w:rPr>
      </w:pPr>
      <w:r w:rsidRPr="006759C7">
        <w:rPr>
          <w:szCs w:val="21"/>
        </w:rPr>
        <w:lastRenderedPageBreak/>
        <w:t xml:space="preserve">Každá ze Smluvních stran prohlašuje, že si </w:t>
      </w:r>
      <w:r w:rsidR="00F73A0F" w:rsidRPr="006759C7">
        <w:rPr>
          <w:szCs w:val="21"/>
        </w:rPr>
        <w:t>tento Dodatek</w:t>
      </w:r>
      <w:r w:rsidRPr="006759C7">
        <w:rPr>
          <w:szCs w:val="21"/>
        </w:rPr>
        <w:t xml:space="preserve"> řádně přečetla, jejímu obsahu plně porozuměla, že </w:t>
      </w:r>
      <w:r w:rsidR="00F73A0F" w:rsidRPr="006759C7">
        <w:rPr>
          <w:szCs w:val="21"/>
        </w:rPr>
        <w:t>tento Dodatek</w:t>
      </w:r>
      <w:r w:rsidRPr="006759C7">
        <w:rPr>
          <w:szCs w:val="21"/>
        </w:rPr>
        <w:t xml:space="preserve"> je projevem její pravé a svobodné vůle a na důkaz svého souhlasu s obsahem </w:t>
      </w:r>
      <w:r w:rsidR="00F73A0F" w:rsidRPr="006759C7">
        <w:rPr>
          <w:szCs w:val="21"/>
        </w:rPr>
        <w:t>tohoto Dodatku</w:t>
      </w:r>
      <w:r w:rsidRPr="006759C7">
        <w:rPr>
          <w:szCs w:val="21"/>
        </w:rPr>
        <w:t xml:space="preserve"> připojuje sama či její oprávněný zástupce níže svůj vlastnoruční podpis</w:t>
      </w:r>
      <w:r w:rsidR="00ED09AD" w:rsidRPr="006759C7">
        <w:rPr>
          <w:szCs w:val="21"/>
        </w:rPr>
        <w:t>.</w:t>
      </w:r>
    </w:p>
    <w:p w14:paraId="2B413F2B" w14:textId="77777777" w:rsidR="00E6582B" w:rsidRPr="006759C7" w:rsidRDefault="00E6582B" w:rsidP="006759C7">
      <w:pPr>
        <w:suppressAutoHyphens/>
        <w:rPr>
          <w:szCs w:val="21"/>
        </w:rPr>
      </w:pPr>
    </w:p>
    <w:tbl>
      <w:tblPr>
        <w:tblW w:w="14067" w:type="dxa"/>
        <w:tblLook w:val="01E0" w:firstRow="1" w:lastRow="1" w:firstColumn="1" w:lastColumn="1" w:noHBand="0" w:noVBand="0"/>
      </w:tblPr>
      <w:tblGrid>
        <w:gridCol w:w="5209"/>
        <w:gridCol w:w="4429"/>
        <w:gridCol w:w="4429"/>
      </w:tblGrid>
      <w:tr w:rsidR="00E6582B" w:rsidRPr="006759C7" w14:paraId="63C7269F" w14:textId="77777777" w:rsidTr="00E6582B">
        <w:trPr>
          <w:trHeight w:val="2312"/>
        </w:trPr>
        <w:tc>
          <w:tcPr>
            <w:tcW w:w="5209" w:type="dxa"/>
          </w:tcPr>
          <w:p w14:paraId="01210C26" w14:textId="77777777" w:rsidR="00E6582B" w:rsidRPr="006759C7" w:rsidRDefault="00E6582B" w:rsidP="006759C7">
            <w:pPr>
              <w:tabs>
                <w:tab w:val="left" w:pos="4021"/>
              </w:tabs>
              <w:suppressAutoHyphens/>
              <w:jc w:val="both"/>
              <w:rPr>
                <w:szCs w:val="21"/>
              </w:rPr>
            </w:pPr>
            <w:r w:rsidRPr="006759C7">
              <w:rPr>
                <w:szCs w:val="21"/>
              </w:rPr>
              <w:t>V Plzni dne ____________</w:t>
            </w:r>
            <w:r w:rsidRPr="006759C7">
              <w:rPr>
                <w:szCs w:val="21"/>
              </w:rPr>
              <w:tab/>
            </w:r>
          </w:p>
          <w:p w14:paraId="6BDBB1C5" w14:textId="77777777" w:rsidR="00E6582B" w:rsidRPr="006759C7" w:rsidRDefault="00E6582B" w:rsidP="006759C7">
            <w:pPr>
              <w:suppressAutoHyphens/>
              <w:jc w:val="both"/>
              <w:rPr>
                <w:b/>
                <w:szCs w:val="21"/>
              </w:rPr>
            </w:pPr>
          </w:p>
          <w:p w14:paraId="663FB399" w14:textId="77777777" w:rsidR="00E6582B" w:rsidRPr="006759C7" w:rsidRDefault="00E6582B" w:rsidP="006759C7">
            <w:pPr>
              <w:suppressAutoHyphens/>
              <w:jc w:val="both"/>
              <w:rPr>
                <w:b/>
                <w:szCs w:val="21"/>
              </w:rPr>
            </w:pPr>
            <w:r w:rsidRPr="006759C7">
              <w:rPr>
                <w:b/>
                <w:szCs w:val="21"/>
              </w:rPr>
              <w:t xml:space="preserve">ŘANDA HAVEL LEGAL  </w:t>
            </w:r>
          </w:p>
          <w:p w14:paraId="34D9E2A7" w14:textId="77777777" w:rsidR="00E6582B" w:rsidRPr="006759C7" w:rsidRDefault="00E6582B" w:rsidP="006759C7">
            <w:pPr>
              <w:suppressAutoHyphens/>
              <w:jc w:val="both"/>
              <w:rPr>
                <w:b/>
                <w:szCs w:val="21"/>
              </w:rPr>
            </w:pPr>
            <w:r w:rsidRPr="006759C7">
              <w:rPr>
                <w:b/>
                <w:szCs w:val="21"/>
              </w:rPr>
              <w:t>advokátní kancelář s.r.o.</w:t>
            </w:r>
          </w:p>
          <w:p w14:paraId="25D8F3FD" w14:textId="77777777" w:rsidR="00E6582B" w:rsidRPr="006759C7" w:rsidRDefault="00E6582B" w:rsidP="006759C7">
            <w:pPr>
              <w:suppressAutoHyphens/>
              <w:jc w:val="both"/>
              <w:rPr>
                <w:szCs w:val="21"/>
              </w:rPr>
            </w:pPr>
          </w:p>
          <w:p w14:paraId="0F150A27" w14:textId="77777777" w:rsidR="00E6582B" w:rsidRPr="006759C7" w:rsidRDefault="00E6582B" w:rsidP="006759C7">
            <w:pPr>
              <w:suppressAutoHyphens/>
              <w:jc w:val="both"/>
              <w:rPr>
                <w:szCs w:val="21"/>
              </w:rPr>
            </w:pPr>
          </w:p>
          <w:p w14:paraId="35333A75" w14:textId="77777777" w:rsidR="00E6582B" w:rsidRPr="006759C7" w:rsidRDefault="00E6582B" w:rsidP="006759C7">
            <w:pPr>
              <w:suppressAutoHyphens/>
              <w:jc w:val="both"/>
              <w:rPr>
                <w:szCs w:val="21"/>
              </w:rPr>
            </w:pPr>
          </w:p>
          <w:p w14:paraId="09566E81" w14:textId="77777777" w:rsidR="00E6582B" w:rsidRPr="006759C7" w:rsidRDefault="00E6582B" w:rsidP="006759C7">
            <w:pPr>
              <w:suppressAutoHyphens/>
              <w:jc w:val="both"/>
              <w:rPr>
                <w:szCs w:val="21"/>
              </w:rPr>
            </w:pPr>
            <w:r w:rsidRPr="006759C7">
              <w:rPr>
                <w:szCs w:val="21"/>
              </w:rPr>
              <w:t>Podpis:__________________________</w:t>
            </w:r>
          </w:p>
          <w:p w14:paraId="53D9EFBA" w14:textId="3A7D066D" w:rsidR="00E6582B" w:rsidRPr="006759C7" w:rsidRDefault="00E6582B" w:rsidP="006759C7">
            <w:pPr>
              <w:suppressAutoHyphens/>
              <w:jc w:val="both"/>
              <w:rPr>
                <w:szCs w:val="21"/>
              </w:rPr>
            </w:pPr>
            <w:r w:rsidRPr="006759C7">
              <w:rPr>
                <w:szCs w:val="21"/>
              </w:rPr>
              <w:t xml:space="preserve">Jméno:  </w:t>
            </w:r>
            <w:proofErr w:type="spellStart"/>
            <w:r w:rsidR="00E55819">
              <w:rPr>
                <w:szCs w:val="21"/>
              </w:rPr>
              <w:t>xxxxxxxxxxxxx</w:t>
            </w:r>
            <w:bookmarkStart w:id="1" w:name="_GoBack"/>
            <w:bookmarkEnd w:id="1"/>
            <w:proofErr w:type="spellEnd"/>
          </w:p>
          <w:p w14:paraId="6ACE9A7E" w14:textId="77777777" w:rsidR="00E6582B" w:rsidRPr="006759C7" w:rsidRDefault="00E6582B" w:rsidP="006759C7">
            <w:pPr>
              <w:suppressAutoHyphens/>
              <w:jc w:val="both"/>
              <w:rPr>
                <w:szCs w:val="21"/>
              </w:rPr>
            </w:pPr>
            <w:r w:rsidRPr="006759C7">
              <w:rPr>
                <w:szCs w:val="21"/>
              </w:rPr>
              <w:t>Funkce: jednatel a advokát</w:t>
            </w:r>
          </w:p>
        </w:tc>
        <w:tc>
          <w:tcPr>
            <w:tcW w:w="4429" w:type="dxa"/>
          </w:tcPr>
          <w:p w14:paraId="1309D182" w14:textId="77777777" w:rsidR="00E6582B" w:rsidRPr="006759C7" w:rsidRDefault="00E6582B" w:rsidP="006759C7">
            <w:pPr>
              <w:tabs>
                <w:tab w:val="left" w:pos="4021"/>
              </w:tabs>
              <w:suppressAutoHyphens/>
              <w:jc w:val="both"/>
              <w:rPr>
                <w:szCs w:val="21"/>
              </w:rPr>
            </w:pPr>
            <w:r w:rsidRPr="006759C7">
              <w:rPr>
                <w:szCs w:val="21"/>
              </w:rPr>
              <w:t>V Plzni dne ____________</w:t>
            </w:r>
            <w:r w:rsidRPr="006759C7">
              <w:rPr>
                <w:szCs w:val="21"/>
              </w:rPr>
              <w:tab/>
            </w:r>
          </w:p>
          <w:p w14:paraId="7AB713E8" w14:textId="77777777" w:rsidR="00E6582B" w:rsidRPr="006759C7" w:rsidRDefault="00E6582B" w:rsidP="006759C7">
            <w:pPr>
              <w:suppressAutoHyphens/>
              <w:jc w:val="both"/>
              <w:rPr>
                <w:b/>
                <w:szCs w:val="21"/>
              </w:rPr>
            </w:pPr>
          </w:p>
          <w:p w14:paraId="5C83A783" w14:textId="77777777" w:rsidR="00E6582B" w:rsidRPr="006759C7" w:rsidRDefault="00E6582B" w:rsidP="006759C7">
            <w:pPr>
              <w:suppressAutoHyphens/>
              <w:jc w:val="both"/>
              <w:rPr>
                <w:b/>
                <w:szCs w:val="21"/>
              </w:rPr>
            </w:pPr>
            <w:r w:rsidRPr="006759C7">
              <w:rPr>
                <w:b/>
                <w:szCs w:val="21"/>
              </w:rPr>
              <w:t>Západočeská univerzita v Plzni</w:t>
            </w:r>
          </w:p>
          <w:p w14:paraId="41BE2CB9" w14:textId="77777777" w:rsidR="00E6582B" w:rsidRPr="006759C7" w:rsidRDefault="00E6582B" w:rsidP="006759C7">
            <w:pPr>
              <w:suppressAutoHyphens/>
              <w:jc w:val="both"/>
              <w:rPr>
                <w:szCs w:val="21"/>
              </w:rPr>
            </w:pPr>
          </w:p>
          <w:p w14:paraId="37C690C5" w14:textId="77777777" w:rsidR="00E6582B" w:rsidRPr="006759C7" w:rsidRDefault="00E6582B" w:rsidP="006759C7">
            <w:pPr>
              <w:suppressAutoHyphens/>
              <w:jc w:val="both"/>
              <w:rPr>
                <w:szCs w:val="21"/>
              </w:rPr>
            </w:pPr>
          </w:p>
          <w:p w14:paraId="57ACAE0E" w14:textId="77777777" w:rsidR="00E6582B" w:rsidRPr="006759C7" w:rsidRDefault="00E6582B" w:rsidP="006759C7">
            <w:pPr>
              <w:suppressAutoHyphens/>
              <w:jc w:val="both"/>
              <w:rPr>
                <w:szCs w:val="21"/>
              </w:rPr>
            </w:pPr>
          </w:p>
          <w:p w14:paraId="169E3CC9" w14:textId="77777777" w:rsidR="00E6582B" w:rsidRPr="006759C7" w:rsidRDefault="00E6582B" w:rsidP="006759C7">
            <w:pPr>
              <w:suppressAutoHyphens/>
              <w:jc w:val="both"/>
              <w:rPr>
                <w:szCs w:val="21"/>
              </w:rPr>
            </w:pPr>
          </w:p>
          <w:p w14:paraId="4F8E9B7F" w14:textId="77777777" w:rsidR="00E6582B" w:rsidRPr="006759C7" w:rsidRDefault="00E6582B" w:rsidP="006759C7">
            <w:pPr>
              <w:suppressAutoHyphens/>
              <w:jc w:val="both"/>
              <w:rPr>
                <w:szCs w:val="21"/>
              </w:rPr>
            </w:pPr>
            <w:r w:rsidRPr="006759C7">
              <w:rPr>
                <w:szCs w:val="21"/>
              </w:rPr>
              <w:t>Podpis:__________________________</w:t>
            </w:r>
          </w:p>
          <w:p w14:paraId="2CF044FC" w14:textId="04BD7773" w:rsidR="00E6582B" w:rsidRPr="006759C7" w:rsidRDefault="00E6582B" w:rsidP="006759C7">
            <w:pPr>
              <w:suppressAutoHyphens/>
              <w:jc w:val="both"/>
              <w:rPr>
                <w:szCs w:val="21"/>
              </w:rPr>
            </w:pPr>
            <w:r w:rsidRPr="006759C7">
              <w:rPr>
                <w:szCs w:val="21"/>
              </w:rPr>
              <w:t xml:space="preserve">Jméno: </w:t>
            </w:r>
            <w:r w:rsidR="00F02929" w:rsidRPr="006759C7">
              <w:rPr>
                <w:szCs w:val="21"/>
              </w:rPr>
              <w:t xml:space="preserve">Mgr. Marta Kollerová </w:t>
            </w:r>
            <w:r w:rsidRPr="006759C7">
              <w:rPr>
                <w:szCs w:val="21"/>
              </w:rPr>
              <w:t xml:space="preserve"> </w:t>
            </w:r>
          </w:p>
          <w:p w14:paraId="189335F7" w14:textId="6ED6D541" w:rsidR="00E6582B" w:rsidRPr="006759C7" w:rsidRDefault="00E6582B" w:rsidP="006759C7">
            <w:pPr>
              <w:suppressAutoHyphens/>
              <w:jc w:val="both"/>
              <w:rPr>
                <w:szCs w:val="21"/>
              </w:rPr>
            </w:pPr>
            <w:r w:rsidRPr="006759C7">
              <w:rPr>
                <w:szCs w:val="21"/>
              </w:rPr>
              <w:t xml:space="preserve">Funkce: </w:t>
            </w:r>
            <w:r w:rsidR="00F02929" w:rsidRPr="006759C7">
              <w:rPr>
                <w:szCs w:val="21"/>
              </w:rPr>
              <w:t xml:space="preserve">kvestorka </w:t>
            </w:r>
          </w:p>
        </w:tc>
        <w:tc>
          <w:tcPr>
            <w:tcW w:w="4429" w:type="dxa"/>
          </w:tcPr>
          <w:p w14:paraId="628A03F8" w14:textId="77777777" w:rsidR="00E6582B" w:rsidRPr="006759C7" w:rsidRDefault="00E6582B" w:rsidP="006759C7">
            <w:pPr>
              <w:tabs>
                <w:tab w:val="left" w:pos="4021"/>
              </w:tabs>
              <w:suppressAutoHyphens/>
              <w:jc w:val="both"/>
              <w:rPr>
                <w:szCs w:val="21"/>
              </w:rPr>
            </w:pPr>
          </w:p>
        </w:tc>
      </w:tr>
    </w:tbl>
    <w:p w14:paraId="6A218052" w14:textId="77777777" w:rsidR="000F684E" w:rsidRPr="006759C7" w:rsidRDefault="000F684E" w:rsidP="006759C7">
      <w:pPr>
        <w:suppressAutoHyphens/>
        <w:jc w:val="both"/>
        <w:rPr>
          <w:szCs w:val="21"/>
        </w:rPr>
      </w:pPr>
    </w:p>
    <w:sectPr w:rsidR="000F684E" w:rsidRPr="006759C7" w:rsidSect="006759C7">
      <w:footerReference w:type="default" r:id="rId8"/>
      <w:headerReference w:type="first" r:id="rId9"/>
      <w:pgSz w:w="11906" w:h="16838"/>
      <w:pgMar w:top="2552" w:right="1418" w:bottom="1701" w:left="1418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A7ACA7" w14:textId="77777777" w:rsidR="00B04641" w:rsidRDefault="00B04641">
      <w:pPr>
        <w:spacing w:before="0" w:after="0" w:line="240" w:lineRule="auto"/>
      </w:pPr>
      <w:r>
        <w:separator/>
      </w:r>
    </w:p>
  </w:endnote>
  <w:endnote w:type="continuationSeparator" w:id="0">
    <w:p w14:paraId="5676F0E1" w14:textId="77777777" w:rsidR="00B04641" w:rsidRDefault="00B0464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EF76B" w14:textId="10E2A9DB" w:rsidR="003378DB" w:rsidRPr="003378DB" w:rsidRDefault="00C960D7" w:rsidP="003378DB">
    <w:pPr>
      <w:jc w:val="right"/>
    </w:pPr>
    <w:r w:rsidRPr="000D7C76">
      <w:fldChar w:fldCharType="begin"/>
    </w:r>
    <w:r w:rsidRPr="000D7C76">
      <w:instrText>PAGE</w:instrText>
    </w:r>
    <w:r w:rsidRPr="000D7C76">
      <w:fldChar w:fldCharType="separate"/>
    </w:r>
    <w:r w:rsidR="00E55819">
      <w:rPr>
        <w:noProof/>
      </w:rPr>
      <w:t>3</w:t>
    </w:r>
    <w:r w:rsidRPr="000D7C76">
      <w:fldChar w:fldCharType="end"/>
    </w:r>
    <w:r>
      <w:t xml:space="preserve"> / </w:t>
    </w:r>
    <w:r>
      <w:rPr>
        <w:noProof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FACAF9" w14:textId="77777777" w:rsidR="00B04641" w:rsidRDefault="00B04641">
      <w:pPr>
        <w:spacing w:before="0" w:after="0" w:line="240" w:lineRule="auto"/>
      </w:pPr>
      <w:r>
        <w:separator/>
      </w:r>
    </w:p>
  </w:footnote>
  <w:footnote w:type="continuationSeparator" w:id="0">
    <w:p w14:paraId="03AE6249" w14:textId="77777777" w:rsidR="00B04641" w:rsidRDefault="00B0464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26426" w14:textId="77777777" w:rsidR="0059440C" w:rsidRDefault="00B04641">
    <w:pPr>
      <w:pStyle w:val="Zhlav"/>
    </w:pPr>
  </w:p>
  <w:p w14:paraId="3198FD9E" w14:textId="77777777" w:rsidR="0059440C" w:rsidRDefault="00B0464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33EC0"/>
    <w:multiLevelType w:val="multilevel"/>
    <w:tmpl w:val="7B18C720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sz w:val="21"/>
        <w:szCs w:val="21"/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</w:lvl>
    <w:lvl w:ilvl="2">
      <w:start w:val="1"/>
      <w:numFmt w:val="decimal"/>
      <w:pStyle w:val="Nadpis3"/>
      <w:lvlText w:val="%1.%2.%3"/>
      <w:lvlJc w:val="left"/>
      <w:pPr>
        <w:ind w:left="1429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>
    <w:nsid w:val="388E559F"/>
    <w:multiLevelType w:val="hybridMultilevel"/>
    <w:tmpl w:val="E0CC7C4C"/>
    <w:lvl w:ilvl="0" w:tplc="2250E20E">
      <w:start w:val="1"/>
      <w:numFmt w:val="lowerRoman"/>
      <w:lvlText w:val="(%1)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52DE56B9"/>
    <w:multiLevelType w:val="hybridMultilevel"/>
    <w:tmpl w:val="0F48A8AC"/>
    <w:lvl w:ilvl="0" w:tplc="2250E20E">
      <w:start w:val="1"/>
      <w:numFmt w:val="lowerRoman"/>
      <w:lvlText w:val="(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>
    <w:nsid w:val="74C73FFF"/>
    <w:multiLevelType w:val="hybridMultilevel"/>
    <w:tmpl w:val="08564186"/>
    <w:lvl w:ilvl="0" w:tplc="CEAAD8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90A3D2" w:tentative="1">
      <w:start w:val="1"/>
      <w:numFmt w:val="lowerLetter"/>
      <w:lvlText w:val="%2."/>
      <w:lvlJc w:val="left"/>
      <w:pPr>
        <w:ind w:left="1440" w:hanging="360"/>
      </w:pPr>
    </w:lvl>
    <w:lvl w:ilvl="2" w:tplc="4328BD4E" w:tentative="1">
      <w:start w:val="1"/>
      <w:numFmt w:val="lowerRoman"/>
      <w:lvlText w:val="%3."/>
      <w:lvlJc w:val="right"/>
      <w:pPr>
        <w:ind w:left="2160" w:hanging="180"/>
      </w:pPr>
    </w:lvl>
    <w:lvl w:ilvl="3" w:tplc="ED60418A" w:tentative="1">
      <w:start w:val="1"/>
      <w:numFmt w:val="decimal"/>
      <w:lvlText w:val="%4."/>
      <w:lvlJc w:val="left"/>
      <w:pPr>
        <w:ind w:left="2880" w:hanging="360"/>
      </w:pPr>
    </w:lvl>
    <w:lvl w:ilvl="4" w:tplc="C58E69B0" w:tentative="1">
      <w:start w:val="1"/>
      <w:numFmt w:val="lowerLetter"/>
      <w:lvlText w:val="%5."/>
      <w:lvlJc w:val="left"/>
      <w:pPr>
        <w:ind w:left="3600" w:hanging="360"/>
      </w:pPr>
    </w:lvl>
    <w:lvl w:ilvl="5" w:tplc="19EA6C3A" w:tentative="1">
      <w:start w:val="1"/>
      <w:numFmt w:val="lowerRoman"/>
      <w:lvlText w:val="%6."/>
      <w:lvlJc w:val="right"/>
      <w:pPr>
        <w:ind w:left="4320" w:hanging="180"/>
      </w:pPr>
    </w:lvl>
    <w:lvl w:ilvl="6" w:tplc="70E45E80" w:tentative="1">
      <w:start w:val="1"/>
      <w:numFmt w:val="decimal"/>
      <w:lvlText w:val="%7."/>
      <w:lvlJc w:val="left"/>
      <w:pPr>
        <w:ind w:left="5040" w:hanging="360"/>
      </w:pPr>
    </w:lvl>
    <w:lvl w:ilvl="7" w:tplc="BDB8F2DA" w:tentative="1">
      <w:start w:val="1"/>
      <w:numFmt w:val="lowerLetter"/>
      <w:lvlText w:val="%8."/>
      <w:lvlJc w:val="left"/>
      <w:pPr>
        <w:ind w:left="5760" w:hanging="360"/>
      </w:pPr>
    </w:lvl>
    <w:lvl w:ilvl="8" w:tplc="2D28CFE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0"/>
    <w:lvlOverride w:ilvl="0">
      <w:lvl w:ilvl="0">
        <w:start w:val="1"/>
        <w:numFmt w:val="decimal"/>
        <w:pStyle w:val="Nadpis1"/>
        <w:lvlText w:val="%1"/>
        <w:lvlJc w:val="left"/>
        <w:pPr>
          <w:ind w:left="432" w:hanging="432"/>
        </w:pPr>
        <w:rPr>
          <w:rFonts w:hint="default"/>
          <w:sz w:val="21"/>
          <w:szCs w:val="21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718" w:hanging="576"/>
        </w:pPr>
        <w:rPr>
          <w:rFonts w:hint="default"/>
        </w:rPr>
      </w:lvl>
    </w:lvlOverride>
    <w:lvlOverride w:ilvl="2">
      <w:lvl w:ilvl="2">
        <w:start w:val="1"/>
        <w:numFmt w:val="lowerLetter"/>
        <w:pStyle w:val="Nadpis3"/>
        <w:lvlText w:val="(%3)"/>
        <w:lvlJc w:val="left"/>
        <w:pPr>
          <w:ind w:left="1429" w:hanging="720"/>
        </w:pPr>
        <w:rPr>
          <w:rFonts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1"/>
  </w:num>
  <w:num w:numId="14">
    <w:abstractNumId w:val="0"/>
  </w:num>
  <w:num w:numId="15">
    <w:abstractNumId w:val="0"/>
  </w:num>
  <w:num w:numId="16">
    <w:abstractNumId w:val="0"/>
  </w:num>
  <w:num w:numId="17">
    <w:abstractNumId w:val="2"/>
  </w:num>
  <w:num w:numId="18">
    <w:abstractNumId w:val="0"/>
  </w:num>
  <w:num w:numId="19">
    <w:abstractNumId w:val="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26F"/>
    <w:rsid w:val="00011F31"/>
    <w:rsid w:val="000127BD"/>
    <w:rsid w:val="000316FC"/>
    <w:rsid w:val="00054E1F"/>
    <w:rsid w:val="00063F68"/>
    <w:rsid w:val="000C5547"/>
    <w:rsid w:val="000E02CC"/>
    <w:rsid w:val="000E44DD"/>
    <w:rsid w:val="000F684E"/>
    <w:rsid w:val="001041F2"/>
    <w:rsid w:val="0011060F"/>
    <w:rsid w:val="001462CA"/>
    <w:rsid w:val="00154D3C"/>
    <w:rsid w:val="001756E1"/>
    <w:rsid w:val="001D58FE"/>
    <w:rsid w:val="001E6702"/>
    <w:rsid w:val="0028026F"/>
    <w:rsid w:val="00340B4D"/>
    <w:rsid w:val="00352BCB"/>
    <w:rsid w:val="003905CB"/>
    <w:rsid w:val="003F78CB"/>
    <w:rsid w:val="00420A2E"/>
    <w:rsid w:val="00433B81"/>
    <w:rsid w:val="00451C25"/>
    <w:rsid w:val="00454B94"/>
    <w:rsid w:val="004B5B4A"/>
    <w:rsid w:val="004C441F"/>
    <w:rsid w:val="004C560D"/>
    <w:rsid w:val="005148D2"/>
    <w:rsid w:val="005B54B6"/>
    <w:rsid w:val="005E754F"/>
    <w:rsid w:val="006100C1"/>
    <w:rsid w:val="00614624"/>
    <w:rsid w:val="0065555F"/>
    <w:rsid w:val="006759C7"/>
    <w:rsid w:val="006C7BBF"/>
    <w:rsid w:val="006E074B"/>
    <w:rsid w:val="006E21A7"/>
    <w:rsid w:val="007541B7"/>
    <w:rsid w:val="00783EB4"/>
    <w:rsid w:val="007D25EF"/>
    <w:rsid w:val="007E4329"/>
    <w:rsid w:val="00803A86"/>
    <w:rsid w:val="00826685"/>
    <w:rsid w:val="008606DE"/>
    <w:rsid w:val="00863C8C"/>
    <w:rsid w:val="0088450B"/>
    <w:rsid w:val="008A40D5"/>
    <w:rsid w:val="008A69D5"/>
    <w:rsid w:val="008B3869"/>
    <w:rsid w:val="008C468C"/>
    <w:rsid w:val="009308C5"/>
    <w:rsid w:val="00953543"/>
    <w:rsid w:val="009841F5"/>
    <w:rsid w:val="00995AF3"/>
    <w:rsid w:val="009F15FD"/>
    <w:rsid w:val="00A35F2C"/>
    <w:rsid w:val="00A56E58"/>
    <w:rsid w:val="00A64EC1"/>
    <w:rsid w:val="00A83948"/>
    <w:rsid w:val="00AF6B5D"/>
    <w:rsid w:val="00B04641"/>
    <w:rsid w:val="00B11987"/>
    <w:rsid w:val="00B56468"/>
    <w:rsid w:val="00B663A2"/>
    <w:rsid w:val="00C227F4"/>
    <w:rsid w:val="00C22E70"/>
    <w:rsid w:val="00C25EE7"/>
    <w:rsid w:val="00C811D7"/>
    <w:rsid w:val="00C960D7"/>
    <w:rsid w:val="00C967C0"/>
    <w:rsid w:val="00CC6D3E"/>
    <w:rsid w:val="00CF61E6"/>
    <w:rsid w:val="00D30655"/>
    <w:rsid w:val="00D52021"/>
    <w:rsid w:val="00D61278"/>
    <w:rsid w:val="00D81F79"/>
    <w:rsid w:val="00DC1CC3"/>
    <w:rsid w:val="00E305EF"/>
    <w:rsid w:val="00E515E4"/>
    <w:rsid w:val="00E55819"/>
    <w:rsid w:val="00E60FC0"/>
    <w:rsid w:val="00E6115D"/>
    <w:rsid w:val="00E64B7F"/>
    <w:rsid w:val="00E6582B"/>
    <w:rsid w:val="00E77B80"/>
    <w:rsid w:val="00EA4575"/>
    <w:rsid w:val="00ED09AD"/>
    <w:rsid w:val="00F0225A"/>
    <w:rsid w:val="00F02929"/>
    <w:rsid w:val="00F168AF"/>
    <w:rsid w:val="00F66B84"/>
    <w:rsid w:val="00F7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ECB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0D7"/>
    <w:pPr>
      <w:spacing w:before="120" w:after="120" w:line="300" w:lineRule="exact"/>
    </w:pPr>
    <w:rPr>
      <w:rFonts w:ascii="Georgia" w:eastAsia="Times New Roman" w:hAnsi="Georgia" w:cs="Times New Roman"/>
      <w:sz w:val="21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960D7"/>
    <w:pPr>
      <w:keepNext/>
      <w:widowControl w:val="0"/>
      <w:numPr>
        <w:numId w:val="1"/>
      </w:numPr>
      <w:spacing w:before="360"/>
      <w:outlineLvl w:val="0"/>
    </w:pPr>
    <w:rPr>
      <w:b/>
      <w:bCs/>
      <w:szCs w:val="21"/>
    </w:rPr>
  </w:style>
  <w:style w:type="paragraph" w:styleId="Nadpis2">
    <w:name w:val="heading 2"/>
    <w:basedOn w:val="Normln"/>
    <w:next w:val="Normln"/>
    <w:link w:val="Nadpis2Char"/>
    <w:qFormat/>
    <w:rsid w:val="00C960D7"/>
    <w:pPr>
      <w:widowControl w:val="0"/>
      <w:numPr>
        <w:ilvl w:val="1"/>
        <w:numId w:val="1"/>
      </w:numPr>
      <w:outlineLvl w:val="1"/>
    </w:pPr>
    <w:rPr>
      <w:bCs/>
      <w:iCs/>
      <w:szCs w:val="28"/>
    </w:rPr>
  </w:style>
  <w:style w:type="paragraph" w:styleId="Nadpis3">
    <w:name w:val="heading 3"/>
    <w:basedOn w:val="Normln"/>
    <w:next w:val="Normln"/>
    <w:link w:val="Nadpis3Char"/>
    <w:qFormat/>
    <w:rsid w:val="00C960D7"/>
    <w:pPr>
      <w:widowControl w:val="0"/>
      <w:numPr>
        <w:ilvl w:val="2"/>
        <w:numId w:val="1"/>
      </w:numPr>
      <w:spacing w:line="300" w:lineRule="atLeast"/>
      <w:outlineLvl w:val="2"/>
    </w:pPr>
    <w:rPr>
      <w:bCs/>
      <w:szCs w:val="21"/>
    </w:rPr>
  </w:style>
  <w:style w:type="paragraph" w:styleId="Nadpis4">
    <w:name w:val="heading 4"/>
    <w:basedOn w:val="Normln"/>
    <w:next w:val="Normln"/>
    <w:link w:val="Nadpis4Char"/>
    <w:unhideWhenUsed/>
    <w:qFormat/>
    <w:rsid w:val="00C960D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C960D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C960D7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C960D7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unhideWhenUsed/>
    <w:qFormat/>
    <w:rsid w:val="00C960D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nhideWhenUsed/>
    <w:qFormat/>
    <w:rsid w:val="00C960D7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960D7"/>
    <w:rPr>
      <w:rFonts w:ascii="Georgia" w:eastAsia="Times New Roman" w:hAnsi="Georgia" w:cs="Times New Roman"/>
      <w:b/>
      <w:bCs/>
      <w:sz w:val="21"/>
      <w:szCs w:val="21"/>
      <w:lang w:eastAsia="cs-CZ"/>
    </w:rPr>
  </w:style>
  <w:style w:type="character" w:customStyle="1" w:styleId="Nadpis2Char">
    <w:name w:val="Nadpis 2 Char"/>
    <w:basedOn w:val="Standardnpsmoodstavce"/>
    <w:link w:val="Nadpis2"/>
    <w:rsid w:val="00C960D7"/>
    <w:rPr>
      <w:rFonts w:ascii="Georgia" w:eastAsia="Times New Roman" w:hAnsi="Georgia" w:cs="Times New Roman"/>
      <w:bCs/>
      <w:iCs/>
      <w:sz w:val="21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C960D7"/>
    <w:rPr>
      <w:rFonts w:ascii="Georgia" w:eastAsia="Times New Roman" w:hAnsi="Georgia" w:cs="Times New Roman"/>
      <w:bCs/>
      <w:sz w:val="21"/>
      <w:szCs w:val="21"/>
      <w:lang w:eastAsia="cs-CZ"/>
    </w:rPr>
  </w:style>
  <w:style w:type="character" w:customStyle="1" w:styleId="Nadpis4Char">
    <w:name w:val="Nadpis 4 Char"/>
    <w:basedOn w:val="Standardnpsmoodstavce"/>
    <w:link w:val="Nadpis4"/>
    <w:rsid w:val="00C960D7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C960D7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C960D7"/>
    <w:rPr>
      <w:rFonts w:ascii="Calibri" w:eastAsia="Times New Roman" w:hAnsi="Calibri" w:cs="Times New Roman"/>
      <w:b/>
      <w:bCs/>
      <w:sz w:val="21"/>
      <w:lang w:eastAsia="cs-CZ"/>
    </w:rPr>
  </w:style>
  <w:style w:type="character" w:customStyle="1" w:styleId="Nadpis7Char">
    <w:name w:val="Nadpis 7 Char"/>
    <w:basedOn w:val="Standardnpsmoodstavce"/>
    <w:link w:val="Nadpis7"/>
    <w:rsid w:val="00C960D7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C960D7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C960D7"/>
    <w:rPr>
      <w:rFonts w:ascii="Cambria" w:eastAsia="Times New Roman" w:hAnsi="Cambria" w:cs="Times New Roman"/>
      <w:sz w:val="21"/>
      <w:lang w:eastAsia="cs-CZ"/>
    </w:rPr>
  </w:style>
  <w:style w:type="paragraph" w:styleId="Zhlav">
    <w:name w:val="header"/>
    <w:basedOn w:val="Normln"/>
    <w:link w:val="ZhlavChar"/>
    <w:rsid w:val="00C960D7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C960D7"/>
    <w:rPr>
      <w:rFonts w:ascii="Georgia" w:eastAsia="Times New Roman" w:hAnsi="Georgia" w:cs="Times New Roman"/>
      <w:sz w:val="21"/>
      <w:szCs w:val="20"/>
      <w:lang w:eastAsia="cs-CZ"/>
    </w:rPr>
  </w:style>
  <w:style w:type="character" w:customStyle="1" w:styleId="platne1">
    <w:name w:val="platne1"/>
    <w:basedOn w:val="Standardnpsmoodstavce"/>
    <w:rsid w:val="00C960D7"/>
    <w:rPr>
      <w:rFonts w:ascii="Georgia" w:hAnsi="Georgia"/>
      <w:sz w:val="21"/>
    </w:rPr>
  </w:style>
  <w:style w:type="paragraph" w:styleId="Odstavecseseznamem">
    <w:name w:val="List Paragraph"/>
    <w:basedOn w:val="Normln"/>
    <w:uiPriority w:val="34"/>
    <w:qFormat/>
    <w:rsid w:val="00C960D7"/>
    <w:pPr>
      <w:spacing w:before="0" w:after="200"/>
      <w:ind w:left="720"/>
      <w:contextualSpacing/>
    </w:pPr>
    <w:rPr>
      <w:rFonts w:eastAsia="Calibri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C960D7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6E21A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21A7"/>
    <w:rPr>
      <w:rFonts w:ascii="Georgia" w:eastAsia="Times New Roman" w:hAnsi="Georgia" w:cs="Times New Roman"/>
      <w:sz w:val="21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450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450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60F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0FC0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0FC0"/>
    <w:rPr>
      <w:rFonts w:ascii="Georgia" w:eastAsia="Times New Roman" w:hAnsi="Georg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0F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0FC0"/>
    <w:rPr>
      <w:rFonts w:ascii="Georgia" w:eastAsia="Times New Roman" w:hAnsi="Georgia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02929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02929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F73A0F"/>
    <w:pPr>
      <w:spacing w:before="0"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F73A0F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0D7"/>
    <w:pPr>
      <w:spacing w:before="120" w:after="120" w:line="300" w:lineRule="exact"/>
    </w:pPr>
    <w:rPr>
      <w:rFonts w:ascii="Georgia" w:eastAsia="Times New Roman" w:hAnsi="Georgia" w:cs="Times New Roman"/>
      <w:sz w:val="21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960D7"/>
    <w:pPr>
      <w:keepNext/>
      <w:widowControl w:val="0"/>
      <w:numPr>
        <w:numId w:val="1"/>
      </w:numPr>
      <w:spacing w:before="360"/>
      <w:outlineLvl w:val="0"/>
    </w:pPr>
    <w:rPr>
      <w:b/>
      <w:bCs/>
      <w:szCs w:val="21"/>
    </w:rPr>
  </w:style>
  <w:style w:type="paragraph" w:styleId="Nadpis2">
    <w:name w:val="heading 2"/>
    <w:basedOn w:val="Normln"/>
    <w:next w:val="Normln"/>
    <w:link w:val="Nadpis2Char"/>
    <w:qFormat/>
    <w:rsid w:val="00C960D7"/>
    <w:pPr>
      <w:widowControl w:val="0"/>
      <w:numPr>
        <w:ilvl w:val="1"/>
        <w:numId w:val="1"/>
      </w:numPr>
      <w:outlineLvl w:val="1"/>
    </w:pPr>
    <w:rPr>
      <w:bCs/>
      <w:iCs/>
      <w:szCs w:val="28"/>
    </w:rPr>
  </w:style>
  <w:style w:type="paragraph" w:styleId="Nadpis3">
    <w:name w:val="heading 3"/>
    <w:basedOn w:val="Normln"/>
    <w:next w:val="Normln"/>
    <w:link w:val="Nadpis3Char"/>
    <w:qFormat/>
    <w:rsid w:val="00C960D7"/>
    <w:pPr>
      <w:widowControl w:val="0"/>
      <w:numPr>
        <w:ilvl w:val="2"/>
        <w:numId w:val="1"/>
      </w:numPr>
      <w:spacing w:line="300" w:lineRule="atLeast"/>
      <w:outlineLvl w:val="2"/>
    </w:pPr>
    <w:rPr>
      <w:bCs/>
      <w:szCs w:val="21"/>
    </w:rPr>
  </w:style>
  <w:style w:type="paragraph" w:styleId="Nadpis4">
    <w:name w:val="heading 4"/>
    <w:basedOn w:val="Normln"/>
    <w:next w:val="Normln"/>
    <w:link w:val="Nadpis4Char"/>
    <w:unhideWhenUsed/>
    <w:qFormat/>
    <w:rsid w:val="00C960D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C960D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C960D7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C960D7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unhideWhenUsed/>
    <w:qFormat/>
    <w:rsid w:val="00C960D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nhideWhenUsed/>
    <w:qFormat/>
    <w:rsid w:val="00C960D7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960D7"/>
    <w:rPr>
      <w:rFonts w:ascii="Georgia" w:eastAsia="Times New Roman" w:hAnsi="Georgia" w:cs="Times New Roman"/>
      <w:b/>
      <w:bCs/>
      <w:sz w:val="21"/>
      <w:szCs w:val="21"/>
      <w:lang w:eastAsia="cs-CZ"/>
    </w:rPr>
  </w:style>
  <w:style w:type="character" w:customStyle="1" w:styleId="Nadpis2Char">
    <w:name w:val="Nadpis 2 Char"/>
    <w:basedOn w:val="Standardnpsmoodstavce"/>
    <w:link w:val="Nadpis2"/>
    <w:rsid w:val="00C960D7"/>
    <w:rPr>
      <w:rFonts w:ascii="Georgia" w:eastAsia="Times New Roman" w:hAnsi="Georgia" w:cs="Times New Roman"/>
      <w:bCs/>
      <w:iCs/>
      <w:sz w:val="21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C960D7"/>
    <w:rPr>
      <w:rFonts w:ascii="Georgia" w:eastAsia="Times New Roman" w:hAnsi="Georgia" w:cs="Times New Roman"/>
      <w:bCs/>
      <w:sz w:val="21"/>
      <w:szCs w:val="21"/>
      <w:lang w:eastAsia="cs-CZ"/>
    </w:rPr>
  </w:style>
  <w:style w:type="character" w:customStyle="1" w:styleId="Nadpis4Char">
    <w:name w:val="Nadpis 4 Char"/>
    <w:basedOn w:val="Standardnpsmoodstavce"/>
    <w:link w:val="Nadpis4"/>
    <w:rsid w:val="00C960D7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C960D7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C960D7"/>
    <w:rPr>
      <w:rFonts w:ascii="Calibri" w:eastAsia="Times New Roman" w:hAnsi="Calibri" w:cs="Times New Roman"/>
      <w:b/>
      <w:bCs/>
      <w:sz w:val="21"/>
      <w:lang w:eastAsia="cs-CZ"/>
    </w:rPr>
  </w:style>
  <w:style w:type="character" w:customStyle="1" w:styleId="Nadpis7Char">
    <w:name w:val="Nadpis 7 Char"/>
    <w:basedOn w:val="Standardnpsmoodstavce"/>
    <w:link w:val="Nadpis7"/>
    <w:rsid w:val="00C960D7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C960D7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C960D7"/>
    <w:rPr>
      <w:rFonts w:ascii="Cambria" w:eastAsia="Times New Roman" w:hAnsi="Cambria" w:cs="Times New Roman"/>
      <w:sz w:val="21"/>
      <w:lang w:eastAsia="cs-CZ"/>
    </w:rPr>
  </w:style>
  <w:style w:type="paragraph" w:styleId="Zhlav">
    <w:name w:val="header"/>
    <w:basedOn w:val="Normln"/>
    <w:link w:val="ZhlavChar"/>
    <w:rsid w:val="00C960D7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C960D7"/>
    <w:rPr>
      <w:rFonts w:ascii="Georgia" w:eastAsia="Times New Roman" w:hAnsi="Georgia" w:cs="Times New Roman"/>
      <w:sz w:val="21"/>
      <w:szCs w:val="20"/>
      <w:lang w:eastAsia="cs-CZ"/>
    </w:rPr>
  </w:style>
  <w:style w:type="character" w:customStyle="1" w:styleId="platne1">
    <w:name w:val="platne1"/>
    <w:basedOn w:val="Standardnpsmoodstavce"/>
    <w:rsid w:val="00C960D7"/>
    <w:rPr>
      <w:rFonts w:ascii="Georgia" w:hAnsi="Georgia"/>
      <w:sz w:val="21"/>
    </w:rPr>
  </w:style>
  <w:style w:type="paragraph" w:styleId="Odstavecseseznamem">
    <w:name w:val="List Paragraph"/>
    <w:basedOn w:val="Normln"/>
    <w:uiPriority w:val="34"/>
    <w:qFormat/>
    <w:rsid w:val="00C960D7"/>
    <w:pPr>
      <w:spacing w:before="0" w:after="200"/>
      <w:ind w:left="720"/>
      <w:contextualSpacing/>
    </w:pPr>
    <w:rPr>
      <w:rFonts w:eastAsia="Calibri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C960D7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6E21A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21A7"/>
    <w:rPr>
      <w:rFonts w:ascii="Georgia" w:eastAsia="Times New Roman" w:hAnsi="Georgia" w:cs="Times New Roman"/>
      <w:sz w:val="21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450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450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60F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0FC0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0FC0"/>
    <w:rPr>
      <w:rFonts w:ascii="Georgia" w:eastAsia="Times New Roman" w:hAnsi="Georg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0F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0FC0"/>
    <w:rPr>
      <w:rFonts w:ascii="Georgia" w:eastAsia="Times New Roman" w:hAnsi="Georgia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02929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02929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F73A0F"/>
    <w:pPr>
      <w:spacing w:before="0"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F73A0F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GREBEŇOVÁ</dc:creator>
  <cp:lastModifiedBy>Blanka GREBEŇOVÁ</cp:lastModifiedBy>
  <cp:revision>4</cp:revision>
  <cp:lastPrinted>2020-03-13T14:58:00Z</cp:lastPrinted>
  <dcterms:created xsi:type="dcterms:W3CDTF">2020-07-21T09:29:00Z</dcterms:created>
  <dcterms:modified xsi:type="dcterms:W3CDTF">2020-07-21T09:30:00Z</dcterms:modified>
</cp:coreProperties>
</file>