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647C71" w:rsidRDefault="00647C71" w:rsidP="000A0147">
      <w:pPr>
        <w:jc w:val="center"/>
        <w:rPr>
          <w:rFonts w:asciiTheme="minorHAnsi" w:hAnsiTheme="minorHAnsi"/>
          <w:b/>
          <w:sz w:val="28"/>
          <w:szCs w:val="28"/>
        </w:rPr>
      </w:pPr>
      <w:bookmarkStart w:id="0" w:name="_GoBack"/>
      <w:bookmarkEnd w:id="0"/>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2817FD">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101486"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TyfloCentrum Pardubice</w:t>
      </w:r>
      <w:r w:rsidR="004E69EC">
        <w:rPr>
          <w:rFonts w:asciiTheme="minorHAnsi" w:hAnsiTheme="minorHAnsi"/>
          <w:color w:val="333333"/>
          <w:sz w:val="22"/>
          <w:szCs w:val="22"/>
          <w:shd w:val="clear" w:color="auto" w:fill="FFFFFF"/>
        </w:rPr>
        <w:t>,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101486" w:rsidRPr="00101486">
        <w:rPr>
          <w:rFonts w:asciiTheme="minorHAnsi" w:hAnsiTheme="minorHAnsi"/>
          <w:color w:val="333333"/>
          <w:sz w:val="22"/>
          <w:szCs w:val="22"/>
          <w:shd w:val="clear" w:color="auto" w:fill="FFFFFF"/>
        </w:rPr>
        <w:t>Pardubice, Nábřeží Závodu míru 1961, PSČ 53002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101486">
        <w:rPr>
          <w:rFonts w:ascii="Calibri" w:hAnsi="Calibri"/>
          <w:sz w:val="22"/>
          <w:szCs w:val="22"/>
        </w:rPr>
        <w:t>25997343</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101486">
        <w:rPr>
          <w:rFonts w:ascii="Calibri" w:hAnsi="Calibri"/>
          <w:sz w:val="22"/>
          <w:szCs w:val="22"/>
        </w:rPr>
        <w:t>1207703349/0800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4E69EC">
        <w:rPr>
          <w:rFonts w:ascii="Calibri" w:hAnsi="Calibri"/>
          <w:sz w:val="22"/>
          <w:szCs w:val="22"/>
        </w:rPr>
        <w:t xml:space="preserve">Mgr. </w:t>
      </w:r>
      <w:r w:rsidR="00101486">
        <w:rPr>
          <w:rFonts w:ascii="Calibri" w:hAnsi="Calibri"/>
          <w:sz w:val="22"/>
          <w:szCs w:val="22"/>
        </w:rPr>
        <w:t>Danou Stoklasovou</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9A4C89">
        <w:rPr>
          <w:rFonts w:ascii="Calibri" w:hAnsi="Calibri"/>
          <w:b/>
          <w:sz w:val="22"/>
          <w:szCs w:val="22"/>
        </w:rPr>
        <w:t>64</w:t>
      </w:r>
      <w:r w:rsidR="00AB7467">
        <w:rPr>
          <w:rFonts w:ascii="Calibri" w:hAnsi="Calibri"/>
          <w:b/>
          <w:sz w:val="22"/>
          <w:szCs w:val="22"/>
        </w:rPr>
        <w:t xml:space="preserve"> </w:t>
      </w:r>
      <w:r w:rsidR="009A4C89">
        <w:rPr>
          <w:rFonts w:ascii="Calibri" w:hAnsi="Calibri"/>
          <w:b/>
          <w:sz w:val="22"/>
          <w:szCs w:val="22"/>
        </w:rPr>
        <w:t>3</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9A4C89">
        <w:rPr>
          <w:rFonts w:ascii="Calibri" w:hAnsi="Calibri"/>
          <w:sz w:val="22"/>
          <w:szCs w:val="22"/>
        </w:rPr>
        <w:t>Šedesátčtyřitisícetřista</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101486">
        <w:rPr>
          <w:rFonts w:ascii="Calibri" w:hAnsi="Calibri"/>
          <w:b/>
          <w:sz w:val="22"/>
          <w:szCs w:val="22"/>
        </w:rPr>
        <w:t xml:space="preserve">TyfloCentrum Pardubice, o.p.s. – </w:t>
      </w:r>
      <w:r w:rsidR="009A4C89">
        <w:rPr>
          <w:rFonts w:ascii="Calibri" w:hAnsi="Calibri"/>
          <w:b/>
          <w:sz w:val="22"/>
          <w:szCs w:val="22"/>
        </w:rPr>
        <w:t>průvodcovské a předčitatelské služby</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101486">
        <w:rPr>
          <w:rFonts w:ascii="Calibri" w:hAnsi="Calibri"/>
          <w:sz w:val="22"/>
          <w:szCs w:val="22"/>
        </w:rPr>
        <w:t>2</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MmP </w:t>
      </w:r>
      <w:r w:rsidR="004405E5">
        <w:rPr>
          <w:rFonts w:ascii="Calibri" w:hAnsi="Calibri"/>
          <w:sz w:val="22"/>
          <w:szCs w:val="22"/>
        </w:rPr>
        <w:t>71</w:t>
      </w:r>
      <w:r w:rsidR="00101486">
        <w:rPr>
          <w:rFonts w:ascii="Calibri" w:hAnsi="Calibri"/>
          <w:sz w:val="22"/>
          <w:szCs w:val="22"/>
        </w:rPr>
        <w:t>06</w:t>
      </w:r>
      <w:r w:rsidR="009A4C89">
        <w:rPr>
          <w:rFonts w:ascii="Calibri" w:hAnsi="Calibri"/>
          <w:sz w:val="22"/>
          <w:szCs w:val="22"/>
        </w:rPr>
        <w:t>5</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4E69EC">
        <w:rPr>
          <w:rFonts w:ascii="Calibri" w:hAnsi="Calibri"/>
          <w:sz w:val="22"/>
          <w:szCs w:val="22"/>
        </w:rPr>
        <w:t xml:space="preserve">Mgr. </w:t>
      </w:r>
      <w:r w:rsidR="00101486">
        <w:rPr>
          <w:rFonts w:ascii="Calibri" w:hAnsi="Calibri"/>
          <w:sz w:val="22"/>
          <w:szCs w:val="22"/>
        </w:rPr>
        <w:t>Dana Stoklasová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811B9B">
        <w:rPr>
          <w:rFonts w:ascii="Calibri" w:hAnsi="Calibri"/>
          <w:sz w:val="22"/>
          <w:szCs w:val="22"/>
        </w:rPr>
        <w:t xml:space="preserve"> 15.12.2016</w:t>
      </w:r>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p w:rsidR="002817FD" w:rsidRDefault="002817FD" w:rsidP="00D33593">
      <w:pPr>
        <w:jc w:val="center"/>
        <w:rPr>
          <w:rFonts w:ascii="Calibri" w:hAnsi="Calibri"/>
          <w:sz w:val="22"/>
          <w:szCs w:val="22"/>
        </w:rPr>
      </w:pPr>
    </w:p>
    <w:tbl>
      <w:tblPr>
        <w:tblW w:w="1012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gridCol w:w="920"/>
        <w:gridCol w:w="146"/>
      </w:tblGrid>
      <w:tr w:rsidR="002817FD" w:rsidRPr="002817FD" w:rsidTr="002817FD">
        <w:trPr>
          <w:trHeight w:val="255"/>
        </w:trPr>
        <w:tc>
          <w:tcPr>
            <w:tcW w:w="5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 xml:space="preserve">ROZPOČET </w:t>
            </w:r>
          </w:p>
        </w:tc>
        <w:tc>
          <w:tcPr>
            <w:tcW w:w="14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300"/>
        </w:trPr>
        <w:tc>
          <w:tcPr>
            <w:tcW w:w="5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6580" w:type="dxa"/>
            <w:gridSpan w:val="5"/>
            <w:tcBorders>
              <w:top w:val="nil"/>
              <w:left w:val="nil"/>
              <w:bottom w:val="nil"/>
              <w:right w:val="nil"/>
            </w:tcBorders>
            <w:shd w:val="clear" w:color="auto" w:fill="auto"/>
            <w:vAlign w:val="bottom"/>
            <w:hideMark/>
          </w:tcPr>
          <w:p w:rsidR="002817FD" w:rsidRPr="002817FD" w:rsidRDefault="002817FD" w:rsidP="002817FD">
            <w:pPr>
              <w:rPr>
                <w:rFonts w:ascii="Calibri" w:hAnsi="Calibri" w:cs="Arial"/>
                <w:b/>
                <w:bCs/>
                <w:sz w:val="22"/>
                <w:szCs w:val="22"/>
              </w:rPr>
            </w:pPr>
            <w:r w:rsidRPr="002817FD">
              <w:rPr>
                <w:rFonts w:ascii="Calibri" w:hAnsi="Calibri" w:cs="Arial"/>
                <w:b/>
                <w:bCs/>
                <w:sz w:val="22"/>
                <w:szCs w:val="22"/>
              </w:rPr>
              <w:t>TyfloCentrum Pardubice,o.p.s. - průvodcovské a předčitatelské služby</w:t>
            </w:r>
          </w:p>
        </w:tc>
      </w:tr>
      <w:tr w:rsidR="002817FD" w:rsidRPr="002817FD" w:rsidTr="002817FD">
        <w:trPr>
          <w:trHeight w:val="270"/>
        </w:trPr>
        <w:tc>
          <w:tcPr>
            <w:tcW w:w="5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r w:rsidRPr="002817FD">
              <w:rPr>
                <w:rFonts w:ascii="Calibri" w:hAnsi="Calibri" w:cs="Arial"/>
                <w:sz w:val="20"/>
                <w:szCs w:val="20"/>
              </w:rPr>
              <w:t xml:space="preserve">Vyplňte jednotlivé položky - nastaveny automatické součty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817FD" w:rsidRPr="002817FD" w:rsidRDefault="002817FD" w:rsidP="002817FD">
            <w:pPr>
              <w:rPr>
                <w:rFonts w:ascii="Calibri" w:hAnsi="Calibri" w:cs="Arial"/>
                <w:b/>
                <w:bCs/>
                <w:color w:val="000000"/>
                <w:sz w:val="20"/>
                <w:szCs w:val="20"/>
              </w:rPr>
            </w:pPr>
            <w:r w:rsidRPr="002817FD">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Požadavek finančních prostředků na MmP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Poznámka (slovní komentář</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817FD" w:rsidRPr="002817FD" w:rsidRDefault="002817FD" w:rsidP="002817FD">
            <w:pPr>
              <w:rPr>
                <w:rFonts w:ascii="Calibri" w:hAnsi="Calibri" w:cs="Arial"/>
                <w:b/>
                <w:bCs/>
                <w:color w:val="000000"/>
                <w:sz w:val="20"/>
                <w:szCs w:val="20"/>
              </w:rPr>
            </w:pPr>
            <w:r w:rsidRPr="002817FD">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42100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3600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145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5200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1000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kancelářské potřeby, hygienické a čistící potřeby, cartridge, odborná literatura, tyfopomůcky do 500 Kč a ostatní drobný materiál</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945"/>
        </w:trPr>
        <w:tc>
          <w:tcPr>
            <w:tcW w:w="580" w:type="dxa"/>
            <w:tcBorders>
              <w:top w:val="nil"/>
              <w:left w:val="single" w:sz="8" w:space="0" w:color="auto"/>
              <w:bottom w:val="nil"/>
              <w:right w:val="single" w:sz="8" w:space="0" w:color="auto"/>
            </w:tcBorders>
            <w:shd w:val="clear" w:color="auto" w:fill="auto"/>
            <w:textDirection w:val="btLr"/>
            <w:vAlign w:val="bottom"/>
            <w:hideMark/>
          </w:tcPr>
          <w:p w:rsidR="002817FD" w:rsidRPr="002817FD" w:rsidRDefault="002817FD" w:rsidP="002817FD">
            <w:pPr>
              <w:jc w:val="center"/>
              <w:rPr>
                <w:rFonts w:ascii="Calibri" w:hAnsi="Calibri" w:cs="Arial"/>
                <w:color w:val="000000"/>
                <w:sz w:val="20"/>
                <w:szCs w:val="20"/>
              </w:rPr>
            </w:pPr>
            <w:r w:rsidRPr="002817F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2817FD" w:rsidRPr="002817FD" w:rsidRDefault="00647C71" w:rsidP="002817FD">
            <w:pPr>
              <w:rPr>
                <w:rFonts w:ascii="Calibri" w:hAnsi="Calibri" w:cs="Arial"/>
                <w:color w:val="0000FF"/>
                <w:sz w:val="20"/>
                <w:szCs w:val="20"/>
                <w:u w:val="single"/>
              </w:rPr>
            </w:pPr>
            <w:hyperlink r:id="rId10" w:anchor="RANGE!_ftn1" w:history="1">
              <w:r w:rsidR="002817FD" w:rsidRPr="002817FD">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1800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kancelářské židle, drobné vybavení kanceláří, tyflopomůcky nad 500 Kč</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36900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2600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2100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el. energie</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126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7000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200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 xml:space="preserve">např. cesty k uživatelům nebo s uživateli připoskytování  PPS po městě, cestovné na školení zaměstnanců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10500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400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369"/>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2817FD" w:rsidRPr="002817FD" w:rsidRDefault="002817FD" w:rsidP="002817FD">
            <w:pPr>
              <w:jc w:val="center"/>
              <w:rPr>
                <w:rFonts w:ascii="Calibri" w:hAnsi="Calibri" w:cs="Arial"/>
                <w:color w:val="000000"/>
                <w:sz w:val="20"/>
                <w:szCs w:val="20"/>
              </w:rPr>
            </w:pPr>
            <w:r w:rsidRPr="002817F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sz w:val="20"/>
                <w:szCs w:val="20"/>
              </w:rPr>
            </w:pPr>
            <w:r w:rsidRPr="002817FD">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6700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1020"/>
        </w:trPr>
        <w:tc>
          <w:tcPr>
            <w:tcW w:w="580" w:type="dxa"/>
            <w:vMerge/>
            <w:tcBorders>
              <w:top w:val="nil"/>
              <w:left w:val="single" w:sz="8" w:space="0" w:color="auto"/>
              <w:bottom w:val="nil"/>
              <w:right w:val="single" w:sz="8" w:space="0" w:color="auto"/>
            </w:tcBorders>
            <w:vAlign w:val="center"/>
            <w:hideMark/>
          </w:tcPr>
          <w:p w:rsidR="002817FD" w:rsidRPr="002817FD" w:rsidRDefault="002817FD" w:rsidP="002817F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2817FD" w:rsidRPr="002817FD" w:rsidRDefault="002817FD" w:rsidP="002817FD">
            <w:pPr>
              <w:rPr>
                <w:rFonts w:ascii="Calibri" w:hAnsi="Calibri" w:cs="Arial"/>
                <w:sz w:val="20"/>
                <w:szCs w:val="20"/>
              </w:rPr>
            </w:pPr>
            <w:r w:rsidRPr="002817FD">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3000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400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externí zpracování mzdové agendy, právní, ekonomické a účetní poradenství</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600"/>
        </w:trPr>
        <w:tc>
          <w:tcPr>
            <w:tcW w:w="580" w:type="dxa"/>
            <w:vMerge/>
            <w:tcBorders>
              <w:top w:val="nil"/>
              <w:left w:val="single" w:sz="8" w:space="0" w:color="auto"/>
              <w:bottom w:val="nil"/>
              <w:right w:val="single" w:sz="8" w:space="0" w:color="auto"/>
            </w:tcBorders>
            <w:vAlign w:val="center"/>
            <w:hideMark/>
          </w:tcPr>
          <w:p w:rsidR="002817FD" w:rsidRPr="002817FD" w:rsidRDefault="002817FD" w:rsidP="002817F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2817FD" w:rsidRPr="002817FD" w:rsidRDefault="00647C71" w:rsidP="002817FD">
            <w:pPr>
              <w:rPr>
                <w:rFonts w:ascii="Calibri" w:hAnsi="Calibri" w:cs="Arial"/>
                <w:color w:val="0000FF"/>
                <w:sz w:val="20"/>
                <w:szCs w:val="20"/>
                <w:u w:val="single"/>
              </w:rPr>
            </w:pPr>
            <w:hyperlink r:id="rId11" w:anchor="RANGE!_ftn2" w:history="1">
              <w:r w:rsidR="002817FD" w:rsidRPr="002817FD">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800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aktualizace softwaru, drobný software</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304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17300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2000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služby spojené s nájmem, vodné, stočné, teplo, telefony, poštovné, internet,školení a kurzy, kopírování, tisk, revize apod., dále neuplatněné náklady v dotacích jako bankovní poplatky, audit, zákonné pojištění úrazů a nemocí z povolání, pojištění majetku a odpovědnosti apod.</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b/>
                <w:bCs/>
                <w:sz w:val="20"/>
                <w:szCs w:val="20"/>
              </w:rPr>
            </w:pPr>
          </w:p>
        </w:tc>
      </w:tr>
      <w:tr w:rsidR="002817FD" w:rsidRPr="002817FD" w:rsidTr="002817F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817FD" w:rsidRPr="002817FD" w:rsidRDefault="002817FD" w:rsidP="002817FD">
            <w:pPr>
              <w:rPr>
                <w:rFonts w:ascii="Calibri" w:hAnsi="Calibri" w:cs="Arial"/>
                <w:b/>
                <w:bCs/>
                <w:color w:val="000000"/>
                <w:sz w:val="20"/>
                <w:szCs w:val="20"/>
              </w:rPr>
            </w:pPr>
            <w:r w:rsidRPr="002817FD">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268900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60700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HPP + DPP</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214"/>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817FD" w:rsidRPr="002817FD" w:rsidRDefault="002817FD" w:rsidP="002817FD">
            <w:pPr>
              <w:rPr>
                <w:rFonts w:ascii="Calibri" w:hAnsi="Calibri" w:cs="Arial"/>
                <w:b/>
                <w:bCs/>
                <w:sz w:val="20"/>
                <w:szCs w:val="20"/>
              </w:rPr>
            </w:pPr>
            <w:r w:rsidRPr="002817FD">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311000</w:t>
            </w:r>
          </w:p>
        </w:tc>
        <w:tc>
          <w:tcPr>
            <w:tcW w:w="148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b/>
                <w:bCs/>
                <w:sz w:val="20"/>
                <w:szCs w:val="20"/>
              </w:rPr>
            </w:pPr>
            <w:r w:rsidRPr="002817FD">
              <w:rPr>
                <w:rFonts w:ascii="Calibri" w:hAnsi="Calibri" w:cs="Arial"/>
                <w:b/>
                <w:bCs/>
                <w:sz w:val="20"/>
                <w:szCs w:val="20"/>
              </w:rPr>
              <w:t>64300</w:t>
            </w:r>
          </w:p>
        </w:tc>
        <w:tc>
          <w:tcPr>
            <w:tcW w:w="2560" w:type="dxa"/>
            <w:tcBorders>
              <w:top w:val="nil"/>
              <w:left w:val="nil"/>
              <w:bottom w:val="single" w:sz="8" w:space="0" w:color="auto"/>
              <w:right w:val="single" w:sz="8" w:space="0" w:color="auto"/>
            </w:tcBorders>
            <w:shd w:val="clear" w:color="auto" w:fill="auto"/>
            <w:vAlign w:val="bottom"/>
            <w:hideMark/>
          </w:tcPr>
          <w:p w:rsidR="002817FD" w:rsidRPr="002817FD" w:rsidRDefault="002817FD" w:rsidP="002817FD">
            <w:pPr>
              <w:jc w:val="center"/>
              <w:rPr>
                <w:rFonts w:ascii="Calibri" w:hAnsi="Calibri" w:cs="Arial"/>
                <w:sz w:val="20"/>
                <w:szCs w:val="20"/>
              </w:rPr>
            </w:pPr>
            <w:r w:rsidRPr="002817FD">
              <w:rPr>
                <w:rFonts w:ascii="Calibri" w:hAnsi="Calibri" w:cs="Arial"/>
                <w:sz w:val="20"/>
                <w:szCs w:val="20"/>
              </w:rPr>
              <w:t> </w:t>
            </w: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255"/>
        </w:trPr>
        <w:tc>
          <w:tcPr>
            <w:tcW w:w="5120" w:type="dxa"/>
            <w:gridSpan w:val="3"/>
            <w:tcBorders>
              <w:top w:val="nil"/>
              <w:left w:val="nil"/>
              <w:bottom w:val="nil"/>
              <w:right w:val="nil"/>
            </w:tcBorders>
            <w:shd w:val="clear" w:color="auto" w:fill="auto"/>
            <w:noWrap/>
            <w:vAlign w:val="bottom"/>
            <w:hideMark/>
          </w:tcPr>
          <w:p w:rsidR="002817FD" w:rsidRPr="002817FD" w:rsidRDefault="00647C71" w:rsidP="002817FD">
            <w:pPr>
              <w:jc w:val="both"/>
              <w:rPr>
                <w:rFonts w:ascii="Calibri" w:hAnsi="Calibri" w:cs="Arial"/>
                <w:color w:val="0000FF"/>
                <w:sz w:val="20"/>
                <w:szCs w:val="20"/>
                <w:u w:val="single"/>
              </w:rPr>
            </w:pPr>
            <w:hyperlink r:id="rId12" w:anchor="RANGE!_ftnref1" w:history="1">
              <w:r w:rsidR="002817FD" w:rsidRPr="002817FD">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r w:rsidR="002817FD" w:rsidRPr="002817FD" w:rsidTr="002817FD">
        <w:trPr>
          <w:trHeight w:val="255"/>
        </w:trPr>
        <w:tc>
          <w:tcPr>
            <w:tcW w:w="5120" w:type="dxa"/>
            <w:gridSpan w:val="3"/>
            <w:tcBorders>
              <w:top w:val="nil"/>
              <w:left w:val="nil"/>
              <w:bottom w:val="nil"/>
              <w:right w:val="nil"/>
            </w:tcBorders>
            <w:shd w:val="clear" w:color="auto" w:fill="auto"/>
            <w:noWrap/>
            <w:vAlign w:val="bottom"/>
            <w:hideMark/>
          </w:tcPr>
          <w:p w:rsidR="002817FD" w:rsidRPr="002817FD" w:rsidRDefault="00647C71" w:rsidP="002817FD">
            <w:pPr>
              <w:jc w:val="both"/>
              <w:rPr>
                <w:rFonts w:ascii="Calibri" w:hAnsi="Calibri" w:cs="Arial"/>
                <w:color w:val="0000FF"/>
                <w:sz w:val="20"/>
                <w:szCs w:val="20"/>
                <w:u w:val="single"/>
              </w:rPr>
            </w:pPr>
            <w:hyperlink r:id="rId13" w:anchor="RANGE!_ftnref2" w:history="1">
              <w:r w:rsidR="002817FD" w:rsidRPr="002817FD">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2817FD" w:rsidRPr="002817FD" w:rsidRDefault="002817FD" w:rsidP="002817FD">
            <w:pPr>
              <w:rPr>
                <w:rFonts w:ascii="Calibri" w:hAnsi="Calibri" w:cs="Arial"/>
                <w:sz w:val="20"/>
                <w:szCs w:val="20"/>
              </w:rPr>
            </w:pPr>
          </w:p>
        </w:tc>
        <w:tc>
          <w:tcPr>
            <w:tcW w:w="92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2817FD" w:rsidRPr="002817FD" w:rsidRDefault="002817FD" w:rsidP="002817FD">
            <w:pPr>
              <w:rPr>
                <w:rFonts w:ascii="Arial" w:hAnsi="Arial" w:cs="Arial"/>
                <w:sz w:val="20"/>
                <w:szCs w:val="20"/>
              </w:rPr>
            </w:pPr>
          </w:p>
        </w:tc>
      </w:tr>
    </w:tbl>
    <w:p w:rsidR="002817FD" w:rsidRDefault="002817FD" w:rsidP="002817FD">
      <w:pPr>
        <w:rPr>
          <w:rFonts w:ascii="Calibri" w:hAnsi="Calibri"/>
          <w:sz w:val="22"/>
          <w:szCs w:val="22"/>
        </w:rPr>
      </w:pPr>
    </w:p>
    <w:sectPr w:rsidR="002817FD"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647C7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647C71">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01486"/>
    <w:rsid w:val="00196C43"/>
    <w:rsid w:val="00271822"/>
    <w:rsid w:val="0027527A"/>
    <w:rsid w:val="002817FD"/>
    <w:rsid w:val="002B07F1"/>
    <w:rsid w:val="002B3740"/>
    <w:rsid w:val="002B6DD9"/>
    <w:rsid w:val="002D6843"/>
    <w:rsid w:val="002E6D8D"/>
    <w:rsid w:val="003113F8"/>
    <w:rsid w:val="0031665F"/>
    <w:rsid w:val="003346CA"/>
    <w:rsid w:val="00393BF8"/>
    <w:rsid w:val="003C03A3"/>
    <w:rsid w:val="00400587"/>
    <w:rsid w:val="004008D9"/>
    <w:rsid w:val="004115FE"/>
    <w:rsid w:val="0042605F"/>
    <w:rsid w:val="004405E5"/>
    <w:rsid w:val="00473D09"/>
    <w:rsid w:val="004C5412"/>
    <w:rsid w:val="004E43CB"/>
    <w:rsid w:val="004E69EC"/>
    <w:rsid w:val="00530ED9"/>
    <w:rsid w:val="00572C7D"/>
    <w:rsid w:val="00582338"/>
    <w:rsid w:val="005871DF"/>
    <w:rsid w:val="005B4281"/>
    <w:rsid w:val="005B685B"/>
    <w:rsid w:val="005C4E92"/>
    <w:rsid w:val="005C7AF6"/>
    <w:rsid w:val="00647C71"/>
    <w:rsid w:val="006F17D6"/>
    <w:rsid w:val="006F5E72"/>
    <w:rsid w:val="00714CA8"/>
    <w:rsid w:val="00754FEC"/>
    <w:rsid w:val="00764C98"/>
    <w:rsid w:val="00774926"/>
    <w:rsid w:val="007826B4"/>
    <w:rsid w:val="007905A7"/>
    <w:rsid w:val="007B52B7"/>
    <w:rsid w:val="007F765A"/>
    <w:rsid w:val="00811B9B"/>
    <w:rsid w:val="00835D38"/>
    <w:rsid w:val="0085045B"/>
    <w:rsid w:val="00857CBB"/>
    <w:rsid w:val="00877910"/>
    <w:rsid w:val="008C22A2"/>
    <w:rsid w:val="008D258D"/>
    <w:rsid w:val="008D53F1"/>
    <w:rsid w:val="008E7E19"/>
    <w:rsid w:val="00920B7A"/>
    <w:rsid w:val="00932B78"/>
    <w:rsid w:val="00974D3B"/>
    <w:rsid w:val="009A4C89"/>
    <w:rsid w:val="009B06CE"/>
    <w:rsid w:val="009C47C7"/>
    <w:rsid w:val="009D60BC"/>
    <w:rsid w:val="009E438C"/>
    <w:rsid w:val="00A035D7"/>
    <w:rsid w:val="00A16F26"/>
    <w:rsid w:val="00A2236F"/>
    <w:rsid w:val="00A22708"/>
    <w:rsid w:val="00A24FD7"/>
    <w:rsid w:val="00A53C1F"/>
    <w:rsid w:val="00A60F23"/>
    <w:rsid w:val="00A66D20"/>
    <w:rsid w:val="00AB7467"/>
    <w:rsid w:val="00B26A6F"/>
    <w:rsid w:val="00B33345"/>
    <w:rsid w:val="00B426C3"/>
    <w:rsid w:val="00B63931"/>
    <w:rsid w:val="00BB2057"/>
    <w:rsid w:val="00BB71AF"/>
    <w:rsid w:val="00C8265D"/>
    <w:rsid w:val="00CA5942"/>
    <w:rsid w:val="00CF2BB9"/>
    <w:rsid w:val="00D0015E"/>
    <w:rsid w:val="00D2110A"/>
    <w:rsid w:val="00D33593"/>
    <w:rsid w:val="00D72755"/>
    <w:rsid w:val="00DA5360"/>
    <w:rsid w:val="00DB16DF"/>
    <w:rsid w:val="00DD5A10"/>
    <w:rsid w:val="00DE74F5"/>
    <w:rsid w:val="00E11678"/>
    <w:rsid w:val="00E238EC"/>
    <w:rsid w:val="00E2511B"/>
    <w:rsid w:val="00E62BBC"/>
    <w:rsid w:val="00E77A44"/>
    <w:rsid w:val="00EA2FA6"/>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0846">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34241726">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2721F4EC.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2721F4EC.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2721F4EC.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2721F4EC.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C5B5-123A-4E70-9FCE-18879E40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2258</Words>
  <Characters>13324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22</cp:revision>
  <cp:lastPrinted>2016-02-01T08:07:00Z</cp:lastPrinted>
  <dcterms:created xsi:type="dcterms:W3CDTF">2016-11-16T13:20:00Z</dcterms:created>
  <dcterms:modified xsi:type="dcterms:W3CDTF">2017-02-02T11:21:00Z</dcterms:modified>
</cp:coreProperties>
</file>