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D955DC" w:rsidP="00D955DC">
      <w:pPr>
        <w:ind w:left="2136" w:firstLine="24"/>
        <w:rPr>
          <w:rFonts w:ascii="Arial" w:hAnsi="Arial" w:cs="Arial"/>
          <w:b/>
          <w:sz w:val="22"/>
          <w:szCs w:val="22"/>
        </w:rPr>
      </w:pPr>
      <w:r>
        <w:rPr>
          <w:rFonts w:ascii="Arial" w:hAnsi="Arial" w:cs="Arial"/>
          <w:b/>
          <w:sz w:val="22"/>
          <w:szCs w:val="22"/>
        </w:rPr>
        <w:t xml:space="preserve">           </w:t>
      </w:r>
      <w:r w:rsidR="001F59EB" w:rsidRPr="00B1004E">
        <w:rPr>
          <w:rFonts w:ascii="Arial" w:hAnsi="Arial" w:cs="Arial"/>
          <w:b/>
          <w:sz w:val="22"/>
          <w:szCs w:val="22"/>
        </w:rPr>
        <w:t xml:space="preserve">č. smlouvy </w:t>
      </w:r>
      <w:r w:rsidR="00BD0CD0">
        <w:rPr>
          <w:rFonts w:ascii="Arial" w:hAnsi="Arial" w:cs="Arial"/>
          <w:b/>
          <w:sz w:val="22"/>
          <w:szCs w:val="22"/>
        </w:rPr>
        <w:t>zhotovitel</w:t>
      </w:r>
      <w:r w:rsidR="001F59EB" w:rsidRPr="00B1004E">
        <w:rPr>
          <w:rFonts w:ascii="Arial" w:hAnsi="Arial" w:cs="Arial"/>
          <w:b/>
          <w:sz w:val="22"/>
          <w:szCs w:val="22"/>
        </w:rPr>
        <w:t>e</w:t>
      </w:r>
      <w:r w:rsidR="001F59EB">
        <w:rPr>
          <w:rFonts w:ascii="Arial" w:hAnsi="Arial" w:cs="Arial"/>
          <w:b/>
          <w:sz w:val="22"/>
          <w:szCs w:val="22"/>
        </w:rPr>
        <w:t>:</w:t>
      </w:r>
      <w:r w:rsidR="001F59EB" w:rsidRPr="00B1004E">
        <w:rPr>
          <w:rFonts w:ascii="Arial" w:hAnsi="Arial" w:cs="Arial"/>
          <w:b/>
          <w:sz w:val="22"/>
          <w:szCs w:val="22"/>
        </w:rPr>
        <w:t xml:space="preserve"> </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D955DC" w:rsidRPr="00D955DC">
        <w:rPr>
          <w:rFonts w:ascii="Arial" w:hAnsi="Arial" w:cs="Arial"/>
          <w:b/>
          <w:sz w:val="22"/>
          <w:szCs w:val="22"/>
        </w:rPr>
        <w:t>711</w:t>
      </w:r>
      <w:r w:rsidRPr="00D955DC">
        <w:rPr>
          <w:rFonts w:ascii="Arial" w:hAnsi="Arial" w:cs="Arial"/>
          <w:b/>
          <w:sz w:val="22"/>
          <w:szCs w:val="22"/>
        </w:rPr>
        <w:t>/20</w:t>
      </w:r>
      <w:r w:rsidR="00D955DC" w:rsidRPr="00D955DC">
        <w:rPr>
          <w:rFonts w:ascii="Arial" w:hAnsi="Arial" w:cs="Arial"/>
          <w:b/>
          <w:sz w:val="22"/>
          <w:szCs w:val="22"/>
        </w:rPr>
        <w:t>20</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CC4CD4" w:rsidRDefault="00CC4CD4" w:rsidP="006F0ABF">
      <w:pPr>
        <w:pStyle w:val="Zkladntext"/>
        <w:widowControl/>
        <w:spacing w:before="120"/>
        <w:jc w:val="center"/>
        <w:rPr>
          <w:rFonts w:cs="Arial"/>
          <w:b/>
          <w:color w:val="auto"/>
          <w:lang w:val="en-US"/>
        </w:rPr>
      </w:pPr>
      <w:r w:rsidRPr="00CC4CD4">
        <w:rPr>
          <w:rFonts w:cs="Arial"/>
          <w:b/>
          <w:color w:val="auto"/>
          <w:lang w:val="en-US"/>
        </w:rPr>
        <w:t xml:space="preserve">LG </w:t>
      </w:r>
      <w:proofErr w:type="spellStart"/>
      <w:r w:rsidRPr="00CC4CD4">
        <w:rPr>
          <w:rFonts w:cs="Arial"/>
          <w:b/>
          <w:color w:val="auto"/>
          <w:lang w:val="en-US"/>
        </w:rPr>
        <w:t>Stanovice</w:t>
      </w:r>
      <w:proofErr w:type="spellEnd"/>
      <w:r w:rsidRPr="00CC4CD4">
        <w:rPr>
          <w:rFonts w:cs="Arial"/>
          <w:b/>
          <w:color w:val="auto"/>
          <w:lang w:val="en-US"/>
        </w:rPr>
        <w:t xml:space="preserve"> </w:t>
      </w:r>
      <w:proofErr w:type="spellStart"/>
      <w:r w:rsidRPr="00CC4CD4">
        <w:rPr>
          <w:rFonts w:cs="Arial"/>
          <w:b/>
          <w:color w:val="auto"/>
          <w:lang w:val="en-US"/>
        </w:rPr>
        <w:t>odtok</w:t>
      </w:r>
      <w:proofErr w:type="spellEnd"/>
      <w:r w:rsidRPr="00CC4CD4">
        <w:rPr>
          <w:rFonts w:cs="Arial"/>
          <w:b/>
          <w:color w:val="auto"/>
          <w:lang w:val="en-US"/>
        </w:rPr>
        <w:t xml:space="preserve"> - </w:t>
      </w:r>
      <w:proofErr w:type="spellStart"/>
      <w:r w:rsidRPr="00CC4CD4">
        <w:rPr>
          <w:rFonts w:cs="Arial"/>
          <w:b/>
          <w:color w:val="auto"/>
          <w:lang w:val="en-US"/>
        </w:rPr>
        <w:t>pochozí</w:t>
      </w:r>
      <w:proofErr w:type="spellEnd"/>
      <w:r w:rsidRPr="00CC4CD4">
        <w:rPr>
          <w:rFonts w:cs="Arial"/>
          <w:b/>
          <w:color w:val="auto"/>
          <w:lang w:val="en-US"/>
        </w:rPr>
        <w:t xml:space="preserve"> </w:t>
      </w:r>
      <w:proofErr w:type="spellStart"/>
      <w:r w:rsidRPr="00CC4CD4">
        <w:rPr>
          <w:rFonts w:cs="Arial"/>
          <w:b/>
          <w:color w:val="auto"/>
          <w:lang w:val="en-US"/>
        </w:rPr>
        <w:t>lávka</w:t>
      </w:r>
      <w:proofErr w:type="spellEnd"/>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FB17B9" w:rsidRDefault="00FB17B9" w:rsidP="00FB17B9">
      <w:pPr>
        <w:tabs>
          <w:tab w:val="left" w:pos="3960"/>
        </w:tabs>
        <w:ind w:left="3969" w:hanging="3969"/>
        <w:jc w:val="both"/>
        <w:rPr>
          <w:rFonts w:ascii="Arial" w:hAnsi="Arial" w:cs="Arial"/>
          <w:sz w:val="22"/>
          <w:szCs w:val="22"/>
        </w:rPr>
      </w:pPr>
      <w:r w:rsidRPr="00FB17B9">
        <w:rPr>
          <w:rFonts w:ascii="Arial" w:hAnsi="Arial" w:cs="Arial"/>
          <w:b/>
          <w:sz w:val="22"/>
          <w:szCs w:val="22"/>
        </w:rPr>
        <w:t>zástupce ve věcech smluvních:</w:t>
      </w:r>
      <w:r w:rsidRPr="00FB17B9">
        <w:rPr>
          <w:rFonts w:ascii="Arial" w:hAnsi="Arial" w:cs="Arial"/>
          <w:b/>
          <w:sz w:val="22"/>
          <w:szCs w:val="22"/>
        </w:rPr>
        <w:tab/>
      </w:r>
    </w:p>
    <w:p w:rsidR="000F7B4B" w:rsidRPr="008C355B" w:rsidRDefault="00D35FAE" w:rsidP="000F7B4B">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981D3D" w:rsidRPr="00D74A50" w:rsidRDefault="000F7B4B" w:rsidP="000F7B4B">
      <w:pPr>
        <w:tabs>
          <w:tab w:val="left" w:pos="3960"/>
        </w:tabs>
        <w:jc w:val="both"/>
        <w:rPr>
          <w:rFonts w:ascii="Arial" w:hAnsi="Arial" w:cs="Arial"/>
          <w:sz w:val="22"/>
          <w:szCs w:val="22"/>
        </w:rPr>
      </w:pPr>
      <w:r w:rsidRPr="008C355B">
        <w:rPr>
          <w:rFonts w:ascii="Arial" w:hAnsi="Arial" w:cs="Arial"/>
          <w:sz w:val="22"/>
          <w:szCs w:val="22"/>
        </w:rPr>
        <w:tab/>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D955DC" w:rsidRPr="00D955DC" w:rsidRDefault="00D955DC" w:rsidP="00D955DC">
      <w:pPr>
        <w:tabs>
          <w:tab w:val="left" w:pos="3960"/>
        </w:tabs>
        <w:jc w:val="both"/>
        <w:rPr>
          <w:rFonts w:ascii="Arial" w:hAnsi="Arial" w:cs="Arial"/>
          <w:b/>
          <w:color w:val="000000"/>
          <w:sz w:val="22"/>
          <w:szCs w:val="22"/>
        </w:rPr>
      </w:pPr>
      <w:r w:rsidRPr="00D955DC">
        <w:rPr>
          <w:rFonts w:ascii="Arial" w:hAnsi="Arial" w:cs="Arial"/>
          <w:b/>
          <w:color w:val="000000"/>
          <w:sz w:val="22"/>
          <w:szCs w:val="22"/>
        </w:rPr>
        <w:t>Zhotovitel:</w:t>
      </w:r>
      <w:r w:rsidRPr="00D955DC">
        <w:rPr>
          <w:rFonts w:ascii="Arial" w:hAnsi="Arial" w:cs="Arial"/>
          <w:b/>
          <w:color w:val="000000"/>
          <w:sz w:val="22"/>
          <w:szCs w:val="22"/>
        </w:rPr>
        <w:tab/>
      </w:r>
      <w:bookmarkStart w:id="0" w:name="_Hlk45190784"/>
      <w:r w:rsidRPr="00D955DC">
        <w:rPr>
          <w:rFonts w:ascii="Arial" w:hAnsi="Arial" w:cs="Arial"/>
          <w:b/>
          <w:color w:val="000000"/>
          <w:sz w:val="22"/>
          <w:szCs w:val="22"/>
        </w:rPr>
        <w:t>DOPRAVNÍ STAVBY KOLÍN, a.s.</w:t>
      </w:r>
      <w:r w:rsidRPr="00D955DC">
        <w:rPr>
          <w:rFonts w:ascii="Arial" w:hAnsi="Arial" w:cs="Arial"/>
          <w:b/>
          <w:color w:val="000000"/>
          <w:sz w:val="22"/>
          <w:szCs w:val="22"/>
        </w:rPr>
        <w:tab/>
      </w:r>
      <w:bookmarkEnd w:id="0"/>
    </w:p>
    <w:p w:rsidR="00D955DC" w:rsidRPr="00D955DC" w:rsidRDefault="00D955DC" w:rsidP="00D955DC">
      <w:pPr>
        <w:tabs>
          <w:tab w:val="left" w:pos="3960"/>
        </w:tabs>
        <w:jc w:val="both"/>
        <w:rPr>
          <w:rFonts w:ascii="Arial" w:hAnsi="Arial" w:cs="Arial"/>
          <w:color w:val="000000"/>
          <w:sz w:val="22"/>
          <w:szCs w:val="22"/>
        </w:rPr>
      </w:pPr>
      <w:r w:rsidRPr="00D955DC">
        <w:rPr>
          <w:rFonts w:ascii="Arial" w:hAnsi="Arial" w:cs="Arial"/>
          <w:color w:val="000000"/>
          <w:sz w:val="22"/>
          <w:szCs w:val="22"/>
        </w:rPr>
        <w:tab/>
      </w: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r w:rsidRPr="00DC0C1C">
        <w:rPr>
          <w:rFonts w:ascii="Arial" w:hAnsi="Arial" w:cs="Arial"/>
          <w:b/>
          <w:color w:val="000000"/>
          <w:sz w:val="22"/>
          <w:szCs w:val="22"/>
        </w:rPr>
        <w:t>IČO:</w:t>
      </w:r>
      <w:r w:rsidRPr="00D955DC">
        <w:rPr>
          <w:rFonts w:ascii="Arial" w:hAnsi="Arial" w:cs="Arial"/>
          <w:color w:val="000000"/>
          <w:sz w:val="22"/>
          <w:szCs w:val="22"/>
        </w:rPr>
        <w:tab/>
      </w:r>
      <w:r w:rsidR="00433112">
        <w:rPr>
          <w:rFonts w:ascii="Arial" w:hAnsi="Arial" w:cs="Arial"/>
          <w:color w:val="000000"/>
          <w:sz w:val="22"/>
          <w:szCs w:val="22"/>
        </w:rPr>
        <w:t>0</w:t>
      </w:r>
      <w:r w:rsidRPr="00D955DC">
        <w:rPr>
          <w:rFonts w:ascii="Arial" w:hAnsi="Arial" w:cs="Arial"/>
          <w:color w:val="000000"/>
          <w:sz w:val="22"/>
          <w:szCs w:val="22"/>
        </w:rPr>
        <w:t>7711492</w:t>
      </w: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r w:rsidRPr="00DC0C1C">
        <w:rPr>
          <w:rFonts w:ascii="Arial" w:hAnsi="Arial" w:cs="Arial"/>
          <w:b/>
          <w:color w:val="000000"/>
          <w:sz w:val="22"/>
          <w:szCs w:val="22"/>
        </w:rPr>
        <w:t>DIČ:</w:t>
      </w:r>
      <w:r w:rsidRPr="00D955DC">
        <w:rPr>
          <w:rFonts w:ascii="Arial" w:hAnsi="Arial" w:cs="Arial"/>
          <w:color w:val="000000"/>
          <w:sz w:val="22"/>
          <w:szCs w:val="22"/>
        </w:rPr>
        <w:tab/>
      </w: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r w:rsidRPr="00DC0C1C">
        <w:rPr>
          <w:rFonts w:ascii="Arial" w:hAnsi="Arial" w:cs="Arial"/>
          <w:b/>
          <w:color w:val="000000"/>
          <w:sz w:val="22"/>
          <w:szCs w:val="22"/>
        </w:rPr>
        <w:t>zastoupený:</w:t>
      </w:r>
      <w:r w:rsidRPr="00D955DC">
        <w:rPr>
          <w:rFonts w:ascii="Arial" w:hAnsi="Arial" w:cs="Arial"/>
          <w:color w:val="000000"/>
          <w:sz w:val="22"/>
          <w:szCs w:val="22"/>
        </w:rPr>
        <w:tab/>
      </w: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r w:rsidRPr="00DC0C1C">
        <w:rPr>
          <w:rFonts w:ascii="Arial" w:hAnsi="Arial" w:cs="Arial"/>
          <w:b/>
          <w:color w:val="000000"/>
          <w:sz w:val="22"/>
          <w:szCs w:val="22"/>
        </w:rPr>
        <w:t>zástupce ve věcech smluvních:</w:t>
      </w:r>
      <w:r w:rsidRPr="00D955DC">
        <w:rPr>
          <w:rFonts w:ascii="Arial" w:hAnsi="Arial" w:cs="Arial"/>
          <w:color w:val="000000"/>
          <w:sz w:val="22"/>
          <w:szCs w:val="22"/>
        </w:rPr>
        <w:tab/>
      </w: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r w:rsidRPr="00DC0C1C">
        <w:rPr>
          <w:rFonts w:ascii="Arial" w:hAnsi="Arial" w:cs="Arial"/>
          <w:b/>
          <w:color w:val="000000"/>
          <w:sz w:val="22"/>
          <w:szCs w:val="22"/>
        </w:rPr>
        <w:t>zástupce ve věcech technických:</w:t>
      </w:r>
      <w:r w:rsidRPr="00DC0C1C">
        <w:rPr>
          <w:rFonts w:ascii="Arial" w:hAnsi="Arial" w:cs="Arial"/>
          <w:b/>
          <w:color w:val="000000"/>
          <w:sz w:val="22"/>
          <w:szCs w:val="22"/>
        </w:rPr>
        <w:tab/>
      </w: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r w:rsidRPr="00DC0C1C">
        <w:rPr>
          <w:rFonts w:ascii="Arial" w:hAnsi="Arial" w:cs="Arial"/>
          <w:b/>
          <w:color w:val="000000"/>
          <w:sz w:val="22"/>
          <w:szCs w:val="22"/>
        </w:rPr>
        <w:t>stavbyvedoucí:</w:t>
      </w:r>
      <w:r w:rsidRPr="00D955DC">
        <w:rPr>
          <w:rFonts w:ascii="Arial" w:hAnsi="Arial" w:cs="Arial"/>
          <w:color w:val="000000"/>
          <w:sz w:val="22"/>
          <w:szCs w:val="22"/>
        </w:rPr>
        <w:tab/>
      </w: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r w:rsidRPr="00DC0C1C">
        <w:rPr>
          <w:rFonts w:ascii="Arial" w:hAnsi="Arial" w:cs="Arial"/>
          <w:b/>
          <w:color w:val="000000"/>
          <w:sz w:val="22"/>
          <w:szCs w:val="22"/>
        </w:rPr>
        <w:t>manažer stavby:</w:t>
      </w:r>
      <w:r w:rsidRPr="00D955DC">
        <w:rPr>
          <w:rFonts w:ascii="Arial" w:hAnsi="Arial" w:cs="Arial"/>
          <w:color w:val="000000"/>
          <w:sz w:val="22"/>
          <w:szCs w:val="22"/>
        </w:rPr>
        <w:tab/>
      </w: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r w:rsidRPr="00DC0C1C">
        <w:rPr>
          <w:rFonts w:ascii="Arial" w:hAnsi="Arial" w:cs="Arial"/>
          <w:b/>
          <w:color w:val="000000"/>
          <w:sz w:val="22"/>
          <w:szCs w:val="22"/>
        </w:rPr>
        <w:t>bankovní spojení:</w:t>
      </w:r>
      <w:r w:rsidRPr="00D955DC">
        <w:rPr>
          <w:rFonts w:ascii="Arial" w:hAnsi="Arial" w:cs="Arial"/>
          <w:color w:val="000000"/>
          <w:sz w:val="22"/>
          <w:szCs w:val="22"/>
        </w:rPr>
        <w:tab/>
      </w: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r w:rsidRPr="00DC0C1C">
        <w:rPr>
          <w:rFonts w:ascii="Arial" w:hAnsi="Arial" w:cs="Arial"/>
          <w:b/>
          <w:color w:val="000000"/>
          <w:sz w:val="22"/>
          <w:szCs w:val="22"/>
        </w:rPr>
        <w:t>číslo účtu:</w:t>
      </w:r>
      <w:r w:rsidRPr="00D955DC">
        <w:rPr>
          <w:rFonts w:ascii="Arial" w:hAnsi="Arial" w:cs="Arial"/>
          <w:color w:val="000000"/>
          <w:sz w:val="22"/>
          <w:szCs w:val="22"/>
        </w:rPr>
        <w:tab/>
      </w:r>
      <w:r w:rsidRPr="00D955DC">
        <w:rPr>
          <w:rFonts w:ascii="Arial" w:hAnsi="Arial" w:cs="Arial"/>
          <w:color w:val="000000"/>
          <w:sz w:val="22"/>
          <w:szCs w:val="22"/>
        </w:rPr>
        <w:tab/>
      </w:r>
    </w:p>
    <w:p w:rsidR="00D955DC" w:rsidRPr="00D955DC" w:rsidRDefault="00D955DC" w:rsidP="00D955DC">
      <w:pPr>
        <w:tabs>
          <w:tab w:val="left" w:pos="3960"/>
        </w:tabs>
        <w:jc w:val="both"/>
        <w:rPr>
          <w:rFonts w:ascii="Arial" w:hAnsi="Arial" w:cs="Arial"/>
          <w:color w:val="000000"/>
          <w:sz w:val="22"/>
          <w:szCs w:val="22"/>
        </w:rPr>
      </w:pPr>
    </w:p>
    <w:p w:rsidR="00D955DC" w:rsidRPr="00D955DC" w:rsidRDefault="00D955DC" w:rsidP="00D955DC">
      <w:pPr>
        <w:tabs>
          <w:tab w:val="left" w:pos="3960"/>
        </w:tabs>
        <w:jc w:val="both"/>
        <w:rPr>
          <w:rFonts w:ascii="Arial" w:hAnsi="Arial" w:cs="Arial"/>
          <w:color w:val="000000"/>
          <w:sz w:val="22"/>
          <w:szCs w:val="22"/>
        </w:rPr>
      </w:pPr>
      <w:r w:rsidRPr="00D955DC">
        <w:rPr>
          <w:rFonts w:ascii="Arial" w:hAnsi="Arial" w:cs="Arial"/>
          <w:color w:val="000000"/>
          <w:sz w:val="22"/>
          <w:szCs w:val="22"/>
        </w:rPr>
        <w:t xml:space="preserve">Zhotovitel je zapsán v Obchodním rejstříku u </w:t>
      </w:r>
      <w:proofErr w:type="spellStart"/>
      <w:r w:rsidRPr="00D955DC">
        <w:rPr>
          <w:rFonts w:ascii="Arial" w:hAnsi="Arial" w:cs="Arial"/>
          <w:color w:val="000000"/>
          <w:sz w:val="22"/>
          <w:szCs w:val="22"/>
        </w:rPr>
        <w:t>Městskéhp</w:t>
      </w:r>
      <w:proofErr w:type="spellEnd"/>
      <w:r w:rsidRPr="00D955DC">
        <w:rPr>
          <w:rFonts w:ascii="Arial" w:hAnsi="Arial" w:cs="Arial"/>
          <w:color w:val="000000"/>
          <w:sz w:val="22"/>
          <w:szCs w:val="22"/>
        </w:rPr>
        <w:t xml:space="preserve"> soudu v Praze, v oddílu B, vložce č.  24014</w:t>
      </w:r>
    </w:p>
    <w:p w:rsidR="00D955DC" w:rsidRPr="00D955DC" w:rsidRDefault="00D955DC" w:rsidP="00D955DC">
      <w:pPr>
        <w:tabs>
          <w:tab w:val="left" w:pos="3960"/>
        </w:tabs>
        <w:jc w:val="both"/>
        <w:rPr>
          <w:rFonts w:ascii="Arial" w:hAnsi="Arial" w:cs="Arial"/>
          <w:color w:val="000000"/>
          <w:sz w:val="22"/>
          <w:szCs w:val="22"/>
        </w:rPr>
      </w:pPr>
    </w:p>
    <w:p w:rsidR="00482FB6" w:rsidRDefault="00D955DC" w:rsidP="00D955DC">
      <w:pPr>
        <w:tabs>
          <w:tab w:val="left" w:pos="3960"/>
        </w:tabs>
        <w:jc w:val="both"/>
        <w:rPr>
          <w:rFonts w:ascii="Arial" w:hAnsi="Arial" w:cs="Arial"/>
          <w:color w:val="000000"/>
          <w:sz w:val="22"/>
          <w:szCs w:val="22"/>
        </w:rPr>
      </w:pPr>
      <w:r w:rsidRPr="00D955DC">
        <w:rPr>
          <w:rFonts w:ascii="Arial" w:hAnsi="Arial" w:cs="Arial"/>
          <w:color w:val="000000"/>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8C355B" w:rsidRDefault="00CC4CD4" w:rsidP="001F59EB">
      <w:pPr>
        <w:jc w:val="both"/>
        <w:rPr>
          <w:rFonts w:ascii="Arial" w:hAnsi="Arial" w:cs="Arial"/>
          <w:b/>
          <w:sz w:val="22"/>
          <w:szCs w:val="22"/>
          <w:lang w:val="en-US"/>
        </w:rPr>
      </w:pPr>
      <w:r w:rsidRPr="00CC4CD4">
        <w:rPr>
          <w:rFonts w:ascii="Arial" w:hAnsi="Arial" w:cs="Arial"/>
          <w:b/>
          <w:sz w:val="22"/>
          <w:szCs w:val="22"/>
          <w:lang w:val="en-US"/>
        </w:rPr>
        <w:t xml:space="preserve">LG </w:t>
      </w:r>
      <w:proofErr w:type="spellStart"/>
      <w:r w:rsidRPr="00CC4CD4">
        <w:rPr>
          <w:rFonts w:ascii="Arial" w:hAnsi="Arial" w:cs="Arial"/>
          <w:b/>
          <w:sz w:val="22"/>
          <w:szCs w:val="22"/>
          <w:lang w:val="en-US"/>
        </w:rPr>
        <w:t>Stanovice</w:t>
      </w:r>
      <w:proofErr w:type="spellEnd"/>
      <w:r w:rsidRPr="00CC4CD4">
        <w:rPr>
          <w:rFonts w:ascii="Arial" w:hAnsi="Arial" w:cs="Arial"/>
          <w:b/>
          <w:sz w:val="22"/>
          <w:szCs w:val="22"/>
          <w:lang w:val="en-US"/>
        </w:rPr>
        <w:t xml:space="preserve"> </w:t>
      </w:r>
      <w:proofErr w:type="spellStart"/>
      <w:r w:rsidRPr="00CC4CD4">
        <w:rPr>
          <w:rFonts w:ascii="Arial" w:hAnsi="Arial" w:cs="Arial"/>
          <w:b/>
          <w:sz w:val="22"/>
          <w:szCs w:val="22"/>
          <w:lang w:val="en-US"/>
        </w:rPr>
        <w:t>odtok</w:t>
      </w:r>
      <w:proofErr w:type="spellEnd"/>
      <w:r w:rsidRPr="00CC4CD4">
        <w:rPr>
          <w:rFonts w:ascii="Arial" w:hAnsi="Arial" w:cs="Arial"/>
          <w:b/>
          <w:sz w:val="22"/>
          <w:szCs w:val="22"/>
          <w:lang w:val="en-US"/>
        </w:rPr>
        <w:t xml:space="preserve"> - </w:t>
      </w:r>
      <w:proofErr w:type="spellStart"/>
      <w:r w:rsidRPr="00CC4CD4">
        <w:rPr>
          <w:rFonts w:ascii="Arial" w:hAnsi="Arial" w:cs="Arial"/>
          <w:b/>
          <w:sz w:val="22"/>
          <w:szCs w:val="22"/>
          <w:lang w:val="en-US"/>
        </w:rPr>
        <w:t>pochozí</w:t>
      </w:r>
      <w:proofErr w:type="spellEnd"/>
      <w:r w:rsidRPr="00CC4CD4">
        <w:rPr>
          <w:rFonts w:ascii="Arial" w:hAnsi="Arial" w:cs="Arial"/>
          <w:b/>
          <w:sz w:val="22"/>
          <w:szCs w:val="22"/>
          <w:lang w:val="en-US"/>
        </w:rPr>
        <w:t xml:space="preserve"> </w:t>
      </w:r>
      <w:proofErr w:type="spellStart"/>
      <w:r w:rsidRPr="00CC4CD4">
        <w:rPr>
          <w:rFonts w:ascii="Arial" w:hAnsi="Arial" w:cs="Arial"/>
          <w:b/>
          <w:sz w:val="22"/>
          <w:szCs w:val="22"/>
          <w:lang w:val="en-US"/>
        </w:rPr>
        <w:t>lávka</w:t>
      </w:r>
      <w:proofErr w:type="spellEnd"/>
    </w:p>
    <w:p w:rsidR="00CC4CD4" w:rsidRPr="00B1004E" w:rsidRDefault="00CC4CD4"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393C5C"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DC0C1C" w:rsidRDefault="00D35FAE" w:rsidP="001F59EB">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B31764" w:rsidRDefault="00B31764"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8C355B" w:rsidRDefault="008C355B"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E82959" w:rsidRPr="00393C5C" w:rsidRDefault="00E82959" w:rsidP="00E82959">
      <w:pPr>
        <w:tabs>
          <w:tab w:val="left" w:pos="426"/>
        </w:tabs>
        <w:ind w:left="426" w:hanging="426"/>
        <w:jc w:val="both"/>
        <w:rPr>
          <w:rFonts w:ascii="Arial" w:hAnsi="Arial" w:cs="Arial"/>
          <w:color w:val="000000"/>
          <w:sz w:val="22"/>
          <w:szCs w:val="22"/>
        </w:rPr>
      </w:pPr>
      <w:r w:rsidRPr="00393C5C">
        <w:rPr>
          <w:rFonts w:ascii="Arial" w:hAnsi="Arial" w:cs="Arial"/>
          <w:color w:val="000000"/>
          <w:sz w:val="22"/>
          <w:szCs w:val="22"/>
        </w:rPr>
        <w:tab/>
        <w:t xml:space="preserve">Zhotovitel se zavazuje provést dílo v následujících termínech: </w:t>
      </w: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a)</w:t>
      </w:r>
      <w:r w:rsidRPr="00393C5C">
        <w:rPr>
          <w:rFonts w:ascii="Arial" w:hAnsi="Arial" w:cs="Arial"/>
          <w:color w:val="000000"/>
          <w:sz w:val="22"/>
          <w:szCs w:val="22"/>
        </w:rPr>
        <w:tab/>
        <w:t>zahájení prací:</w:t>
      </w:r>
    </w:p>
    <w:p w:rsidR="00E82959" w:rsidRPr="00393C5C" w:rsidRDefault="00E82959" w:rsidP="008C355B">
      <w:pPr>
        <w:ind w:left="851"/>
        <w:jc w:val="both"/>
        <w:rPr>
          <w:rFonts w:ascii="Arial" w:hAnsi="Arial" w:cs="Arial"/>
          <w:color w:val="000000"/>
          <w:sz w:val="22"/>
          <w:szCs w:val="22"/>
        </w:rPr>
      </w:pPr>
      <w:r w:rsidRPr="00393C5C">
        <w:rPr>
          <w:rFonts w:ascii="Arial" w:hAnsi="Arial" w:cs="Arial"/>
          <w:color w:val="000000"/>
          <w:sz w:val="22"/>
          <w:szCs w:val="22"/>
        </w:rPr>
        <w:t>bez zbytečného odkladu po předání staveniště.</w:t>
      </w:r>
    </w:p>
    <w:p w:rsidR="00E82959" w:rsidRPr="00393C5C" w:rsidRDefault="00E82959" w:rsidP="00E82959">
      <w:pPr>
        <w:ind w:hanging="426"/>
        <w:jc w:val="both"/>
        <w:rPr>
          <w:rFonts w:ascii="Arial" w:hAnsi="Arial" w:cs="Arial"/>
          <w:color w:val="000000"/>
          <w:sz w:val="22"/>
          <w:szCs w:val="22"/>
        </w:rPr>
      </w:pP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b)</w:t>
      </w:r>
      <w:r w:rsidRPr="00393C5C">
        <w:rPr>
          <w:rFonts w:ascii="Arial" w:hAnsi="Arial" w:cs="Arial"/>
          <w:color w:val="000000"/>
          <w:sz w:val="22"/>
          <w:szCs w:val="22"/>
        </w:rPr>
        <w:tab/>
        <w:t xml:space="preserve">předání a převzetí dokončeného díla: </w:t>
      </w:r>
    </w:p>
    <w:p w:rsidR="00E82959" w:rsidRPr="00E82959" w:rsidRDefault="00E82959" w:rsidP="008C355B">
      <w:pPr>
        <w:ind w:left="851"/>
        <w:jc w:val="both"/>
        <w:rPr>
          <w:rFonts w:ascii="Arial" w:hAnsi="Arial" w:cs="Arial"/>
          <w:color w:val="000000"/>
          <w:sz w:val="22"/>
          <w:szCs w:val="22"/>
        </w:rPr>
      </w:pPr>
      <w:r w:rsidRPr="00393C5C">
        <w:rPr>
          <w:rFonts w:ascii="Arial" w:hAnsi="Arial" w:cs="Arial"/>
          <w:color w:val="000000"/>
          <w:sz w:val="22"/>
          <w:szCs w:val="22"/>
        </w:rPr>
        <w:t xml:space="preserve">nejpozději do </w:t>
      </w:r>
      <w:r w:rsidR="00203335" w:rsidRPr="00203335">
        <w:rPr>
          <w:rFonts w:ascii="Arial" w:hAnsi="Arial" w:cs="Arial"/>
          <w:b/>
          <w:color w:val="000000"/>
          <w:sz w:val="22"/>
          <w:szCs w:val="22"/>
        </w:rPr>
        <w:t>18</w:t>
      </w:r>
      <w:r w:rsidRPr="00203335">
        <w:rPr>
          <w:rFonts w:ascii="Arial" w:hAnsi="Arial" w:cs="Arial"/>
          <w:b/>
          <w:bCs/>
          <w:sz w:val="22"/>
          <w:szCs w:val="22"/>
        </w:rPr>
        <w:t>0</w:t>
      </w:r>
      <w:r w:rsidRPr="008C355B">
        <w:rPr>
          <w:rFonts w:ascii="Arial" w:hAnsi="Arial" w:cs="Arial"/>
          <w:sz w:val="22"/>
          <w:szCs w:val="22"/>
        </w:rPr>
        <w:t xml:space="preserve"> kalendářních dní </w:t>
      </w:r>
      <w:r w:rsidRPr="00393C5C">
        <w:rPr>
          <w:rFonts w:ascii="Arial" w:hAnsi="Arial" w:cs="Arial"/>
          <w:color w:val="000000"/>
          <w:sz w:val="22"/>
          <w:szCs w:val="22"/>
        </w:rPr>
        <w:t>(počínaje následujícím kalendářním dnem po předání staveniště).</w:t>
      </w:r>
    </w:p>
    <w:p w:rsidR="00E82959" w:rsidRPr="00E82959" w:rsidRDefault="00E82959" w:rsidP="00C4663F">
      <w:pPr>
        <w:ind w:left="426"/>
        <w:rPr>
          <w:rFonts w:ascii="Arial" w:hAnsi="Arial" w:cs="Arial"/>
          <w:b/>
          <w:sz w:val="22"/>
          <w:szCs w:val="22"/>
        </w:rPr>
      </w:pPr>
    </w:p>
    <w:p w:rsidR="00E82959" w:rsidRPr="008C355B" w:rsidRDefault="008C355B" w:rsidP="00C4663F">
      <w:pPr>
        <w:ind w:left="426"/>
        <w:rPr>
          <w:rFonts w:ascii="Arial" w:hAnsi="Arial" w:cs="Arial"/>
          <w:sz w:val="22"/>
          <w:szCs w:val="22"/>
        </w:rPr>
      </w:pPr>
      <w:r w:rsidRPr="008C355B">
        <w:rPr>
          <w:rFonts w:ascii="Arial" w:hAnsi="Arial" w:cs="Arial"/>
          <w:sz w:val="22"/>
          <w:szCs w:val="22"/>
        </w:rPr>
        <w:t>Objednatel si vymiňuje právo posunout možný termín zahájení realizace díla v místě provádění do doby získání potřebných legislativních povolení souběžně zajišťovaných u speciálního stavebního úřadu.</w:t>
      </w:r>
    </w:p>
    <w:p w:rsidR="008C355B" w:rsidRDefault="008C355B" w:rsidP="00C4663F">
      <w:pPr>
        <w:ind w:left="426"/>
        <w:rPr>
          <w:rFonts w:ascii="Arial" w:hAnsi="Arial" w:cs="Arial"/>
          <w:b/>
          <w:sz w:val="22"/>
          <w:szCs w:val="22"/>
        </w:rPr>
      </w:pPr>
    </w:p>
    <w:p w:rsidR="00F13296" w:rsidRPr="00393C5C" w:rsidRDefault="00F13296" w:rsidP="00F13296">
      <w:pPr>
        <w:overflowPunct/>
        <w:ind w:left="426"/>
        <w:jc w:val="both"/>
        <w:textAlignment w:val="auto"/>
        <w:rPr>
          <w:rFonts w:ascii="Arial" w:hAnsi="Arial" w:cs="Arial"/>
          <w:color w:val="000000"/>
          <w:sz w:val="22"/>
          <w:szCs w:val="22"/>
        </w:rPr>
      </w:pPr>
      <w:r w:rsidRPr="00393C5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93C5C" w:rsidRDefault="00393C5C" w:rsidP="00482FB6">
      <w:pPr>
        <w:overflowPunct/>
        <w:autoSpaceDE/>
        <w:autoSpaceDN/>
        <w:adjustRightInd/>
        <w:ind w:left="426" w:hanging="426"/>
        <w:textAlignment w:val="auto"/>
        <w:rPr>
          <w:rFonts w:ascii="Arial" w:hAnsi="Arial" w:cs="Arial"/>
          <w:sz w:val="22"/>
          <w:szCs w:val="22"/>
        </w:rPr>
      </w:pPr>
    </w:p>
    <w:p w:rsidR="00393C5C" w:rsidRDefault="00393C5C"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w:t>
      </w:r>
      <w:proofErr w:type="gramEnd"/>
      <w:r w:rsidR="0095255A" w:rsidRPr="00657C8C">
        <w:rPr>
          <w:rFonts w:ascii="Arial" w:hAnsi="Arial" w:cs="Arial"/>
          <w:i w:val="0"/>
          <w:color w:val="auto"/>
          <w:sz w:val="22"/>
          <w:szCs w:val="22"/>
        </w:rPr>
        <w:t xml:space="preserve">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607CC4" w:rsidRDefault="00607CC4" w:rsidP="00C322D1">
      <w:pPr>
        <w:ind w:firstLine="360"/>
        <w:jc w:val="both"/>
        <w:rPr>
          <w:rFonts w:ascii="Arial" w:hAnsi="Arial" w:cs="Arial"/>
          <w:b/>
          <w:sz w:val="22"/>
          <w:szCs w:val="22"/>
        </w:rPr>
      </w:pPr>
    </w:p>
    <w:p w:rsidR="00C322D1" w:rsidRPr="00DC0C1C" w:rsidRDefault="00C322D1" w:rsidP="00DC0C1C">
      <w:pPr>
        <w:ind w:firstLine="360"/>
        <w:jc w:val="both"/>
        <w:rPr>
          <w:rFonts w:ascii="Arial" w:hAnsi="Arial" w:cs="Arial"/>
          <w:b/>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DC0C1C">
        <w:rPr>
          <w:rFonts w:ascii="Arial" w:hAnsi="Arial" w:cs="Arial"/>
          <w:b/>
          <w:sz w:val="22"/>
          <w:szCs w:val="22"/>
        </w:rPr>
        <w:tab/>
      </w:r>
      <w:r w:rsidR="00D37571">
        <w:rPr>
          <w:rFonts w:ascii="Arial" w:hAnsi="Arial" w:cs="Arial"/>
          <w:b/>
          <w:sz w:val="22"/>
          <w:szCs w:val="22"/>
        </w:rPr>
        <w:t>628 892,68</w:t>
      </w:r>
      <w:r>
        <w:rPr>
          <w:rFonts w:ascii="Arial" w:hAnsi="Arial" w:cs="Arial"/>
          <w:sz w:val="22"/>
          <w:szCs w:val="22"/>
        </w:rPr>
        <w:t xml:space="preserve"> </w:t>
      </w:r>
      <w:r w:rsidRPr="00DC0C1C">
        <w:rPr>
          <w:rFonts w:ascii="Arial" w:hAnsi="Arial" w:cs="Arial"/>
          <w:b/>
          <w:sz w:val="22"/>
          <w:szCs w:val="22"/>
        </w:rPr>
        <w:t>Kč</w:t>
      </w:r>
    </w:p>
    <w:p w:rsidR="00C322D1" w:rsidRPr="008C355B" w:rsidRDefault="00C322D1" w:rsidP="00C322D1">
      <w:pPr>
        <w:ind w:left="360"/>
        <w:jc w:val="both"/>
        <w:rPr>
          <w:rFonts w:ascii="Arial" w:hAnsi="Arial" w:cs="Arial"/>
          <w:sz w:val="22"/>
          <w:szCs w:val="22"/>
        </w:rPr>
      </w:pPr>
      <w:r w:rsidRPr="00DD7E8A">
        <w:rPr>
          <w:rFonts w:ascii="Arial" w:hAnsi="Arial" w:cs="Arial"/>
          <w:sz w:val="22"/>
          <w:szCs w:val="22"/>
        </w:rPr>
        <w:t>z toho:</w:t>
      </w:r>
      <w:r w:rsidRPr="008C355B">
        <w:rPr>
          <w:rFonts w:ascii="Arial" w:hAnsi="Arial" w:cs="Arial"/>
          <w:sz w:val="22"/>
          <w:szCs w:val="22"/>
        </w:rPr>
        <w:t xml:space="preserve"> </w:t>
      </w:r>
    </w:p>
    <w:p w:rsidR="00DD7E8A" w:rsidRPr="00DD7E8A" w:rsidRDefault="00DD7E8A" w:rsidP="00DD7E8A">
      <w:pPr>
        <w:ind w:left="360"/>
        <w:jc w:val="both"/>
        <w:rPr>
          <w:rFonts w:ascii="Arial" w:hAnsi="Arial" w:cs="Arial"/>
          <w:sz w:val="22"/>
          <w:szCs w:val="22"/>
        </w:rPr>
      </w:pPr>
      <w:r w:rsidRPr="00DD7E8A">
        <w:rPr>
          <w:rFonts w:ascii="Arial" w:hAnsi="Arial" w:cs="Arial"/>
          <w:sz w:val="22"/>
          <w:szCs w:val="22"/>
        </w:rPr>
        <w:t>D.1.1</w:t>
      </w:r>
      <w:r w:rsidRPr="00DD7E8A">
        <w:rPr>
          <w:rFonts w:ascii="Arial" w:hAnsi="Arial" w:cs="Arial"/>
          <w:sz w:val="22"/>
          <w:szCs w:val="22"/>
        </w:rPr>
        <w:tab/>
        <w:t>Stavební část</w:t>
      </w:r>
      <w:r w:rsidRPr="00DD7E8A">
        <w:rPr>
          <w:rFonts w:ascii="Arial" w:hAnsi="Arial" w:cs="Arial"/>
          <w:sz w:val="22"/>
          <w:szCs w:val="22"/>
        </w:rPr>
        <w:tab/>
      </w:r>
      <w:r w:rsidRPr="00DD7E8A">
        <w:rPr>
          <w:rFonts w:ascii="Arial" w:hAnsi="Arial" w:cs="Arial"/>
          <w:sz w:val="22"/>
          <w:szCs w:val="22"/>
        </w:rPr>
        <w:tab/>
      </w:r>
      <w:r w:rsidRPr="00DD7E8A">
        <w:rPr>
          <w:rFonts w:ascii="Arial" w:hAnsi="Arial" w:cs="Arial"/>
          <w:sz w:val="22"/>
          <w:szCs w:val="22"/>
        </w:rPr>
        <w:tab/>
      </w:r>
      <w:r w:rsidRPr="00DD7E8A">
        <w:rPr>
          <w:rFonts w:ascii="Arial" w:hAnsi="Arial" w:cs="Arial"/>
          <w:sz w:val="22"/>
          <w:szCs w:val="22"/>
        </w:rPr>
        <w:tab/>
      </w:r>
      <w:r w:rsidRPr="00DD7E8A">
        <w:rPr>
          <w:rFonts w:ascii="Arial" w:hAnsi="Arial" w:cs="Arial"/>
          <w:sz w:val="22"/>
          <w:szCs w:val="22"/>
        </w:rPr>
        <w:tab/>
      </w:r>
      <w:r w:rsidR="00D37571">
        <w:rPr>
          <w:rFonts w:ascii="Arial" w:hAnsi="Arial" w:cs="Arial"/>
          <w:sz w:val="22"/>
          <w:szCs w:val="22"/>
        </w:rPr>
        <w:t>577 892,68</w:t>
      </w:r>
      <w:r w:rsidRPr="00DD7E8A">
        <w:rPr>
          <w:rFonts w:ascii="Arial" w:hAnsi="Arial" w:cs="Arial"/>
          <w:sz w:val="22"/>
          <w:szCs w:val="22"/>
        </w:rPr>
        <w:t xml:space="preserve"> Kč</w:t>
      </w:r>
    </w:p>
    <w:p w:rsidR="008C355B" w:rsidRDefault="00DD7E8A" w:rsidP="00DD7E8A">
      <w:pPr>
        <w:ind w:left="360"/>
        <w:jc w:val="both"/>
        <w:rPr>
          <w:rFonts w:ascii="Arial" w:hAnsi="Arial" w:cs="Arial"/>
          <w:sz w:val="22"/>
          <w:szCs w:val="22"/>
        </w:rPr>
      </w:pPr>
      <w:r w:rsidRPr="00DD7E8A">
        <w:rPr>
          <w:rFonts w:ascii="Arial" w:hAnsi="Arial" w:cs="Arial"/>
          <w:sz w:val="22"/>
          <w:szCs w:val="22"/>
        </w:rPr>
        <w:t xml:space="preserve">VON vedlejší a ostatní rozpočtové náklady </w:t>
      </w:r>
      <w:r w:rsidRPr="00DD7E8A">
        <w:rPr>
          <w:rFonts w:ascii="Arial" w:hAnsi="Arial" w:cs="Arial"/>
          <w:sz w:val="22"/>
          <w:szCs w:val="22"/>
        </w:rPr>
        <w:tab/>
      </w:r>
      <w:proofErr w:type="gramStart"/>
      <w:r w:rsidRPr="00DD7E8A">
        <w:rPr>
          <w:rFonts w:ascii="Arial" w:hAnsi="Arial" w:cs="Arial"/>
          <w:sz w:val="22"/>
          <w:szCs w:val="22"/>
        </w:rPr>
        <w:tab/>
      </w:r>
      <w:r w:rsidR="00D37571">
        <w:rPr>
          <w:rFonts w:ascii="Arial" w:hAnsi="Arial" w:cs="Arial"/>
          <w:sz w:val="22"/>
          <w:szCs w:val="22"/>
        </w:rPr>
        <w:t xml:space="preserve">  51</w:t>
      </w:r>
      <w:proofErr w:type="gramEnd"/>
      <w:r w:rsidR="00D37571">
        <w:rPr>
          <w:rFonts w:ascii="Arial" w:hAnsi="Arial" w:cs="Arial"/>
          <w:sz w:val="22"/>
          <w:szCs w:val="22"/>
        </w:rPr>
        <w:t> 000,00</w:t>
      </w:r>
      <w:r w:rsidRPr="00DD7E8A">
        <w:rPr>
          <w:rFonts w:ascii="Arial" w:hAnsi="Arial" w:cs="Arial"/>
          <w:sz w:val="22"/>
          <w:szCs w:val="22"/>
        </w:rPr>
        <w:t xml:space="preserve"> Kč</w:t>
      </w:r>
    </w:p>
    <w:p w:rsidR="00DD7E8A" w:rsidRDefault="00DD7E8A"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8C355B">
        <w:rPr>
          <w:rFonts w:ascii="Arial" w:hAnsi="Arial" w:cs="Arial"/>
          <w:i w:val="0"/>
          <w:color w:val="auto"/>
          <w:sz w:val="22"/>
          <w:szCs w:val="22"/>
        </w:rPr>
        <w:t>Cena díla bude hrazena průběžně po kalendářních měsících na základě dílčích faktur a konečné faktury,</w:t>
      </w:r>
      <w:r w:rsidRPr="00D1305C">
        <w:rPr>
          <w:rFonts w:ascii="Arial" w:hAnsi="Arial" w:cs="Arial"/>
          <w:i w:val="0"/>
          <w:color w:val="auto"/>
          <w:sz w:val="22"/>
          <w:szCs w:val="22"/>
        </w:rPr>
        <w:t xml:space="preserve">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86177F" w:rsidRPr="000F7B4B" w:rsidRDefault="0086177F" w:rsidP="0086177F">
      <w:pPr>
        <w:numPr>
          <w:ilvl w:val="3"/>
          <w:numId w:val="3"/>
        </w:numPr>
        <w:ind w:left="426" w:hanging="426"/>
        <w:jc w:val="both"/>
        <w:rPr>
          <w:rFonts w:ascii="Arial" w:hAnsi="Arial" w:cs="Arial"/>
          <w:sz w:val="22"/>
          <w:szCs w:val="22"/>
        </w:rPr>
      </w:pPr>
      <w:r w:rsidRPr="000F7B4B">
        <w:rPr>
          <w:rFonts w:ascii="Arial" w:hAnsi="Arial" w:cs="Arial"/>
          <w:sz w:val="22"/>
          <w:szCs w:val="22"/>
        </w:rPr>
        <w:t>Samostatně budou vystaveny faktury za případné vícepráce.</w:t>
      </w:r>
    </w:p>
    <w:p w:rsidR="0086177F" w:rsidRDefault="0086177F" w:rsidP="0086177F">
      <w:pPr>
        <w:ind w:left="426"/>
        <w:jc w:val="both"/>
        <w:rPr>
          <w:rFonts w:ascii="Arial" w:hAnsi="Arial" w:cs="Arial"/>
          <w:sz w:val="22"/>
          <w:szCs w:val="22"/>
        </w:rPr>
      </w:pPr>
      <w:r w:rsidRPr="008C355B">
        <w:rPr>
          <w:rFonts w:ascii="Arial" w:hAnsi="Arial" w:cs="Arial"/>
          <w:sz w:val="22"/>
          <w:szCs w:val="22"/>
        </w:rPr>
        <w:t>Samostatně budou vystaveny faktury pro investice a opravy.</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DC0C1C" w:rsidRDefault="008C50B7" w:rsidP="00F85A31">
      <w:pPr>
        <w:pStyle w:val="Odstavecseseznamem"/>
        <w:spacing w:after="0" w:line="240" w:lineRule="auto"/>
        <w:ind w:left="360"/>
        <w:jc w:val="both"/>
        <w:rPr>
          <w:rFonts w:ascii="Arial" w:hAnsi="Arial" w:cs="Arial"/>
          <w:b/>
          <w:color w:val="auto"/>
          <w:sz w:val="22"/>
          <w:szCs w:val="22"/>
        </w:rPr>
      </w:pPr>
      <w:r w:rsidRPr="00C506B6">
        <w:rPr>
          <w:rFonts w:ascii="Arial" w:hAnsi="Arial" w:cs="Arial"/>
          <w:color w:val="000000"/>
          <w:sz w:val="22"/>
          <w:szCs w:val="22"/>
        </w:rPr>
        <w:t>Předat faktury lze i elektronicky na adresu</w:t>
      </w:r>
      <w:r w:rsidRPr="00DC0C1C">
        <w:rPr>
          <w:rFonts w:ascii="Arial" w:hAnsi="Arial" w:cs="Arial"/>
          <w:b/>
          <w:color w:val="auto"/>
          <w:sz w:val="22"/>
          <w:szCs w:val="22"/>
        </w:rPr>
        <w:t xml:space="preserve">: </w:t>
      </w:r>
      <w:hyperlink r:id="rId11" w:history="1">
        <w:r w:rsidRPr="00DC0C1C">
          <w:rPr>
            <w:rStyle w:val="Hypertextovodkaz"/>
            <w:rFonts w:ascii="Arial" w:hAnsi="Arial" w:cs="Arial"/>
            <w:b/>
            <w:bCs/>
            <w:color w:val="auto"/>
            <w:sz w:val="22"/>
            <w:szCs w:val="22"/>
            <w:u w:val="none"/>
          </w:rPr>
          <w:t>faktury-pr@poh.cz</w:t>
        </w:r>
      </w:hyperlink>
      <w:r w:rsidRPr="00DC0C1C">
        <w:rPr>
          <w:rFonts w:ascii="Arial" w:hAnsi="Arial" w:cs="Arial"/>
          <w:b/>
          <w:color w:val="auto"/>
          <w:sz w:val="22"/>
          <w:szCs w:val="22"/>
        </w:rPr>
        <w:t>.</w:t>
      </w:r>
    </w:p>
    <w:p w:rsidR="00AB4A35" w:rsidRPr="00DC0C1C" w:rsidRDefault="00AB4A35" w:rsidP="00AB4A35">
      <w:pPr>
        <w:rPr>
          <w:b/>
        </w:rPr>
      </w:pPr>
    </w:p>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8C355B">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C506B6" w:rsidRDefault="00C506B6" w:rsidP="001D1432"/>
    <w:p w:rsidR="00393C5C" w:rsidRPr="0001372F" w:rsidRDefault="00393C5C"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DC0C1C" w:rsidRPr="00A467E6" w:rsidRDefault="00DC0C1C" w:rsidP="00DC0C1C">
      <w:pPr>
        <w:pStyle w:val="A-odstavecodsazensodrkami"/>
        <w:numPr>
          <w:ilvl w:val="0"/>
          <w:numId w:val="0"/>
        </w:numPr>
        <w:ind w:left="360"/>
      </w:pP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8C355B">
        <w:rPr>
          <w:rFonts w:cs="Arial"/>
          <w:b/>
          <w:color w:val="auto"/>
          <w:sz w:val="22"/>
          <w:szCs w:val="22"/>
        </w:rPr>
        <w:t xml:space="preserve">60 </w:t>
      </w:r>
      <w:r w:rsidRPr="008C355B">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w:t>
      </w:r>
      <w:r w:rsidR="00346C0D" w:rsidRPr="00386410">
        <w:rPr>
          <w:rFonts w:cs="Arial"/>
          <w:sz w:val="22"/>
          <w:szCs w:val="22"/>
        </w:rPr>
        <w:lastRenderedPageBreak/>
        <w:t xml:space="preserve">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E82959" w:rsidRDefault="00E82959" w:rsidP="00E97587">
      <w:pPr>
        <w:widowControl w:val="0"/>
        <w:jc w:val="both"/>
        <w:rPr>
          <w:rFonts w:ascii="Arial" w:hAnsi="Arial" w:cs="Arial"/>
          <w:b/>
          <w:sz w:val="22"/>
          <w:szCs w:val="22"/>
        </w:rPr>
      </w:pPr>
    </w:p>
    <w:p w:rsidR="00393C5C" w:rsidRDefault="00393C5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393C5C" w:rsidRDefault="00393C5C" w:rsidP="00393C5C">
      <w:pPr>
        <w:pStyle w:val="Zkladntext"/>
        <w:keepNext/>
        <w:widowControl/>
        <w:spacing w:before="120"/>
        <w:jc w:val="center"/>
        <w:rPr>
          <w:rFonts w:cs="Arial"/>
          <w:b/>
          <w:sz w:val="22"/>
          <w:szCs w:val="22"/>
          <w:u w:val="single"/>
        </w:rPr>
      </w:pPr>
    </w:p>
    <w:p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393C5C" w:rsidRDefault="00393C5C" w:rsidP="00393C5C">
      <w:pPr>
        <w:pStyle w:val="Zkladntext"/>
        <w:keepNext/>
        <w:widowControl/>
        <w:tabs>
          <w:tab w:val="left" w:pos="360"/>
        </w:tabs>
        <w:jc w:val="both"/>
        <w:rPr>
          <w:rFonts w:cs="Arial"/>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393C5C" w:rsidRDefault="00393C5C" w:rsidP="00393C5C">
      <w:pPr>
        <w:pStyle w:val="Zkladntext"/>
        <w:keepNext/>
        <w:widowControl/>
        <w:tabs>
          <w:tab w:val="left" w:pos="360"/>
        </w:tabs>
        <w:jc w:val="both"/>
        <w:rPr>
          <w:rFonts w:cs="Arial"/>
          <w:color w:val="auto"/>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DC0C1C">
      <w:pPr>
        <w:pStyle w:val="Zkladntext"/>
        <w:widowControl/>
        <w:tabs>
          <w:tab w:val="left" w:pos="360"/>
        </w:tabs>
        <w:ind w:left="360"/>
        <w:jc w:val="both"/>
        <w:rPr>
          <w:rFonts w:cs="Arial"/>
          <w:sz w:val="22"/>
          <w:szCs w:val="22"/>
        </w:rPr>
      </w:pPr>
      <w:r>
        <w:rPr>
          <w:rFonts w:cs="Arial"/>
          <w:sz w:val="22"/>
          <w:szCs w:val="22"/>
        </w:rPr>
        <w:lastRenderedPageBreak/>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r w:rsidR="00A554E7">
        <w:rPr>
          <w:rFonts w:cs="Arial"/>
          <w:b/>
          <w:sz w:val="22"/>
          <w:szCs w:val="22"/>
        </w:rPr>
        <w:t xml:space="preserve"> </w:t>
      </w:r>
      <w:r w:rsidR="00A554E7" w:rsidRPr="00A554E7">
        <w:rPr>
          <w:rFonts w:cs="Arial"/>
          <w:b/>
          <w:sz w:val="22"/>
          <w:szCs w:val="22"/>
        </w:rPr>
        <w:t>Plnění předmětu této smlouvy před  účinností této smlouvy se považuje za plnění podle této smlouvy a práva a povinnosti z něj vzniklé se řídí touto smlouvou.</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w:t>
      </w:r>
      <w:r w:rsidRPr="00DC0C1C">
        <w:rPr>
          <w:rFonts w:cs="Arial"/>
          <w:color w:val="auto"/>
          <w:sz w:val="22"/>
          <w:szCs w:val="22"/>
        </w:rPr>
        <w:t xml:space="preserve">seznámila se zásadami, hodnotami a cíli </w:t>
      </w:r>
      <w:proofErr w:type="spellStart"/>
      <w:r w:rsidRPr="00DC0C1C">
        <w:rPr>
          <w:rFonts w:cs="Arial"/>
          <w:color w:val="auto"/>
          <w:sz w:val="22"/>
          <w:szCs w:val="22"/>
        </w:rPr>
        <w:t>Compliance</w:t>
      </w:r>
      <w:proofErr w:type="spellEnd"/>
      <w:r w:rsidRPr="00DC0C1C">
        <w:rPr>
          <w:rFonts w:cs="Arial"/>
          <w:color w:val="auto"/>
          <w:sz w:val="22"/>
          <w:szCs w:val="22"/>
        </w:rPr>
        <w:t xml:space="preserve"> programu Povodí Ohře, </w:t>
      </w:r>
      <w:proofErr w:type="spellStart"/>
      <w:r w:rsidRPr="00DC0C1C">
        <w:rPr>
          <w:rFonts w:cs="Arial"/>
          <w:color w:val="auto"/>
          <w:sz w:val="22"/>
          <w:szCs w:val="22"/>
        </w:rPr>
        <w:t>s.p</w:t>
      </w:r>
      <w:proofErr w:type="spellEnd"/>
      <w:r w:rsidRPr="00DC0C1C">
        <w:rPr>
          <w:rFonts w:cs="Arial"/>
          <w:color w:val="auto"/>
          <w:sz w:val="22"/>
          <w:szCs w:val="22"/>
        </w:rPr>
        <w:t xml:space="preserve">. (viz </w:t>
      </w:r>
      <w:hyperlink r:id="rId12" w:history="1">
        <w:r w:rsidR="00236055" w:rsidRPr="00DC0C1C">
          <w:rPr>
            <w:rStyle w:val="Hypertextovodkaz"/>
            <w:rFonts w:cs="Arial"/>
            <w:color w:val="auto"/>
            <w:sz w:val="22"/>
            <w:szCs w:val="22"/>
          </w:rPr>
          <w:t>http://www.poh.cz/protikorupcni-a-compliance-program/d-1346/p1=1458</w:t>
        </w:r>
      </w:hyperlink>
      <w:r w:rsidRPr="00DC0C1C">
        <w:rPr>
          <w:rFonts w:cs="Arial"/>
          <w:color w:val="auto"/>
          <w:sz w:val="22"/>
          <w:szCs w:val="22"/>
        </w:rPr>
        <w:t xml:space="preserve">), dále s Etickým </w:t>
      </w:r>
      <w:r>
        <w:rPr>
          <w:rFonts w:cs="Arial"/>
          <w:color w:val="auto"/>
          <w:sz w:val="22"/>
          <w:szCs w:val="22"/>
        </w:rPr>
        <w:t>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Pr="00DC0C1C" w:rsidRDefault="005D1FC7" w:rsidP="005D1FC7">
      <w:pPr>
        <w:pStyle w:val="Zkladntext"/>
        <w:widowControl/>
        <w:tabs>
          <w:tab w:val="left" w:pos="360"/>
        </w:tabs>
        <w:ind w:left="360" w:firstLine="66"/>
        <w:jc w:val="both"/>
        <w:rPr>
          <w:rFonts w:cs="Arial"/>
          <w:i/>
          <w:color w:val="auto"/>
          <w:sz w:val="22"/>
          <w:szCs w:val="22"/>
        </w:rPr>
      </w:pPr>
      <w:r w:rsidRPr="00DC0C1C">
        <w:rPr>
          <w:rFonts w:cs="Arial"/>
          <w:i/>
          <w:color w:val="auto"/>
          <w:sz w:val="22"/>
          <w:szCs w:val="22"/>
        </w:rPr>
        <w:t>(pozn. pokud druhá smluvní strana považuje některé informace ve smlouvě za obch. tajemství, pak zde vysloveně uvést, které ustanovení za obch. tajemství považují).</w:t>
      </w:r>
    </w:p>
    <w:p w:rsidR="003C0A01" w:rsidRPr="00DC0C1C" w:rsidRDefault="005D1FC7" w:rsidP="00B61257">
      <w:pPr>
        <w:pStyle w:val="Zkladntext"/>
        <w:widowControl/>
        <w:tabs>
          <w:tab w:val="left" w:pos="360"/>
        </w:tabs>
        <w:ind w:left="360" w:hanging="360"/>
        <w:jc w:val="both"/>
        <w:rPr>
          <w:color w:val="auto"/>
          <w:sz w:val="22"/>
          <w:szCs w:val="22"/>
        </w:rPr>
      </w:pPr>
      <w:r w:rsidRPr="00DC0C1C">
        <w:rPr>
          <w:color w:val="auto"/>
          <w:sz w:val="22"/>
          <w:szCs w:val="22"/>
        </w:rPr>
        <w:tab/>
      </w:r>
    </w:p>
    <w:p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rsidR="0017039A" w:rsidRPr="00DC0C1C" w:rsidRDefault="0017039A" w:rsidP="0017039A">
      <w:pPr>
        <w:ind w:left="360"/>
        <w:jc w:val="both"/>
        <w:rPr>
          <w:rFonts w:ascii="Arial" w:hAnsi="Arial" w:cs="Arial"/>
          <w:sz w:val="22"/>
          <w:szCs w:val="22"/>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DC0C1C">
        <w:rPr>
          <w:rFonts w:ascii="Arial" w:hAnsi="Arial"/>
          <w:sz w:val="22"/>
          <w:szCs w:val="22"/>
        </w:rPr>
        <w:t xml:space="preserve">na </w:t>
      </w:r>
      <w:hyperlink r:id="rId13" w:history="1">
        <w:r w:rsidR="00236055" w:rsidRPr="00DC0C1C">
          <w:rPr>
            <w:rFonts w:ascii="Arial" w:hAnsi="Arial" w:cs="Arial"/>
            <w:sz w:val="22"/>
            <w:szCs w:val="22"/>
          </w:rPr>
          <w:t>http://www.poh.cz/informace-o-zpracovani-osobnich-udaju/d-1369/p1=1459</w:t>
        </w:r>
      </w:hyperlink>
    </w:p>
    <w:p w:rsidR="0017039A" w:rsidRDefault="0017039A" w:rsidP="005D1FC7">
      <w:pPr>
        <w:pStyle w:val="Zkladntext"/>
        <w:widowControl/>
        <w:tabs>
          <w:tab w:val="left" w:pos="360"/>
        </w:tabs>
        <w:ind w:left="360" w:hanging="360"/>
        <w:jc w:val="both"/>
        <w:rPr>
          <w:rFonts w:cs="Arial"/>
          <w:b/>
          <w:sz w:val="22"/>
          <w:szCs w:val="22"/>
        </w:rPr>
      </w:pP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lastRenderedPageBreak/>
        <w:t>1</w:t>
      </w:r>
      <w:r w:rsidR="0017039A">
        <w:rPr>
          <w:rFonts w:cs="Arial"/>
          <w:b/>
          <w:sz w:val="22"/>
          <w:szCs w:val="22"/>
        </w:rPr>
        <w:t>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r w:rsidRPr="00386410">
        <w:rPr>
          <w:rFonts w:ascii="Arial" w:hAnsi="Arial" w:cs="Arial"/>
          <w:sz w:val="22"/>
          <w:szCs w:val="22"/>
        </w:rPr>
        <w:t xml:space="preserve">V Chomutově dne </w:t>
      </w:r>
      <w:r w:rsidR="00433112">
        <w:rPr>
          <w:rFonts w:ascii="Arial" w:hAnsi="Arial" w:cs="Arial"/>
          <w:sz w:val="22"/>
          <w:szCs w:val="22"/>
        </w:rPr>
        <w:t>16.07.2020</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D37571">
        <w:rPr>
          <w:rFonts w:ascii="Arial" w:hAnsi="Arial" w:cs="Arial"/>
          <w:sz w:val="22"/>
          <w:szCs w:val="22"/>
        </w:rPr>
        <w:t xml:space="preserve"> Kolíně </w:t>
      </w:r>
      <w:r w:rsidRPr="00386410">
        <w:rPr>
          <w:rFonts w:ascii="Arial" w:hAnsi="Arial" w:cs="Arial"/>
          <w:sz w:val="22"/>
          <w:szCs w:val="22"/>
        </w:rPr>
        <w:t>dne</w:t>
      </w:r>
      <w:r w:rsidR="00D37571">
        <w:rPr>
          <w:rFonts w:ascii="Arial" w:hAnsi="Arial" w:cs="Arial"/>
          <w:sz w:val="22"/>
          <w:szCs w:val="22"/>
        </w:rPr>
        <w:t xml:space="preserve"> </w:t>
      </w:r>
      <w:r w:rsidR="00433112">
        <w:rPr>
          <w:rFonts w:ascii="Arial" w:hAnsi="Arial" w:cs="Arial"/>
          <w:sz w:val="22"/>
          <w:szCs w:val="22"/>
        </w:rPr>
        <w:t>14.07.2020</w:t>
      </w:r>
    </w:p>
    <w:p w:rsidR="00433112" w:rsidRPr="00386410" w:rsidRDefault="00433112"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DC0C1C" w:rsidRDefault="00DC0C1C" w:rsidP="001E4196">
      <w:pPr>
        <w:overflowPunct/>
        <w:jc w:val="both"/>
        <w:textAlignment w:val="auto"/>
        <w:rPr>
          <w:rFonts w:ascii="Arial" w:hAnsi="Arial" w:cs="Arial"/>
          <w:color w:val="000000"/>
          <w:sz w:val="22"/>
          <w:szCs w:val="22"/>
        </w:rPr>
      </w:pPr>
    </w:p>
    <w:p w:rsidR="001E4196" w:rsidRDefault="001E4196" w:rsidP="001E4196">
      <w:pPr>
        <w:overflowPunct/>
        <w:jc w:val="both"/>
        <w:textAlignment w:val="auto"/>
        <w:rPr>
          <w:rFonts w:ascii="Arial" w:hAnsi="Arial" w:cs="Arial"/>
          <w:color w:val="000000"/>
          <w:sz w:val="22"/>
          <w:szCs w:val="22"/>
        </w:rPr>
      </w:pPr>
      <w:bookmarkStart w:id="1" w:name="_GoBack"/>
      <w:bookmarkEnd w:id="1"/>
    </w:p>
    <w:p w:rsidR="001E4196" w:rsidRDefault="00FB17B9" w:rsidP="001E4196">
      <w:pPr>
        <w:overflowPunct/>
        <w:jc w:val="both"/>
        <w:textAlignment w:val="auto"/>
        <w:rPr>
          <w:rFonts w:ascii="Arial" w:hAnsi="Arial" w:cs="Arial"/>
          <w:color w:val="000000"/>
          <w:sz w:val="22"/>
          <w:szCs w:val="22"/>
        </w:rPr>
      </w:pPr>
      <w:r>
        <w:rPr>
          <w:rFonts w:ascii="Arial" w:hAnsi="Arial" w:cs="Arial"/>
          <w:color w:val="000000"/>
          <w:sz w:val="22"/>
          <w:szCs w:val="22"/>
        </w:rPr>
        <w:t>investič</w:t>
      </w:r>
      <w:r w:rsidR="001E4196">
        <w:rPr>
          <w:rFonts w:ascii="Arial" w:hAnsi="Arial" w:cs="Arial"/>
          <w:color w:val="000000"/>
          <w:sz w:val="22"/>
          <w:szCs w:val="22"/>
        </w:rPr>
        <w:t>ní ředitel</w:t>
      </w:r>
      <w:r w:rsidR="001E4196">
        <w:rPr>
          <w:rFonts w:ascii="Arial" w:hAnsi="Arial" w:cs="Arial"/>
          <w:color w:val="000000"/>
          <w:sz w:val="22"/>
          <w:szCs w:val="22"/>
        </w:rPr>
        <w:tab/>
      </w:r>
      <w:r w:rsidR="001E4196">
        <w:rPr>
          <w:rFonts w:ascii="Arial" w:hAnsi="Arial" w:cs="Arial"/>
          <w:color w:val="000000"/>
          <w:sz w:val="22"/>
          <w:szCs w:val="22"/>
        </w:rPr>
        <w:tab/>
        <w:t xml:space="preserve"> </w:t>
      </w:r>
      <w:r w:rsidR="001E4196">
        <w:rPr>
          <w:rFonts w:ascii="Arial" w:hAnsi="Arial" w:cs="Arial"/>
          <w:color w:val="000000"/>
          <w:sz w:val="22"/>
          <w:szCs w:val="22"/>
        </w:rPr>
        <w:tab/>
      </w:r>
      <w:r w:rsidR="001E4196">
        <w:rPr>
          <w:rFonts w:ascii="Arial" w:hAnsi="Arial" w:cs="Arial"/>
          <w:color w:val="000000"/>
          <w:sz w:val="22"/>
          <w:szCs w:val="22"/>
        </w:rPr>
        <w:tab/>
      </w:r>
      <w:r w:rsidR="001E4196">
        <w:rPr>
          <w:rFonts w:ascii="Arial" w:hAnsi="Arial" w:cs="Arial"/>
          <w:color w:val="000000"/>
          <w:sz w:val="22"/>
          <w:szCs w:val="22"/>
        </w:rPr>
        <w:tab/>
      </w:r>
      <w:r w:rsidR="00D37571">
        <w:rPr>
          <w:rFonts w:ascii="Arial" w:hAnsi="Arial" w:cs="Arial"/>
          <w:color w:val="000000"/>
          <w:sz w:val="22"/>
          <w:szCs w:val="22"/>
        </w:rPr>
        <w:t>statutární ředitel</w:t>
      </w:r>
    </w:p>
    <w:p w:rsidR="00437893" w:rsidRPr="00386410" w:rsidRDefault="001E4196" w:rsidP="001E4196">
      <w:pPr>
        <w:jc w:val="both"/>
        <w:rPr>
          <w:rFonts w:cs="Arial"/>
          <w:snapToGrid w:val="0"/>
          <w:sz w:val="22"/>
          <w:szCs w:val="22"/>
        </w:rPr>
      </w:pPr>
      <w:r>
        <w:rPr>
          <w:rFonts w:ascii="Arial" w:hAnsi="Arial" w:cs="Arial"/>
          <w:color w:val="000000"/>
          <w:sz w:val="22"/>
          <w:szCs w:val="22"/>
        </w:rPr>
        <w:t>Povodí Ohře, státní podnik</w:t>
      </w:r>
      <w:r w:rsidR="00DC0C1C">
        <w:rPr>
          <w:rFonts w:ascii="Arial" w:hAnsi="Arial" w:cs="Arial"/>
          <w:color w:val="000000"/>
          <w:sz w:val="22"/>
          <w:szCs w:val="22"/>
        </w:rPr>
        <w:tab/>
      </w:r>
      <w:r w:rsidR="00DC0C1C">
        <w:rPr>
          <w:rFonts w:ascii="Arial" w:hAnsi="Arial" w:cs="Arial"/>
          <w:color w:val="000000"/>
          <w:sz w:val="22"/>
          <w:szCs w:val="22"/>
        </w:rPr>
        <w:tab/>
      </w:r>
      <w:r w:rsidR="00DC0C1C">
        <w:rPr>
          <w:rFonts w:ascii="Arial" w:hAnsi="Arial" w:cs="Arial"/>
          <w:color w:val="000000"/>
          <w:sz w:val="22"/>
          <w:szCs w:val="22"/>
        </w:rPr>
        <w:tab/>
      </w:r>
      <w:r w:rsidR="00DC0C1C">
        <w:rPr>
          <w:rFonts w:ascii="Arial" w:hAnsi="Arial" w:cs="Arial"/>
          <w:color w:val="000000"/>
          <w:sz w:val="22"/>
          <w:szCs w:val="22"/>
        </w:rPr>
        <w:tab/>
      </w:r>
      <w:r w:rsidR="00DC0C1C" w:rsidRPr="00DC0C1C">
        <w:rPr>
          <w:rFonts w:ascii="Arial" w:hAnsi="Arial" w:cs="Arial"/>
          <w:color w:val="000000"/>
          <w:sz w:val="22"/>
          <w:szCs w:val="22"/>
        </w:rPr>
        <w:t>DOPRAVNÍ STAVBY KOLÍN, a.s.</w:t>
      </w:r>
      <w:r w:rsidR="00DC0C1C" w:rsidRPr="00DC0C1C">
        <w:rPr>
          <w:rFonts w:ascii="Arial" w:hAnsi="Arial" w:cs="Arial"/>
          <w:color w:val="000000"/>
          <w:sz w:val="22"/>
          <w:szCs w:val="22"/>
        </w:rPr>
        <w:tab/>
      </w:r>
    </w:p>
    <w:sectPr w:rsidR="00437893" w:rsidRPr="00386410" w:rsidSect="00B640F3">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D7C" w:rsidRDefault="00D06D7C">
      <w:r>
        <w:separator/>
      </w:r>
    </w:p>
  </w:endnote>
  <w:endnote w:type="continuationSeparator" w:id="0">
    <w:p w:rsidR="00D06D7C" w:rsidRDefault="00D0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554E7">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554E7">
      <w:rPr>
        <w:rFonts w:ascii="Arial" w:hAnsi="Arial" w:cs="Arial"/>
        <w:b/>
        <w:noProof/>
        <w:sz w:val="18"/>
        <w:szCs w:val="18"/>
      </w:rPr>
      <w:t>9</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554E7">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554E7">
      <w:rPr>
        <w:rFonts w:ascii="Arial" w:hAnsi="Arial" w:cs="Arial"/>
        <w:b/>
        <w:noProof/>
        <w:sz w:val="18"/>
        <w:szCs w:val="18"/>
      </w:rPr>
      <w:t>9</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D7C" w:rsidRDefault="00D06D7C">
      <w:r>
        <w:separator/>
      </w:r>
    </w:p>
  </w:footnote>
  <w:footnote w:type="continuationSeparator" w:id="0">
    <w:p w:rsidR="00D06D7C" w:rsidRDefault="00D0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A5205"/>
    <w:rsid w:val="000C01FA"/>
    <w:rsid w:val="000C6182"/>
    <w:rsid w:val="000D1512"/>
    <w:rsid w:val="000D49D2"/>
    <w:rsid w:val="000F1825"/>
    <w:rsid w:val="000F7B4B"/>
    <w:rsid w:val="0011076F"/>
    <w:rsid w:val="00110849"/>
    <w:rsid w:val="00114CFD"/>
    <w:rsid w:val="00123217"/>
    <w:rsid w:val="00123974"/>
    <w:rsid w:val="00123E61"/>
    <w:rsid w:val="00127923"/>
    <w:rsid w:val="001369A7"/>
    <w:rsid w:val="00145445"/>
    <w:rsid w:val="001505D1"/>
    <w:rsid w:val="00151C33"/>
    <w:rsid w:val="00157EF2"/>
    <w:rsid w:val="0016042F"/>
    <w:rsid w:val="0017039A"/>
    <w:rsid w:val="00177096"/>
    <w:rsid w:val="00182A31"/>
    <w:rsid w:val="00197AC0"/>
    <w:rsid w:val="00197E3C"/>
    <w:rsid w:val="001C04BD"/>
    <w:rsid w:val="001C40EA"/>
    <w:rsid w:val="001C6F31"/>
    <w:rsid w:val="001D1432"/>
    <w:rsid w:val="001D3524"/>
    <w:rsid w:val="001D6812"/>
    <w:rsid w:val="001E4196"/>
    <w:rsid w:val="001E5370"/>
    <w:rsid w:val="001F0799"/>
    <w:rsid w:val="001F59EB"/>
    <w:rsid w:val="00203335"/>
    <w:rsid w:val="002044E5"/>
    <w:rsid w:val="0021752C"/>
    <w:rsid w:val="00224131"/>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4779E"/>
    <w:rsid w:val="00350F03"/>
    <w:rsid w:val="003541E9"/>
    <w:rsid w:val="00354421"/>
    <w:rsid w:val="00355233"/>
    <w:rsid w:val="003649B0"/>
    <w:rsid w:val="00386410"/>
    <w:rsid w:val="00393C5C"/>
    <w:rsid w:val="003B0717"/>
    <w:rsid w:val="003C0A01"/>
    <w:rsid w:val="003F45C8"/>
    <w:rsid w:val="0040668A"/>
    <w:rsid w:val="004070EF"/>
    <w:rsid w:val="00410FA6"/>
    <w:rsid w:val="0041490F"/>
    <w:rsid w:val="00422BF9"/>
    <w:rsid w:val="004237EB"/>
    <w:rsid w:val="00427853"/>
    <w:rsid w:val="00433112"/>
    <w:rsid w:val="00436ABE"/>
    <w:rsid w:val="00437893"/>
    <w:rsid w:val="004422BE"/>
    <w:rsid w:val="0044321A"/>
    <w:rsid w:val="004461E2"/>
    <w:rsid w:val="00446ACB"/>
    <w:rsid w:val="00452D5E"/>
    <w:rsid w:val="00470A5B"/>
    <w:rsid w:val="00474548"/>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36E7F"/>
    <w:rsid w:val="00541221"/>
    <w:rsid w:val="00551063"/>
    <w:rsid w:val="0055403F"/>
    <w:rsid w:val="00563FAB"/>
    <w:rsid w:val="00566C41"/>
    <w:rsid w:val="0057054F"/>
    <w:rsid w:val="0057643B"/>
    <w:rsid w:val="00576539"/>
    <w:rsid w:val="00586A2F"/>
    <w:rsid w:val="0059593F"/>
    <w:rsid w:val="00595DCE"/>
    <w:rsid w:val="005A6F7B"/>
    <w:rsid w:val="005D1FC7"/>
    <w:rsid w:val="005D408E"/>
    <w:rsid w:val="005E7B3E"/>
    <w:rsid w:val="005F0189"/>
    <w:rsid w:val="005F1702"/>
    <w:rsid w:val="005F34D9"/>
    <w:rsid w:val="00600AFF"/>
    <w:rsid w:val="00602394"/>
    <w:rsid w:val="00607CC4"/>
    <w:rsid w:val="00614245"/>
    <w:rsid w:val="00632678"/>
    <w:rsid w:val="00640D5E"/>
    <w:rsid w:val="0064187A"/>
    <w:rsid w:val="00653562"/>
    <w:rsid w:val="00657C8C"/>
    <w:rsid w:val="006755B3"/>
    <w:rsid w:val="0068009D"/>
    <w:rsid w:val="00680D23"/>
    <w:rsid w:val="00681E3D"/>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6D4B"/>
    <w:rsid w:val="00767889"/>
    <w:rsid w:val="00786D51"/>
    <w:rsid w:val="00790057"/>
    <w:rsid w:val="00790434"/>
    <w:rsid w:val="00797E59"/>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43D"/>
    <w:rsid w:val="008C0D31"/>
    <w:rsid w:val="008C355B"/>
    <w:rsid w:val="008C4FAD"/>
    <w:rsid w:val="008C50B7"/>
    <w:rsid w:val="008C563C"/>
    <w:rsid w:val="008D07D7"/>
    <w:rsid w:val="008D36CC"/>
    <w:rsid w:val="008D4C0D"/>
    <w:rsid w:val="008E2BD1"/>
    <w:rsid w:val="008E3619"/>
    <w:rsid w:val="008E3E73"/>
    <w:rsid w:val="008E7AA7"/>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2BB6"/>
    <w:rsid w:val="009F0F3A"/>
    <w:rsid w:val="009F27E1"/>
    <w:rsid w:val="00A176C0"/>
    <w:rsid w:val="00A17AC6"/>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6C65"/>
    <w:rsid w:val="00B80D3D"/>
    <w:rsid w:val="00B847E2"/>
    <w:rsid w:val="00B903AC"/>
    <w:rsid w:val="00B924F7"/>
    <w:rsid w:val="00B9353B"/>
    <w:rsid w:val="00BA3576"/>
    <w:rsid w:val="00BB0930"/>
    <w:rsid w:val="00BB0952"/>
    <w:rsid w:val="00BB16E1"/>
    <w:rsid w:val="00BC1523"/>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449C4"/>
    <w:rsid w:val="00C4663F"/>
    <w:rsid w:val="00C506B6"/>
    <w:rsid w:val="00C66556"/>
    <w:rsid w:val="00C8132B"/>
    <w:rsid w:val="00C86B0F"/>
    <w:rsid w:val="00C931D1"/>
    <w:rsid w:val="00CA7704"/>
    <w:rsid w:val="00CA7CEE"/>
    <w:rsid w:val="00CB478B"/>
    <w:rsid w:val="00CC4CD4"/>
    <w:rsid w:val="00CD2A5C"/>
    <w:rsid w:val="00CE2F33"/>
    <w:rsid w:val="00CE5BCB"/>
    <w:rsid w:val="00CE5EF2"/>
    <w:rsid w:val="00D06739"/>
    <w:rsid w:val="00D06D7C"/>
    <w:rsid w:val="00D1305C"/>
    <w:rsid w:val="00D14AB6"/>
    <w:rsid w:val="00D276F7"/>
    <w:rsid w:val="00D3296A"/>
    <w:rsid w:val="00D35C19"/>
    <w:rsid w:val="00D35FAE"/>
    <w:rsid w:val="00D37571"/>
    <w:rsid w:val="00D43FF2"/>
    <w:rsid w:val="00D52EED"/>
    <w:rsid w:val="00D558EB"/>
    <w:rsid w:val="00D62809"/>
    <w:rsid w:val="00D7549F"/>
    <w:rsid w:val="00D8383F"/>
    <w:rsid w:val="00D94D2D"/>
    <w:rsid w:val="00D955DC"/>
    <w:rsid w:val="00D960BC"/>
    <w:rsid w:val="00DA3A86"/>
    <w:rsid w:val="00DA4695"/>
    <w:rsid w:val="00DB336D"/>
    <w:rsid w:val="00DC0C1C"/>
    <w:rsid w:val="00DC59AA"/>
    <w:rsid w:val="00DD7E8A"/>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67F82"/>
    <w:rsid w:val="00E7221B"/>
    <w:rsid w:val="00E82959"/>
    <w:rsid w:val="00E83DA6"/>
    <w:rsid w:val="00E84DB2"/>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13296"/>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86B2F"/>
    <w:rsid w:val="00F9094A"/>
    <w:rsid w:val="00F93AE0"/>
    <w:rsid w:val="00FA29A9"/>
    <w:rsid w:val="00FB17B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C4C8B"/>
  <w15:docId w15:val="{E7E7236E-55A5-4E14-8E87-B83CF0D4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70689413">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53291492">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h.cz/informace-o-zpracovani-osobnich-udaju/d-1369/p1=1459"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h.cz/protikorupcni-a-compliance-program/d-1346/p1=1458"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1555-3EE1-47DC-B3DF-7ED7677B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22</TotalTime>
  <Pages>1</Pages>
  <Words>3166</Words>
  <Characters>18681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7</cp:revision>
  <cp:lastPrinted>2010-05-05T09:52:00Z</cp:lastPrinted>
  <dcterms:created xsi:type="dcterms:W3CDTF">2020-07-07T06:08:00Z</dcterms:created>
  <dcterms:modified xsi:type="dcterms:W3CDTF">2020-07-17T08:46:00Z</dcterms:modified>
</cp:coreProperties>
</file>