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NAROVNÁNÍ</w:t>
      </w:r>
      <w:bookmarkEnd w:id="0"/>
      <w:bookmarkEnd w:id="1"/>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[^SKÁÍP^^</w:t>
      </w:r>
    </w:p>
    <w:p>
      <w:pPr>
        <w:pStyle w:val="Style4"/>
        <w:keepNext w:val="0"/>
        <w:keepLines w:val="0"/>
        <w:widowControl w:val="0"/>
        <w:shd w:val="clear" w:color="auto" w:fill="auto"/>
        <w:tabs>
          <w:tab w:pos="2760"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orgarazáco:</w:t>
        <w:tab/>
        <w:t>3</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SMlOÚVftMtW</w:t>
      </w:r>
    </w:p>
    <w:p>
      <w:pPr>
        <w:pStyle w:val="Style4"/>
        <w:keepNext w:val="0"/>
        <w:keepLines w:val="0"/>
        <w:widowControl w:val="0"/>
        <w:shd w:val="clear" w:color="auto" w:fill="auto"/>
        <w:tabs>
          <w:tab w:pos="1464" w:val="left"/>
        </w:tabs>
        <w:bidi w:val="0"/>
        <w:spacing w:before="0" w:after="0" w:line="240" w:lineRule="auto"/>
        <w:ind w:left="0" w:right="0" w:firstLine="0"/>
        <w:jc w:val="left"/>
        <w:sectPr>
          <w:footnotePr>
            <w:pos w:val="pageBottom"/>
            <w:numFmt w:val="decimal"/>
            <w:numRestart w:val="continuous"/>
          </w:footnotePr>
          <w:pgSz w:w="11900" w:h="16840"/>
          <w:pgMar w:top="1072" w:left="4682" w:right="1067" w:bottom="1754" w:header="644" w:footer="1326" w:gutter="0"/>
          <w:pgNumType w:start="1"/>
          <w:cols w:num="2" w:sep="1" w:space="100"/>
          <w:noEndnote/>
          <w:rtlGutter w:val="0"/>
          <w:docGrid w:linePitch="360"/>
        </w:sectPr>
      </w:pPr>
      <w:r>
        <w:rPr>
          <w:color w:val="000000"/>
          <w:spacing w:val="0"/>
          <w:w w:val="100"/>
          <w:position w:val="0"/>
          <w:shd w:val="clear" w:color="auto" w:fill="auto"/>
          <w:lang w:val="cs-CZ" w:eastAsia="cs-CZ" w:bidi="cs-CZ"/>
        </w:rPr>
        <w:t>pod číslem:,</w:t>
        <w:tab/>
        <w:t>1^0</w:t>
      </w: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29" w:left="0" w:right="0" w:bottom="1697" w:header="0" w:footer="3" w:gutter="0"/>
          <w:cols w:space="720"/>
          <w:noEndnote/>
          <w:rtlGutter w:val="0"/>
          <w:docGrid w:linePitch="360"/>
        </w:sectPr>
      </w:pPr>
    </w:p>
    <w:p>
      <w:pPr>
        <w:pStyle w:val="Style6"/>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Dnešního dne uzavřeli</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 Kosovská 1122/16</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IČiOOT 90 450</w:t>
      </w:r>
    </w:p>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Zastoupená ředitelem organizace ing. Radovanem Necidem (dále jen „Objednatel“) </w:t>
      </w:r>
      <w:r>
        <w:rPr>
          <w:b/>
          <w:bCs/>
          <w:color w:val="000000"/>
          <w:spacing w:val="0"/>
          <w:w w:val="100"/>
          <w:position w:val="0"/>
          <w:shd w:val="clear" w:color="auto" w:fill="auto"/>
          <w:lang w:val="cs-CZ" w:eastAsia="cs-CZ" w:bidi="cs-CZ"/>
        </w:rPr>
        <w:t>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MÁCA, s.r.o.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Znojemská čp. 4461786a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 469 78 356</w:t>
      </w:r>
    </w:p>
    <w:p>
      <w:pPr>
        <w:pStyle w:val="Style6"/>
        <w:keepNext w:val="0"/>
        <w:keepLines w:val="0"/>
        <w:widowControl w:val="0"/>
        <w:shd w:val="clear" w:color="auto" w:fill="auto"/>
        <w:bidi w:val="0"/>
        <w:spacing w:before="0" w:after="760" w:line="240" w:lineRule="auto"/>
        <w:ind w:left="0" w:right="0" w:firstLine="0"/>
        <w:jc w:val="left"/>
      </w:pPr>
      <w:r>
        <w:rPr>
          <w:b/>
          <w:bCs/>
          <w:color w:val="000000"/>
          <w:spacing w:val="0"/>
          <w:w w:val="100"/>
          <w:position w:val="0"/>
          <w:shd w:val="clear" w:color="auto" w:fill="auto"/>
          <w:lang w:val="cs-CZ" w:eastAsia="cs-CZ" w:bidi="cs-CZ"/>
        </w:rPr>
        <w:t xml:space="preserve">Zastoupená jednatelem společnosti (dále jen „dodavatel“) </w:t>
      </w:r>
      <w:r>
        <w:rPr>
          <w:color w:val="000000"/>
          <w:spacing w:val="0"/>
          <w:w w:val="100"/>
          <w:position w:val="0"/>
          <w:shd w:val="clear" w:color="auto" w:fill="auto"/>
          <w:lang w:val="cs-CZ" w:eastAsia="cs-CZ" w:bidi="cs-CZ"/>
        </w:rPr>
        <w:t>dle ust § 1903 a násl., zákona č. 89/2012 Sb„ občanský zákoník, tuto</w:t>
      </w:r>
    </w:p>
    <w:p>
      <w:pPr>
        <w:pStyle w:val="Style6"/>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dohoda o narovnání.</w:t>
      </w:r>
    </w:p>
    <w:p>
      <w:pPr>
        <w:pStyle w:val="Style6"/>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I.</w:t>
      </w:r>
    </w:p>
    <w:p>
      <w:pPr>
        <w:pStyle w:val="Style2"/>
        <w:keepNext/>
        <w:keepLines/>
        <w:widowControl w:val="0"/>
        <w:shd w:val="clear" w:color="auto" w:fill="auto"/>
        <w:bidi w:val="0"/>
        <w:spacing w:before="0" w:line="252"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Prohlášení o sporných závazcích</w:t>
      </w:r>
      <w:bookmarkEnd w:id="2"/>
      <w:bookmarkEnd w:id="3"/>
    </w:p>
    <w:p>
      <w:pPr>
        <w:pStyle w:val="Style6"/>
        <w:keepNext w:val="0"/>
        <w:keepLines w:val="0"/>
        <w:widowControl w:val="0"/>
        <w:numPr>
          <w:ilvl w:val="0"/>
          <w:numId w:val="1"/>
        </w:numPr>
        <w:shd w:val="clear" w:color="auto" w:fill="auto"/>
        <w:tabs>
          <w:tab w:pos="373" w:val="left"/>
        </w:tabs>
        <w:bidi w:val="0"/>
        <w:spacing w:before="0" w:line="252" w:lineRule="auto"/>
        <w:ind w:left="0" w:right="0" w:firstLine="0"/>
        <w:jc w:val="both"/>
      </w:pPr>
      <w:r>
        <w:rPr>
          <w:color w:val="000000"/>
          <w:spacing w:val="0"/>
          <w:w w:val="100"/>
          <w:position w:val="0"/>
          <w:shd w:val="clear" w:color="auto" w:fill="auto"/>
          <w:lang w:val="cs-CZ" w:eastAsia="cs-CZ" w:bidi="cs-CZ"/>
        </w:rPr>
        <w:t>Smluvní strany prohlašují, že mezi nimi existují spory ohledně provedeni a úhradě servisních prací dodavatelem na vozidle objednatele bez řádně sjednané smlouvy o prováděni servisních prací a stanoveného limitu těchto služeb.</w:t>
      </w:r>
    </w:p>
    <w:p>
      <w:pPr>
        <w:pStyle w:val="Style6"/>
        <w:keepNext w:val="0"/>
        <w:keepLines w:val="0"/>
        <w:widowControl w:val="0"/>
        <w:numPr>
          <w:ilvl w:val="0"/>
          <w:numId w:val="1"/>
        </w:numPr>
        <w:shd w:val="clear" w:color="auto" w:fill="auto"/>
        <w:tabs>
          <w:tab w:pos="363" w:val="left"/>
        </w:tabs>
        <w:bidi w:val="0"/>
        <w:spacing w:before="0" w:line="240" w:lineRule="auto"/>
        <w:ind w:left="0" w:right="0" w:firstLine="0"/>
        <w:jc w:val="both"/>
      </w:pPr>
      <w:r>
        <w:rPr>
          <w:color w:val="000000"/>
          <w:spacing w:val="0"/>
          <w:w w:val="100"/>
          <w:position w:val="0"/>
          <w:shd w:val="clear" w:color="auto" w:fill="auto"/>
          <w:lang w:val="cs-CZ" w:eastAsia="cs-CZ" w:bidi="cs-CZ"/>
        </w:rPr>
        <w:t>Dne 24. 3. 2020 byla u dodavatele zadána oprava vozidla RZ 5J5 3095 Škoda Superb, číslo objednávky Č. 72000451. Jednalo se o provedení karosářských a lakýrnických prací na vozidle na odstranění škody způsobené střetem se zvěří. Objednávka opravy vozidla byla sjednána v ceně 75.000 Kč bez DPH, daň z přidané hodnoty 21 % činí 15.750 Kč, tj. hodnota servisních prací celkem 90.750 Kč.</w:t>
      </w:r>
    </w:p>
    <w:p>
      <w:pPr>
        <w:pStyle w:val="Style6"/>
        <w:keepNext w:val="0"/>
        <w:keepLines w:val="0"/>
        <w:widowControl w:val="0"/>
        <w:numPr>
          <w:ilvl w:val="0"/>
          <w:numId w:val="1"/>
        </w:numPr>
        <w:shd w:val="clear" w:color="auto" w:fill="auto"/>
        <w:tabs>
          <w:tab w:pos="358" w:val="left"/>
        </w:tabs>
        <w:bidi w:val="0"/>
        <w:spacing w:before="0" w:line="252" w:lineRule="auto"/>
        <w:ind w:left="0" w:right="0" w:firstLine="0"/>
        <w:jc w:val="both"/>
      </w:pPr>
      <w:r>
        <w:rPr>
          <w:color w:val="000000"/>
          <w:spacing w:val="0"/>
          <w:w w:val="100"/>
          <w:position w:val="0"/>
          <w:shd w:val="clear" w:color="auto" w:fill="auto"/>
          <w:lang w:val="cs-CZ" w:eastAsia="cs-CZ" w:bidi="cs-CZ"/>
        </w:rPr>
        <w:t xml:space="preserve">Dodavatel provedl a dodal </w:t>
      </w:r>
      <w:r>
        <w:rPr>
          <w:color w:val="000000"/>
          <w:spacing w:val="0"/>
          <w:w w:val="100"/>
          <w:position w:val="0"/>
          <w:u w:val="single"/>
          <w:shd w:val="clear" w:color="auto" w:fill="auto"/>
          <w:lang w:val="cs-CZ" w:eastAsia="cs-CZ" w:bidi="cs-CZ"/>
        </w:rPr>
        <w:t>řádně</w:t>
      </w:r>
      <w:r>
        <w:rPr>
          <w:color w:val="000000"/>
          <w:spacing w:val="0"/>
          <w:w w:val="100"/>
          <w:position w:val="0"/>
          <w:shd w:val="clear" w:color="auto" w:fill="auto"/>
          <w:lang w:val="cs-CZ" w:eastAsia="cs-CZ" w:bidi="cs-CZ"/>
        </w:rPr>
        <w:t xml:space="preserve"> provedenou opravu dle objednávky č. 72000451 v termínu splnění a předání vozidla k 27. 3.2020. Současně s předáním vozidla vystavil fektury (daňové doklady) č. 20 221 231 (VS 221 231) na částku 70.020,76 Kč a č. 20 221 232 (VS 221 232) na částku 6;534 Kč za zápůjčku náhradního vozidla. Uvedené daňové doklady však nebyly v termínu splatnosti uhrazeny.</w:t>
      </w:r>
    </w:p>
    <w:p>
      <w:pPr>
        <w:pStyle w:val="Style6"/>
        <w:keepNext w:val="0"/>
        <w:keepLines w:val="0"/>
        <w:widowControl w:val="0"/>
        <w:numPr>
          <w:ilvl w:val="0"/>
          <w:numId w:val="1"/>
        </w:numPr>
        <w:shd w:val="clear" w:color="auto" w:fill="auto"/>
        <w:tabs>
          <w:tab w:pos="321" w:val="left"/>
        </w:tabs>
        <w:bidi w:val="0"/>
        <w:spacing w:before="0" w:after="640" w:line="240" w:lineRule="auto"/>
        <w:ind w:left="0" w:right="0" w:firstLine="0"/>
        <w:jc w:val="both"/>
      </w:pPr>
      <w:r>
        <w:rPr>
          <w:color w:val="000000"/>
          <w:spacing w:val="0"/>
          <w:w w:val="100"/>
          <w:position w:val="0"/>
          <w:shd w:val="clear" w:color="auto" w:fill="auto"/>
          <w:lang w:val="cs-CZ" w:eastAsia="cs-CZ" w:bidi="cs-CZ"/>
        </w:rPr>
        <w:t>Mezi účastníky nebyla řádně sjednána smlouva o poskytování servisních služeb a provedením servisních prací a neproplacením uvedených faktur dochází k bezdůvodnému obohacení objednatele z titulu přijetí hodnoty provedených servisních prací a vzniku škody na straně dodavatele.</w:t>
      </w:r>
    </w:p>
    <w:p>
      <w:pPr>
        <w:pStyle w:val="Style12"/>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n.</w:t>
      </w:r>
      <w:bookmarkEnd w:id="4"/>
      <w:bookmarkEnd w:id="5"/>
    </w:p>
    <w:p>
      <w:pPr>
        <w:pStyle w:val="Style2"/>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dohody</w:t>
      </w:r>
      <w:bookmarkEnd w:id="6"/>
      <w:bookmarkEnd w:id="7"/>
    </w:p>
    <w:p>
      <w:pPr>
        <w:pStyle w:val="Style6"/>
        <w:keepNext w:val="0"/>
        <w:keepLines w:val="0"/>
        <w:widowControl w:val="0"/>
        <w:numPr>
          <w:ilvl w:val="0"/>
          <w:numId w:val="3"/>
        </w:numPr>
        <w:shd w:val="clear" w:color="auto" w:fill="auto"/>
        <w:tabs>
          <w:tab w:pos="317"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tímto dohodly na dodatečném uzavření smluvního vztahu na provedení opravy vozidla RZ 5J5 3095 Škoda Superb, číslo objednávky č. 72000451 na odstranění poškození vozidla střetem se zvěří. Předmětem objednatelem požadované služby jsou karosářské a lakýrnické ptáče v ceně 75.000 Kč bez daně, daň z přidané hodnoty 21 % činí 15.750 Kč, tj. hodnota servisních prací celkem 90.750 KČ.</w:t>
      </w:r>
    </w:p>
    <w:p>
      <w:pPr>
        <w:pStyle w:val="Style6"/>
        <w:keepNext w:val="0"/>
        <w:keepLines w:val="0"/>
        <w:widowControl w:val="0"/>
        <w:numPr>
          <w:ilvl w:val="0"/>
          <w:numId w:val="3"/>
        </w:numPr>
        <w:shd w:val="clear" w:color="auto" w:fill="auto"/>
        <w:tabs>
          <w:tab w:pos="3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provede vyúčtování provedených prací prostřednictvím daňového dokladu, což již proved vystavením daňových dokladů č. 20 221 231 (VS 221 231) na částku 70.020,76 Kč včetně DPH </w:t>
      </w:r>
      <w:r>
        <w:rPr>
          <w:i/>
          <w:iCs/>
          <w:color w:val="000000"/>
          <w:spacing w:val="0"/>
          <w:w w:val="100"/>
          <w:position w:val="0"/>
          <w:shd w:val="clear" w:color="auto" w:fill="auto"/>
          <w:lang w:val="cs-CZ" w:eastAsia="cs-CZ" w:bidi="cs-CZ"/>
        </w:rPr>
        <w:t>za</w:t>
      </w:r>
      <w:r>
        <w:rPr>
          <w:color w:val="000000"/>
          <w:spacing w:val="0"/>
          <w:w w:val="100"/>
          <w:position w:val="0"/>
          <w:shd w:val="clear" w:color="auto" w:fill="auto"/>
          <w:lang w:val="cs-CZ" w:eastAsia="cs-CZ" w:bidi="cs-CZ"/>
        </w:rPr>
        <w:t xml:space="preserve"> provedené práce a č. 20 221 232 (VS 221 232) na částku 6.534 Kč včetně DPH za zápůjčku náhradního vozidla. Uvedené daňové doklady budou ze stany objednatele uhrazeny nejpozději do 10 dnů ode dne nabytí platnosti a účinnosti této dohody.</w:t>
      </w:r>
    </w:p>
    <w:p>
      <w:pPr>
        <w:pStyle w:val="Style6"/>
        <w:keepNext w:val="0"/>
        <w:keepLines w:val="0"/>
        <w:widowControl w:val="0"/>
        <w:numPr>
          <w:ilvl w:val="0"/>
          <w:numId w:val="3"/>
        </w:numPr>
        <w:shd w:val="clear" w:color="auto" w:fill="auto"/>
        <w:tabs>
          <w:tab w:pos="331" w:val="left"/>
        </w:tabs>
        <w:bidi w:val="0"/>
        <w:spacing w:before="0" w:line="264" w:lineRule="auto"/>
        <w:ind w:left="0" w:right="0" w:firstLine="0"/>
        <w:jc w:val="both"/>
      </w:pPr>
      <w:r>
        <w:rPr>
          <w:color w:val="000000"/>
          <w:spacing w:val="0"/>
          <w:w w:val="100"/>
          <w:position w:val="0"/>
          <w:shd w:val="clear" w:color="auto" w:fill="auto"/>
          <w:lang w:val="cs-CZ" w:eastAsia="cs-CZ" w:bidi="cs-CZ"/>
        </w:rPr>
        <w:t>Dohoda nabývá účinnosti zveřejněním v informačním systému veřejné správy - Registru smluv.</w:t>
      </w:r>
    </w:p>
    <w:p>
      <w:pPr>
        <w:pStyle w:val="Style6"/>
        <w:keepNext w:val="0"/>
        <w:keepLines w:val="0"/>
        <w:widowControl w:val="0"/>
        <w:numPr>
          <w:ilvl w:val="0"/>
          <w:numId w:val="3"/>
        </w:numPr>
        <w:shd w:val="clear" w:color="auto" w:fill="auto"/>
        <w:tabs>
          <w:tab w:pos="336" w:val="left"/>
        </w:tabs>
        <w:bidi w:val="0"/>
        <w:spacing w:before="0" w:after="140" w:line="233" w:lineRule="auto"/>
        <w:ind w:left="0" w:right="0" w:firstLine="0"/>
        <w:jc w:val="both"/>
      </w:pPr>
      <w:r>
        <w:rPr>
          <w:color w:val="000000"/>
          <w:spacing w:val="0"/>
          <w:w w:val="100"/>
          <w:position w:val="0"/>
          <w:shd w:val="clear" w:color="auto" w:fill="auto"/>
          <w:lang w:val="cs-CZ" w:eastAsia="cs-CZ" w:bidi="cs-CZ"/>
        </w:rPr>
        <w:t xml:space="preserve">Současně stany tímto prohlašují, že své vztahy vypořádaly a vůči sobě' nemají, žádných </w:t>
      </w:r>
      <w:r>
        <w:rPr>
          <w:color w:val="000000"/>
          <w:spacing w:val="0"/>
          <w:w w:val="100"/>
          <w:position w:val="0"/>
          <w:u w:val="single"/>
          <w:shd w:val="clear" w:color="auto" w:fill="auto"/>
          <w:lang w:val="cs-CZ" w:eastAsia="cs-CZ" w:bidi="cs-CZ"/>
        </w:rPr>
        <w:t>d»Rú-.h finančních</w:t>
      </w:r>
      <w:r>
        <w:rPr>
          <w:color w:val="000000"/>
          <w:spacing w:val="0"/>
          <w:w w:val="100"/>
          <w:position w:val="0"/>
          <w:shd w:val="clear" w:color="auto" w:fill="auto"/>
          <w:lang w:val="cs-CZ" w:eastAsia="cs-CZ" w:bidi="cs-CZ"/>
        </w:rPr>
        <w:t xml:space="preserve"> nároků</w:t>
      </w:r>
    </w:p>
    <w:p>
      <w:pPr>
        <w:pStyle w:val="Style12"/>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ni.</w:t>
      </w:r>
      <w:bookmarkEnd w:id="8"/>
      <w:bookmarkEnd w:id="9"/>
    </w:p>
    <w:p>
      <w:pPr>
        <w:pStyle w:val="Style2"/>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Závěrečná ustanovení</w:t>
      </w:r>
      <w:bookmarkEnd w:id="10"/>
      <w:bookmarkEnd w:id="11"/>
    </w:p>
    <w:p>
      <w:pPr>
        <w:pStyle w:val="Style6"/>
        <w:keepNext w:val="0"/>
        <w:keepLines w:val="0"/>
        <w:widowControl w:val="0"/>
        <w:numPr>
          <w:ilvl w:val="0"/>
          <w:numId w:val="5"/>
        </w:numPr>
        <w:shd w:val="clear" w:color="auto" w:fill="auto"/>
        <w:tabs>
          <w:tab w:pos="317" w:val="left"/>
        </w:tabs>
        <w:bidi w:val="0"/>
        <w:spacing w:before="0" w:line="254" w:lineRule="auto"/>
        <w:ind w:left="0" w:right="0" w:firstLine="0"/>
        <w:jc w:val="both"/>
      </w:pPr>
      <w:r>
        <w:rPr>
          <w:color w:val="000000"/>
          <w:spacing w:val="0"/>
          <w:w w:val="100"/>
          <w:position w:val="0"/>
          <w:shd w:val="clear" w:color="auto" w:fill="auto"/>
          <w:lang w:val="cs-CZ" w:eastAsia="cs-CZ" w:bidi="cs-CZ"/>
        </w:rPr>
        <w:t>Účastníci prohlašují, že tuto dohodu uzavřeli na základě své svobodné a vážné vůle, že obsahu dohody rozumí a tyto skutečnosti potvrzují svými podpisy.</w:t>
      </w:r>
    </w:p>
    <w:p>
      <w:pPr>
        <w:pStyle w:val="Style6"/>
        <w:keepNext w:val="0"/>
        <w:keepLines w:val="0"/>
        <w:widowControl w:val="0"/>
        <w:numPr>
          <w:ilvl w:val="0"/>
          <w:numId w:val="5"/>
        </w:numPr>
        <w:shd w:val="clear" w:color="auto" w:fill="auto"/>
        <w:tabs>
          <w:tab w:pos="317" w:val="left"/>
        </w:tabs>
        <w:bidi w:val="0"/>
        <w:spacing w:before="0" w:line="259" w:lineRule="auto"/>
        <w:ind w:left="0" w:right="0" w:firstLine="0"/>
        <w:jc w:val="both"/>
      </w:pPr>
      <w:r>
        <w:rPr>
          <w:color w:val="000000"/>
          <w:spacing w:val="0"/>
          <w:w w:val="100"/>
          <w:position w:val="0"/>
          <w:shd w:val="clear" w:color="auto" w:fill="auto"/>
          <w:lang w:val="cs-CZ" w:eastAsia="cs-CZ" w:bidi="cs-CZ"/>
        </w:rPr>
        <w:t>Účastníci výslovně souhlasí se zveřejnění celého textu dohody včetně podpisů v informačním systému veřqné správy - Registru smluv.</w:t>
      </w:r>
    </w:p>
    <w:p>
      <w:pPr>
        <w:pStyle w:val="Style6"/>
        <w:keepNext w:val="0"/>
        <w:keepLines w:val="0"/>
        <w:widowControl w:val="0"/>
        <w:numPr>
          <w:ilvl w:val="0"/>
          <w:numId w:val="5"/>
        </w:numPr>
        <w:shd w:val="clear" w:color="auto" w:fill="auto"/>
        <w:tabs>
          <w:tab w:pos="317" w:val="left"/>
        </w:tabs>
        <w:bidi w:val="0"/>
        <w:spacing w:before="0" w:line="254" w:lineRule="auto"/>
        <w:ind w:left="0" w:right="0" w:firstLine="0"/>
        <w:jc w:val="both"/>
      </w:pPr>
      <w:r>
        <w:rPr>
          <w:color w:val="000000"/>
          <w:spacing w:val="0"/>
          <w:w w:val="100"/>
          <w:position w:val="0"/>
          <w:shd w:val="clear" w:color="auto" w:fill="auto"/>
          <w:lang w:val="cs-CZ" w:eastAsia="cs-CZ" w:bidi="cs-CZ"/>
        </w:rPr>
        <w:t>Zákonnou povinnost dle § 5 odsx. 2 zákona č. 340/2015 Stu o registru smluv, ve zněni pozdějších předpisů, zajistí objednatel.</w:t>
      </w:r>
    </w:p>
    <w:p>
      <w:pPr>
        <w:pStyle w:val="Style6"/>
        <w:keepNext w:val="0"/>
        <w:keepLines w:val="0"/>
        <w:widowControl w:val="0"/>
        <w:numPr>
          <w:ilvl w:val="0"/>
          <w:numId w:val="5"/>
        </w:numPr>
        <w:shd w:val="clear" w:color="auto" w:fill="auto"/>
        <w:tabs>
          <w:tab w:pos="326" w:val="left"/>
        </w:tabs>
        <w:bidi w:val="0"/>
        <w:spacing w:before="0" w:line="233" w:lineRule="auto"/>
        <w:ind w:left="0" w:right="0" w:firstLine="0"/>
        <w:jc w:val="both"/>
      </w:pPr>
      <w:r>
        <w:rPr>
          <w:color w:val="000000"/>
          <w:spacing w:val="0"/>
          <w:w w:val="100"/>
          <w:position w:val="0"/>
          <w:shd w:val="clear" w:color="auto" w:fill="auto"/>
          <w:lang w:val="cs-CZ" w:eastAsia="cs-CZ" w:bidi="cs-CZ"/>
        </w:rPr>
        <w:t>Dohoda nabývá platnosti a účinnosti dnem zveřejnění v informačním systému veřejné správy — Registru smluv.</w:t>
      </w:r>
    </w:p>
    <w:p>
      <w:pPr>
        <w:pStyle w:val="Style6"/>
        <w:keepNext w:val="0"/>
        <w:keepLines w:val="0"/>
        <w:widowControl w:val="0"/>
        <w:numPr>
          <w:ilvl w:val="0"/>
          <w:numId w:val="5"/>
        </w:numPr>
        <w:shd w:val="clear" w:color="auto" w:fill="auto"/>
        <w:tabs>
          <w:tab w:pos="336" w:val="left"/>
        </w:tabs>
        <w:bidi w:val="0"/>
        <w:spacing w:before="0" w:line="254" w:lineRule="auto"/>
        <w:ind w:left="0" w:right="0" w:firstLine="0"/>
        <w:jc w:val="both"/>
      </w:pPr>
      <w:r>
        <w:rPr>
          <w:color w:val="000000"/>
          <w:spacing w:val="0"/>
          <w:w w:val="100"/>
          <w:position w:val="0"/>
          <w:shd w:val="clear" w:color="auto" w:fill="auto"/>
          <w:lang w:val="cs-CZ" w:eastAsia="cs-CZ" w:bidi="cs-CZ"/>
        </w:rPr>
        <w:t>Smlouvu je možno měnit nebo doplňovat pouze písemnými dodatky podepsanými oběma účastníky dohody .</w:t>
      </w:r>
    </w:p>
    <w:p>
      <w:pPr>
        <w:pStyle w:val="Style6"/>
        <w:keepNext w:val="0"/>
        <w:keepLines w:val="0"/>
        <w:widowControl w:val="0"/>
        <w:numPr>
          <w:ilvl w:val="0"/>
          <w:numId w:val="5"/>
        </w:numPr>
        <w:shd w:val="clear" w:color="auto" w:fill="auto"/>
        <w:tabs>
          <w:tab w:pos="321" w:val="left"/>
        </w:tabs>
        <w:bidi w:val="0"/>
        <w:spacing w:before="0" w:line="254" w:lineRule="auto"/>
        <w:ind w:left="0" w:right="0" w:firstLine="0"/>
        <w:jc w:val="both"/>
      </w:pPr>
      <w:r>
        <w:rPr>
          <w:color w:val="000000"/>
          <w:spacing w:val="0"/>
          <w:w w:val="100"/>
          <w:position w:val="0"/>
          <w:shd w:val="clear" w:color="auto" w:fill="auto"/>
          <w:lang w:val="cs-CZ" w:eastAsia="cs-CZ" w:bidi="cs-CZ"/>
        </w:rPr>
        <w:t xml:space="preserve">Práva a povinnosti </w:t>
      </w:r>
      <w:r>
        <w:rPr>
          <w:color w:val="000000"/>
          <w:spacing w:val="0"/>
          <w:w w:val="100"/>
          <w:position w:val="0"/>
          <w:u w:val="single"/>
          <w:shd w:val="clear" w:color="auto" w:fill="auto"/>
          <w:lang w:val="cs-CZ" w:eastAsia="cs-CZ" w:bidi="cs-CZ"/>
        </w:rPr>
        <w:t>vzniklá</w:t>
      </w:r>
      <w:r>
        <w:rPr>
          <w:color w:val="000000"/>
          <w:spacing w:val="0"/>
          <w:w w:val="100"/>
          <w:position w:val="0"/>
          <w:shd w:val="clear" w:color="auto" w:fill="auto"/>
          <w:lang w:val="cs-CZ" w:eastAsia="cs-CZ" w:bidi="cs-CZ"/>
        </w:rPr>
        <w:t xml:space="preserve"> na základě teto dohody nebo v souvislosti s ní a práva přímo neuvedená v dohodě se řídí zákonem fi. 89/2012 Sb., občanský zákoník.</w:t>
      </w:r>
      <w:r>
        <w:br w:type="page"/>
      </w:r>
    </w:p>
    <w:p>
      <w:pPr>
        <w:pStyle w:val="Style6"/>
        <w:keepNext w:val="0"/>
        <w:keepLines w:val="0"/>
        <w:widowControl w:val="0"/>
        <w:shd w:val="clear" w:color="auto" w:fill="auto"/>
        <w:bidi w:val="0"/>
        <w:spacing w:before="0" w:after="2280" w:line="240" w:lineRule="auto"/>
        <w:ind w:left="0" w:right="0" w:firstLine="0"/>
        <w:jc w:val="left"/>
      </w:pPr>
      <w:r>
        <w:rPr>
          <w:color w:val="000000"/>
          <w:spacing w:val="0"/>
          <w:w w:val="100"/>
          <w:position w:val="0"/>
          <w:shd w:val="clear" w:color="auto" w:fill="auto"/>
          <w:lang w:val="cs-CZ" w:eastAsia="cs-CZ" w:bidi="cs-CZ"/>
        </w:rPr>
        <w:t xml:space="preserve">V Jihlavě dne. 1LPZ </w:t>
      </w:r>
      <w:r>
        <w:rPr>
          <w:color w:val="000000"/>
          <w:spacing w:val="0"/>
          <w:w w:val="100"/>
          <w:position w:val="0"/>
          <w:shd w:val="clear" w:color="auto" w:fill="auto"/>
          <w:vertAlign w:val="superscript"/>
          <w:lang w:val="cs-CZ" w:eastAsia="cs-CZ" w:bidi="cs-CZ"/>
        </w:rPr>
        <w:t>2020</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ZaKSÚ5V,p.Q.</w:t>
      </w: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1572895" distL="214630" distR="114300" simplePos="0" relativeHeight="125829378" behindDoc="0" locked="0" layoutInCell="1" allowOverlap="1">
                <wp:simplePos x="0" y="0"/>
                <wp:positionH relativeFrom="page">
                  <wp:posOffset>4601210</wp:posOffset>
                </wp:positionH>
                <wp:positionV relativeFrom="margin">
                  <wp:posOffset>819785</wp:posOffset>
                </wp:positionV>
                <wp:extent cx="1054735" cy="210185"/>
                <wp:wrapSquare wrapText="left"/>
                <wp:docPr id="1" name="Shape 1"/>
                <a:graphic xmlns:a="http://schemas.openxmlformats.org/drawingml/2006/main">
                  <a:graphicData uri="http://schemas.microsoft.com/office/word/2010/wordprocessingShape">
                    <wps:wsp>
                      <wps:cNvSpPr txBox="1"/>
                      <wps:spPr>
                        <a:xfrm>
                          <a:ext cx="1054735"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2.30000000000001pt;margin-top:64.549999999999997pt;width:83.049999999999997pt;height:16.550000000000001pt;z-index:-125829375;mso-wrap-distance-left:16.899999999999999pt;mso-wrap-distance-right:9.pt;mso-wrap-distance-bottom:123.84999999999999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w:t>
                      </w:r>
                    </w:p>
                  </w:txbxContent>
                </v:textbox>
                <w10:wrap type="square" side="left" anchorx="page" anchory="margin"/>
              </v:shape>
            </w:pict>
          </mc:Fallback>
        </mc:AlternateContent>
      </w:r>
      <w:r>
        <mc:AlternateContent>
          <mc:Choice Requires="wps">
            <w:drawing>
              <wp:anchor distT="1612265" distB="0" distL="114300" distR="394335" simplePos="0" relativeHeight="125829380" behindDoc="0" locked="0" layoutInCell="1" allowOverlap="1">
                <wp:simplePos x="0" y="0"/>
                <wp:positionH relativeFrom="page">
                  <wp:posOffset>4500880</wp:posOffset>
                </wp:positionH>
                <wp:positionV relativeFrom="margin">
                  <wp:posOffset>2432050</wp:posOffset>
                </wp:positionV>
                <wp:extent cx="875030" cy="170815"/>
                <wp:wrapSquare wrapText="left"/>
                <wp:docPr id="3" name="Shape 3"/>
                <a:graphic xmlns:a="http://schemas.openxmlformats.org/drawingml/2006/main">
                  <a:graphicData uri="http://schemas.microsoft.com/office/word/2010/wordprocessingShape">
                    <wps:wsp>
                      <wps:cNvSpPr txBox="1"/>
                      <wps:spPr>
                        <a:xfrm>
                          <a:ext cx="87503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MÁCAeS-r.o.</w:t>
                            </w:r>
                          </w:p>
                        </w:txbxContent>
                      </wps:txbx>
                      <wps:bodyPr wrap="none" lIns="0" tIns="0" rIns="0" bIns="0">
                        <a:noAutoFit/>
                      </wps:bodyPr>
                    </wps:wsp>
                  </a:graphicData>
                </a:graphic>
              </wp:anchor>
            </w:drawing>
          </mc:Choice>
          <mc:Fallback>
            <w:pict>
              <v:shape id="_x0000_s1029" type="#_x0000_t202" style="position:absolute;margin-left:354.39999999999998pt;margin-top:191.5pt;width:68.900000000000006pt;height:13.449999999999999pt;z-index:-125829373;mso-wrap-distance-left:9.pt;mso-wrap-distance-top:126.95pt;mso-wrap-distance-right:31.050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MÁCAeS-r.o.</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Ing. Radovan Necid</w:t>
      </w:r>
    </w:p>
    <w:sectPr>
      <w:footnotePr>
        <w:pos w:val="pageBottom"/>
        <w:numFmt w:val="decimal"/>
        <w:numRestart w:val="continuous"/>
      </w:footnotePr>
      <w:type w:val="continuous"/>
      <w:pgSz w:w="11900" w:h="16840"/>
      <w:pgMar w:top="1129" w:left="1667" w:right="1373" w:bottom="1697" w:header="701" w:footer="1269"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Times New Roman" w:eastAsia="Times New Roman" w:hAnsi="Times New Roman" w:cs="Times New Roman"/>
      <w:b/>
      <w:bCs/>
      <w:i w:val="0"/>
      <w:iCs w:val="0"/>
      <w:smallCaps w:val="0"/>
      <w:strike w:val="0"/>
      <w:sz w:val="22"/>
      <w:szCs w:val="22"/>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15"/>
      <w:szCs w:val="15"/>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Základní text (3)_"/>
    <w:basedOn w:val="DefaultParagraphFont"/>
    <w:link w:val="Style8"/>
    <w:rPr>
      <w:rFonts w:ascii="Arial" w:eastAsia="Arial" w:hAnsi="Arial" w:cs="Arial"/>
      <w:b/>
      <w:bCs/>
      <w:i w:val="0"/>
      <w:iCs w:val="0"/>
      <w:smallCaps w:val="0"/>
      <w:strike w:val="0"/>
      <w:sz w:val="18"/>
      <w:szCs w:val="18"/>
      <w:u w:val="none"/>
    </w:rPr>
  </w:style>
  <w:style w:type="character" w:customStyle="1" w:styleId="CharStyle13">
    <w:name w:val="Nadpis #1_"/>
    <w:basedOn w:val="DefaultParagraphFont"/>
    <w:link w:val="Style12"/>
    <w:rPr>
      <w:rFonts w:ascii="Times New Roman" w:eastAsia="Times New Roman" w:hAnsi="Times New Roman" w:cs="Times New Roman"/>
      <w:b w:val="0"/>
      <w:bCs w:val="0"/>
      <w:i w:val="0"/>
      <w:iCs w:val="0"/>
      <w:smallCaps w:val="0"/>
      <w:strike w:val="0"/>
      <w:sz w:val="36"/>
      <w:szCs w:val="36"/>
      <w:u w:val="none"/>
    </w:rPr>
  </w:style>
  <w:style w:type="paragraph" w:customStyle="1" w:styleId="Style2">
    <w:name w:val="Nadpis #2"/>
    <w:basedOn w:val="Normal"/>
    <w:link w:val="CharStyle3"/>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4">
    <w:name w:val="Základní text (2)"/>
    <w:basedOn w:val="Normal"/>
    <w:link w:val="CharStyle5"/>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6">
    <w:name w:val="Základní text"/>
    <w:basedOn w:val="Normal"/>
    <w:link w:val="CharStyle7"/>
    <w:pPr>
      <w:widowControl w:val="0"/>
      <w:shd w:val="clear" w:color="auto" w:fill="FFFFFF"/>
      <w:spacing w:after="240"/>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Základní text (3)"/>
    <w:basedOn w:val="Normal"/>
    <w:link w:val="CharStyle9"/>
    <w:pPr>
      <w:widowControl w:val="0"/>
      <w:shd w:val="clear" w:color="auto" w:fill="FFFFFF"/>
      <w:spacing w:after="130"/>
    </w:pPr>
    <w:rPr>
      <w:rFonts w:ascii="Arial" w:eastAsia="Arial" w:hAnsi="Arial" w:cs="Arial"/>
      <w:b/>
      <w:bCs/>
      <w:i w:val="0"/>
      <w:iCs w:val="0"/>
      <w:smallCaps w:val="0"/>
      <w:strike w:val="0"/>
      <w:sz w:val="18"/>
      <w:szCs w:val="18"/>
      <w:u w:val="none"/>
    </w:rPr>
  </w:style>
  <w:style w:type="paragraph" w:customStyle="1" w:styleId="Style12">
    <w:name w:val="Nadpis #1"/>
    <w:basedOn w:val="Normal"/>
    <w:link w:val="CharStyle13"/>
    <w:pPr>
      <w:widowControl w:val="0"/>
      <w:shd w:val="clear" w:color="auto" w:fill="FFFFFF"/>
      <w:spacing w:after="240"/>
      <w:jc w:val="center"/>
      <w:outlineLvl w:val="0"/>
    </w:pPr>
    <w:rPr>
      <w:rFonts w:ascii="Times New Roman" w:eastAsia="Times New Roman" w:hAnsi="Times New Roman" w:cs="Times New Roman"/>
      <w:b w:val="0"/>
      <w:bCs w:val="0"/>
      <w:i w:val="0"/>
      <w:iCs w:val="0"/>
      <w:smallCaps w:val="0"/>
      <w:strike w:val="0"/>
      <w:sz w:val="36"/>
      <w:szCs w:val="3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