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D634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041D6345" w14:textId="77777777" w:rsidR="00726B26" w:rsidRPr="00726B26" w:rsidRDefault="00726B26" w:rsidP="00726B26">
      <w:pPr>
        <w:jc w:val="center"/>
        <w:rPr>
          <w:sz w:val="23"/>
          <w:szCs w:val="23"/>
        </w:rPr>
      </w:pPr>
    </w:p>
    <w:p w14:paraId="041D6346"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041D6347" w14:textId="77777777" w:rsidR="00726B26" w:rsidRDefault="00726B26" w:rsidP="00726B26"/>
    <w:p w14:paraId="041D6348" w14:textId="3B0561BC" w:rsidR="00726B26" w:rsidRPr="00726B26" w:rsidRDefault="00B95FAB" w:rsidP="00726B26">
      <w:pPr>
        <w:rPr>
          <w:b/>
        </w:rPr>
      </w:pPr>
      <w:r>
        <w:rPr>
          <w:b/>
        </w:rPr>
        <w:t xml:space="preserve">PHARMOS, a.s. </w:t>
      </w:r>
    </w:p>
    <w:p w14:paraId="041D6349" w14:textId="531DD654" w:rsidR="00726B26" w:rsidRDefault="00726B26" w:rsidP="00726B26">
      <w:r w:rsidRPr="00AE7DAE">
        <w:t xml:space="preserve">IČ: </w:t>
      </w:r>
      <w:r w:rsidR="00B95FAB" w:rsidRPr="00AE7DAE">
        <w:t xml:space="preserve">190 10 290 </w:t>
      </w:r>
    </w:p>
    <w:p w14:paraId="041D634A" w14:textId="0296D885" w:rsidR="00726B26" w:rsidRPr="00512AB9" w:rsidRDefault="00726B26" w:rsidP="00726B26">
      <w:r>
        <w:t xml:space="preserve">DIČ: </w:t>
      </w:r>
      <w:r w:rsidR="00B95FAB">
        <w:t>CZ19010290</w:t>
      </w:r>
    </w:p>
    <w:p w14:paraId="041D634B" w14:textId="089B23F5" w:rsidR="00726B26" w:rsidRPr="00512AB9" w:rsidRDefault="00726B26" w:rsidP="00726B26">
      <w:r>
        <w:t>se sídlem</w:t>
      </w:r>
      <w:r w:rsidRPr="00512AB9">
        <w:t xml:space="preserve">:  </w:t>
      </w:r>
      <w:r w:rsidR="00B95FAB">
        <w:t>Těšínská 1349/296, 716 00 Ostrava - Radvanice</w:t>
      </w:r>
    </w:p>
    <w:p w14:paraId="041D634C" w14:textId="54B16EF3" w:rsidR="00726B26" w:rsidRPr="00512AB9" w:rsidRDefault="00726B26" w:rsidP="00726B26">
      <w:r>
        <w:t>zastoupena</w:t>
      </w:r>
      <w:r w:rsidRPr="00512AB9">
        <w:t xml:space="preserve">: </w:t>
      </w:r>
      <w:r w:rsidR="00777C39">
        <w:t>XXX</w:t>
      </w:r>
    </w:p>
    <w:p w14:paraId="041D634D" w14:textId="4CDF75AC" w:rsidR="00726B26" w:rsidRPr="00512AB9" w:rsidRDefault="00726B26" w:rsidP="00726B26">
      <w:r w:rsidRPr="00512AB9">
        <w:t xml:space="preserve">bankovní spojení: </w:t>
      </w:r>
      <w:r w:rsidR="00B95FAB">
        <w:t xml:space="preserve">Komerční bank, a.s. </w:t>
      </w:r>
    </w:p>
    <w:p w14:paraId="041D634E" w14:textId="161C0B46" w:rsidR="00726B26" w:rsidRPr="00512AB9" w:rsidRDefault="00726B26" w:rsidP="00726B26">
      <w:r w:rsidRPr="00512AB9">
        <w:t xml:space="preserve">číslo účtu: </w:t>
      </w:r>
      <w:r w:rsidR="00AE7DAE">
        <w:t>7712140257/0100</w:t>
      </w:r>
    </w:p>
    <w:p w14:paraId="041D634F" w14:textId="16219230" w:rsidR="00726B26" w:rsidRPr="00512AB9" w:rsidRDefault="00726B26" w:rsidP="00726B26">
      <w:r>
        <w:t>z</w:t>
      </w:r>
      <w:r w:rsidRPr="00512AB9">
        <w:t>apsán</w:t>
      </w:r>
      <w:r>
        <w:t>a</w:t>
      </w:r>
      <w:r w:rsidRPr="00512AB9">
        <w:t xml:space="preserve"> v obchodním rejstříku ve</w:t>
      </w:r>
      <w:r w:rsidR="00AE7DAE">
        <w:t>deném Krajským</w:t>
      </w:r>
      <w:r>
        <w:t xml:space="preserve"> </w:t>
      </w:r>
      <w:r w:rsidRPr="00652864">
        <w:t>soudem v</w:t>
      </w:r>
      <w:r w:rsidR="00AE7DAE">
        <w:t xml:space="preserve"> Ostravě</w:t>
      </w:r>
      <w:r w:rsidRPr="00652864">
        <w:t xml:space="preserve">, </w:t>
      </w:r>
      <w:proofErr w:type="gramStart"/>
      <w:r w:rsidRPr="00652864">
        <w:t>oddíl</w:t>
      </w:r>
      <w:r w:rsidR="00AE7DAE">
        <w:t xml:space="preserve"> </w:t>
      </w:r>
      <w:r w:rsidRPr="00652864">
        <w:t xml:space="preserve"> </w:t>
      </w:r>
      <w:r w:rsidR="00AE7DAE">
        <w:t>B, vložka</w:t>
      </w:r>
      <w:proofErr w:type="gramEnd"/>
      <w:r w:rsidR="00AE7DAE">
        <w:t xml:space="preserve"> 188</w:t>
      </w:r>
    </w:p>
    <w:p w14:paraId="041D6350" w14:textId="77777777" w:rsidR="00726B26" w:rsidRPr="002B77A6" w:rsidRDefault="00726B26" w:rsidP="00726B26">
      <w:pPr>
        <w:rPr>
          <w:rStyle w:val="platne1"/>
        </w:rPr>
      </w:pPr>
    </w:p>
    <w:p w14:paraId="041D6351"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041D6352" w14:textId="77777777" w:rsidR="00726B26" w:rsidRPr="002B77A6" w:rsidRDefault="00726B26" w:rsidP="00726B26">
      <w:pPr>
        <w:rPr>
          <w:rStyle w:val="platne1"/>
        </w:rPr>
      </w:pPr>
    </w:p>
    <w:p w14:paraId="041D6353" w14:textId="77777777" w:rsidR="00726B26" w:rsidRPr="002B77A6" w:rsidRDefault="00726B26" w:rsidP="00726B26">
      <w:pPr>
        <w:rPr>
          <w:rStyle w:val="platne1"/>
        </w:rPr>
      </w:pPr>
      <w:r w:rsidRPr="002B77A6">
        <w:rPr>
          <w:rStyle w:val="platne1"/>
        </w:rPr>
        <w:t>a</w:t>
      </w:r>
    </w:p>
    <w:p w14:paraId="041D6354" w14:textId="77777777" w:rsidR="00726B26" w:rsidRPr="002B77A6" w:rsidRDefault="00726B26" w:rsidP="00726B26">
      <w:pPr>
        <w:rPr>
          <w:rStyle w:val="platne1"/>
        </w:rPr>
      </w:pPr>
    </w:p>
    <w:p w14:paraId="041D6355" w14:textId="77777777" w:rsidR="00726B26" w:rsidRPr="002B77A6" w:rsidRDefault="00726B26" w:rsidP="00726B26">
      <w:pPr>
        <w:rPr>
          <w:b/>
        </w:rPr>
      </w:pPr>
      <w:r w:rsidRPr="002B77A6">
        <w:rPr>
          <w:b/>
        </w:rPr>
        <w:t xml:space="preserve">Fakultní nemocnice Brno </w:t>
      </w:r>
    </w:p>
    <w:p w14:paraId="041D6356" w14:textId="77777777" w:rsidR="00726B26" w:rsidRPr="002B77A6" w:rsidRDefault="00726B26" w:rsidP="00726B26">
      <w:r w:rsidRPr="002B77A6">
        <w:t>IČ: 65269705</w:t>
      </w:r>
    </w:p>
    <w:p w14:paraId="041D6357" w14:textId="77777777" w:rsidR="00726B26" w:rsidRPr="002B77A6" w:rsidRDefault="00726B26" w:rsidP="00726B26">
      <w:r w:rsidRPr="002B77A6">
        <w:t>DIČ: CZ65269705</w:t>
      </w:r>
    </w:p>
    <w:p w14:paraId="041D6358" w14:textId="77777777" w:rsidR="00726B26" w:rsidRPr="002B77A6" w:rsidRDefault="00726B26" w:rsidP="00726B26">
      <w:r w:rsidRPr="002B77A6">
        <w:t xml:space="preserve">se sídlem: Brno, Jihlavská 20, PSČ 625 00 </w:t>
      </w:r>
    </w:p>
    <w:p w14:paraId="041D6359" w14:textId="48F0E590" w:rsidR="00726B26" w:rsidRPr="002B77A6" w:rsidRDefault="00726B26" w:rsidP="00726B26">
      <w:r>
        <w:t>zastoupena</w:t>
      </w:r>
      <w:r w:rsidRPr="002B77A6">
        <w:t xml:space="preserve">: </w:t>
      </w:r>
      <w:r w:rsidR="00777C39">
        <w:t>XXX</w:t>
      </w:r>
      <w:r w:rsidRPr="002B77A6">
        <w:t xml:space="preserve"> </w:t>
      </w:r>
    </w:p>
    <w:p w14:paraId="041D635A" w14:textId="77777777" w:rsidR="00726B26" w:rsidRPr="002B77A6" w:rsidRDefault="00726B26" w:rsidP="00726B26">
      <w:r w:rsidRPr="002B77A6">
        <w:t>bankovní spo</w:t>
      </w:r>
      <w:r>
        <w:t>jení: Česká národní banka</w:t>
      </w:r>
    </w:p>
    <w:p w14:paraId="041D635B" w14:textId="77777777" w:rsidR="00726B26" w:rsidRPr="002B77A6" w:rsidRDefault="00726B26" w:rsidP="00726B26">
      <w:r w:rsidRPr="002B77A6">
        <w:t>číslo ban</w:t>
      </w:r>
      <w:r>
        <w:t>kovního účtu: 71234621/0710</w:t>
      </w:r>
    </w:p>
    <w:p w14:paraId="041D635C" w14:textId="77777777" w:rsidR="00726B26" w:rsidRDefault="00726B26" w:rsidP="00726B26"/>
    <w:p w14:paraId="041D635D"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041D635E" w14:textId="77777777" w:rsidR="00726B26" w:rsidRPr="002B77A6" w:rsidRDefault="00726B26" w:rsidP="00726B26">
      <w:pPr>
        <w:rPr>
          <w:rStyle w:val="platne1"/>
        </w:rPr>
      </w:pPr>
    </w:p>
    <w:p w14:paraId="041D635F"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041D6360" w14:textId="77777777" w:rsidR="00726B26" w:rsidRPr="002B77A6" w:rsidRDefault="00726B26" w:rsidP="00726B26">
      <w:pPr>
        <w:rPr>
          <w:rStyle w:val="platne1"/>
        </w:rPr>
      </w:pPr>
    </w:p>
    <w:p w14:paraId="041D6361"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041D6362" w14:textId="77777777" w:rsidR="00726B26" w:rsidRPr="002B77A6" w:rsidRDefault="00726B26" w:rsidP="00726B26">
      <w:pPr>
        <w:spacing w:after="60"/>
        <w:rPr>
          <w:rStyle w:val="platne1"/>
        </w:rPr>
      </w:pPr>
    </w:p>
    <w:p w14:paraId="041D6363" w14:textId="77777777" w:rsidR="00726B26" w:rsidRPr="002B77A6" w:rsidRDefault="00BE50CA" w:rsidP="00CF0C56">
      <w:pPr>
        <w:pStyle w:val="Nadpis1"/>
      </w:pPr>
      <w:r>
        <w:t xml:space="preserve">Účel </w:t>
      </w:r>
      <w:r w:rsidR="00315115">
        <w:t>smlouvy</w:t>
      </w:r>
    </w:p>
    <w:p w14:paraId="041D6364" w14:textId="77777777" w:rsidR="00726B26" w:rsidRPr="002B77A6" w:rsidRDefault="00726B26" w:rsidP="00726B26">
      <w:pPr>
        <w:jc w:val="center"/>
        <w:rPr>
          <w:b/>
          <w:bCs/>
        </w:rPr>
      </w:pPr>
    </w:p>
    <w:p w14:paraId="041D6365" w14:textId="1D565719" w:rsidR="00014CFB" w:rsidRDefault="00014CFB" w:rsidP="00C7755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rsidR="00C7755B" w:rsidRPr="00C7755B">
        <w:rPr>
          <w:b/>
        </w:rPr>
        <w:t>„</w:t>
      </w:r>
      <w:r w:rsidR="00ED30AD">
        <w:rPr>
          <w:b/>
        </w:rPr>
        <w:t>Léčivé přípravky pro krev a krvetvorné orgány</w:t>
      </w:r>
      <w:r w:rsidR="00777C39">
        <w:rPr>
          <w:b/>
        </w:rPr>
        <w:t xml:space="preserve"> – č.</w:t>
      </w:r>
      <w:r w:rsidR="005E3FBB">
        <w:rPr>
          <w:b/>
        </w:rPr>
        <w:t xml:space="preserve"> </w:t>
      </w:r>
      <w:bookmarkStart w:id="1" w:name="_GoBack"/>
      <w:bookmarkEnd w:id="1"/>
      <w:r w:rsidR="00777C39">
        <w:rPr>
          <w:b/>
        </w:rPr>
        <w:t>2</w:t>
      </w:r>
      <w:r w:rsidRPr="00C7755B">
        <w:rPr>
          <w:b/>
        </w:rPr>
        <w:t>“</w:t>
      </w:r>
      <w:r>
        <w:t xml:space="preserve"> (dále jen „</w:t>
      </w:r>
      <w:r w:rsidRPr="00AC626E">
        <w:rPr>
          <w:b/>
        </w:rPr>
        <w:t>Veřejná zakázka</w:t>
      </w:r>
      <w:r>
        <w:t>“), které budou na základě této smlouvy zasílány Prodávajícímu.</w:t>
      </w:r>
    </w:p>
    <w:p w14:paraId="041D6366" w14:textId="77777777" w:rsidR="00014CFB" w:rsidRDefault="00014CFB" w:rsidP="00014CFB">
      <w:pPr>
        <w:jc w:val="center"/>
        <w:rPr>
          <w:b/>
          <w:bCs/>
        </w:rPr>
      </w:pPr>
    </w:p>
    <w:p w14:paraId="7DAE8B8E" w14:textId="77777777" w:rsidR="00B76736" w:rsidRDefault="00B76736" w:rsidP="00014CFB">
      <w:pPr>
        <w:jc w:val="center"/>
        <w:rPr>
          <w:b/>
          <w:bCs/>
        </w:rPr>
      </w:pPr>
    </w:p>
    <w:p w14:paraId="041D6367" w14:textId="77777777" w:rsidR="00014CFB" w:rsidRDefault="00014CFB" w:rsidP="00014CFB">
      <w:pPr>
        <w:pStyle w:val="Nadpis1"/>
      </w:pPr>
      <w:r>
        <w:t>Předmět smlouvy</w:t>
      </w:r>
    </w:p>
    <w:p w14:paraId="041D6368" w14:textId="77777777" w:rsidR="00014CFB" w:rsidRPr="002B77A6" w:rsidRDefault="00014CFB" w:rsidP="00014CFB">
      <w:pPr>
        <w:pStyle w:val="Odstavecsmlouvy"/>
        <w:numPr>
          <w:ilvl w:val="0"/>
          <w:numId w:val="0"/>
        </w:numPr>
        <w:ind w:left="720"/>
      </w:pPr>
    </w:p>
    <w:p w14:paraId="041D6369"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041D636A" w14:textId="77777777" w:rsidR="00014CFB" w:rsidRDefault="00014CFB" w:rsidP="00014CFB">
      <w:pPr>
        <w:pStyle w:val="Odstavecsmlouvy"/>
        <w:numPr>
          <w:ilvl w:val="0"/>
          <w:numId w:val="0"/>
        </w:numPr>
        <w:ind w:left="567"/>
      </w:pPr>
    </w:p>
    <w:p w14:paraId="041D636B" w14:textId="77777777"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w:t>
      </w:r>
      <w:r>
        <w:lastRenderedPageBreak/>
        <w:t>Kupujícího. Zboží bude dodáváno za podmínek sjednaných v této smlouvě na základě písemných objednávek</w:t>
      </w:r>
      <w:r w:rsidR="00C37DD2">
        <w:t xml:space="preserve">, které jsou jednostranným právním jednáním Kupujícího, zasílaných Kupujícím </w:t>
      </w:r>
      <w:r>
        <w:t>Prodávajícímu postupem dle čl. III této smlouvy (dále jen „</w:t>
      </w:r>
      <w:r w:rsidRPr="001B777E">
        <w:rPr>
          <w:b/>
        </w:rPr>
        <w:t>Objednávky</w:t>
      </w:r>
      <w:r>
        <w:t xml:space="preserve">“). </w:t>
      </w:r>
    </w:p>
    <w:p w14:paraId="041D636C" w14:textId="77777777" w:rsidR="00014CFB" w:rsidRDefault="00014CFB" w:rsidP="00014CFB">
      <w:pPr>
        <w:pStyle w:val="Odstavecsmlouvy"/>
        <w:numPr>
          <w:ilvl w:val="0"/>
          <w:numId w:val="0"/>
        </w:numPr>
        <w:ind w:left="567"/>
      </w:pPr>
    </w:p>
    <w:p w14:paraId="041D636D"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041D636E" w14:textId="77777777" w:rsidR="00014CFB" w:rsidRDefault="00014CFB" w:rsidP="00014CFB">
      <w:pPr>
        <w:pStyle w:val="Odstavecsmlouvy"/>
        <w:numPr>
          <w:ilvl w:val="0"/>
          <w:numId w:val="0"/>
        </w:numPr>
        <w:ind w:left="567"/>
      </w:pPr>
    </w:p>
    <w:p w14:paraId="041D636F" w14:textId="77777777" w:rsidR="00014CFB" w:rsidRDefault="00014CFB" w:rsidP="00014CFB">
      <w:pPr>
        <w:pStyle w:val="Odstavecsmlouvy"/>
      </w:pPr>
      <w:r>
        <w:t>Kupující není povinen vystavit byť jedinou Objednávku.</w:t>
      </w:r>
    </w:p>
    <w:p w14:paraId="041D6370" w14:textId="77777777" w:rsidR="00014CFB" w:rsidRDefault="00014CFB" w:rsidP="00014CFB">
      <w:pPr>
        <w:pStyle w:val="Odstavecsmlouvy"/>
        <w:numPr>
          <w:ilvl w:val="0"/>
          <w:numId w:val="0"/>
        </w:numPr>
        <w:ind w:left="567"/>
      </w:pPr>
    </w:p>
    <w:p w14:paraId="041D6371"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041D6372" w14:textId="77777777" w:rsidR="00014CFB" w:rsidRDefault="00014CFB" w:rsidP="00014CFB">
      <w:pPr>
        <w:jc w:val="center"/>
        <w:rPr>
          <w:b/>
          <w:bCs/>
        </w:rPr>
      </w:pPr>
    </w:p>
    <w:p w14:paraId="2C94A6DA" w14:textId="77777777" w:rsidR="00B76736" w:rsidRDefault="00B76736" w:rsidP="00014CFB">
      <w:pPr>
        <w:jc w:val="center"/>
        <w:rPr>
          <w:b/>
          <w:bCs/>
        </w:rPr>
      </w:pPr>
    </w:p>
    <w:p w14:paraId="041D6373" w14:textId="77777777" w:rsidR="00014CFB" w:rsidRDefault="00014CFB" w:rsidP="00014CFB">
      <w:pPr>
        <w:pStyle w:val="Nadpis1"/>
      </w:pPr>
      <w:bookmarkStart w:id="2" w:name="_Ref534806146"/>
      <w:r>
        <w:t>Objednávky</w:t>
      </w:r>
      <w:bookmarkEnd w:id="2"/>
    </w:p>
    <w:p w14:paraId="041D6374" w14:textId="77777777" w:rsidR="00014CFB" w:rsidRPr="002B77A6" w:rsidRDefault="00014CFB" w:rsidP="00014CFB">
      <w:pPr>
        <w:jc w:val="center"/>
        <w:rPr>
          <w:b/>
          <w:bCs/>
        </w:rPr>
      </w:pPr>
    </w:p>
    <w:p w14:paraId="041D6375" w14:textId="77777777" w:rsidR="00014CFB" w:rsidRDefault="00014CFB" w:rsidP="00014CFB">
      <w:pPr>
        <w:pStyle w:val="Odstavecsmlouvy"/>
      </w:pPr>
      <w:bookmarkStart w:id="3" w:name="_Ref501111900"/>
      <w:r>
        <w:t>Dodávky Zboží budou realizovány na základě Objednávek doručených Prodávajícímu jedním z následujících způsobů dle volby Kupujícího:</w:t>
      </w:r>
      <w:bookmarkEnd w:id="3"/>
    </w:p>
    <w:p w14:paraId="041D6376" w14:textId="0B871F6A" w:rsidR="00014CFB" w:rsidRDefault="00014CFB" w:rsidP="00014CFB">
      <w:pPr>
        <w:pStyle w:val="Psmenoodstavce"/>
      </w:pPr>
      <w:r>
        <w:t xml:space="preserve">e-mailem na </w:t>
      </w:r>
      <w:r w:rsidRPr="00AE7DAE">
        <w:t xml:space="preserve">adresu </w:t>
      </w:r>
      <w:r w:rsidR="00777C39">
        <w:t>XXX</w:t>
      </w:r>
    </w:p>
    <w:p w14:paraId="041D6377" w14:textId="02F22959" w:rsidR="00014CFB" w:rsidRDefault="00014CFB" w:rsidP="00014CFB">
      <w:pPr>
        <w:pStyle w:val="Psmenoodstavce"/>
      </w:pPr>
      <w:r>
        <w:t>faxem na telefonní číslo</w:t>
      </w:r>
      <w:r w:rsidR="00AE7DAE">
        <w:t xml:space="preserve"> </w:t>
      </w:r>
      <w:r w:rsidR="00777C39">
        <w:t>XXX</w:t>
      </w:r>
    </w:p>
    <w:p w14:paraId="041D6379" w14:textId="372C5ED4" w:rsidR="00014CFB" w:rsidRDefault="00014CFB" w:rsidP="00014CFB">
      <w:pPr>
        <w:pStyle w:val="Psmenoodstavce"/>
        <w:numPr>
          <w:ilvl w:val="0"/>
          <w:numId w:val="0"/>
        </w:numPr>
        <w:ind w:left="567"/>
      </w:pPr>
      <w:r>
        <w:t xml:space="preserve">v internetovém </w:t>
      </w:r>
      <w:r w:rsidR="00777C39">
        <w:t>systému Prodávajícího na adrese XXX</w:t>
      </w:r>
      <w:r w:rsidR="00AE7DAE">
        <w:t xml:space="preserve"> </w:t>
      </w:r>
    </w:p>
    <w:p w14:paraId="074EACF8" w14:textId="77777777" w:rsidR="00AE7DAE" w:rsidRDefault="00AE7DAE" w:rsidP="00014CFB">
      <w:pPr>
        <w:pStyle w:val="Psmenoodstavce"/>
        <w:numPr>
          <w:ilvl w:val="0"/>
          <w:numId w:val="0"/>
        </w:numPr>
        <w:ind w:left="567"/>
      </w:pPr>
    </w:p>
    <w:p w14:paraId="041D637A" w14:textId="0A10AC89" w:rsidR="00014CFB" w:rsidRDefault="00014CFB" w:rsidP="00014CFB">
      <w:pPr>
        <w:pStyle w:val="Odstavecsmlouvy"/>
      </w:pPr>
      <w:r>
        <w:t>V naléhavých případech je Kupující oprávněn učinit Objedná</w:t>
      </w:r>
      <w:r w:rsidR="00AE7DAE">
        <w:t xml:space="preserve">vku rovněž telefonicky na čísle </w:t>
      </w:r>
      <w:r w:rsidR="00777C39">
        <w:t>XXX</w:t>
      </w:r>
      <w:r>
        <w:t xml:space="preserve"> </w:t>
      </w:r>
    </w:p>
    <w:p w14:paraId="041D637B" w14:textId="77777777" w:rsidR="00014CFB" w:rsidRDefault="00014CFB" w:rsidP="00014CFB">
      <w:pPr>
        <w:pStyle w:val="Odstavecsmlouvy"/>
        <w:numPr>
          <w:ilvl w:val="0"/>
          <w:numId w:val="0"/>
        </w:numPr>
        <w:ind w:left="567"/>
      </w:pPr>
    </w:p>
    <w:p w14:paraId="041D637C" w14:textId="2423A642"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777C39">
        <w:t>XXX</w:t>
      </w:r>
    </w:p>
    <w:p w14:paraId="041D637D" w14:textId="77777777" w:rsidR="00014CFB" w:rsidRDefault="00014CFB" w:rsidP="00014CFB">
      <w:pPr>
        <w:pStyle w:val="Odstavecsmlouvy"/>
        <w:numPr>
          <w:ilvl w:val="0"/>
          <w:numId w:val="0"/>
        </w:numPr>
        <w:ind w:left="567"/>
      </w:pPr>
    </w:p>
    <w:p w14:paraId="041D637E" w14:textId="77777777" w:rsidR="00014CFB" w:rsidRDefault="00014CFB" w:rsidP="00014CFB">
      <w:pPr>
        <w:pStyle w:val="Odstavecsmlouvy"/>
      </w:pPr>
      <w:bookmarkStart w:id="4" w:name="_Ref501120386"/>
      <w:r>
        <w:t>Každá Objednávka musí obsahovat alespoň následující</w:t>
      </w:r>
      <w:r w:rsidR="00C37DD2">
        <w:t xml:space="preserve"> údaje</w:t>
      </w:r>
      <w:r>
        <w:t>:</w:t>
      </w:r>
      <w:bookmarkEnd w:id="4"/>
    </w:p>
    <w:p w14:paraId="041D637F" w14:textId="77777777" w:rsidR="00014CFB" w:rsidRDefault="00014CFB" w:rsidP="00014CFB">
      <w:pPr>
        <w:pStyle w:val="Psmenoodstavce"/>
      </w:pPr>
      <w:r>
        <w:t>identifikační údaje Kupujícího a Prodávajícího;</w:t>
      </w:r>
    </w:p>
    <w:p w14:paraId="041D6380" w14:textId="77777777" w:rsidR="00014CFB" w:rsidRDefault="00014CFB" w:rsidP="00014CFB">
      <w:pPr>
        <w:pStyle w:val="Psmenoodstavce"/>
      </w:pPr>
      <w:r>
        <w:t>množství a druhy Zboží;</w:t>
      </w:r>
    </w:p>
    <w:p w14:paraId="041D6381" w14:textId="77777777" w:rsidR="00014CFB" w:rsidRDefault="00014CFB" w:rsidP="00014CFB">
      <w:pPr>
        <w:pStyle w:val="Psmenoodstavce"/>
      </w:pPr>
      <w:r>
        <w:t>místo dodání.</w:t>
      </w:r>
    </w:p>
    <w:p w14:paraId="041D6382" w14:textId="77777777" w:rsidR="00BE451F" w:rsidRDefault="00BE451F" w:rsidP="000C1FD1">
      <w:pPr>
        <w:jc w:val="center"/>
        <w:rPr>
          <w:b/>
          <w:bCs/>
        </w:rPr>
      </w:pPr>
    </w:p>
    <w:p w14:paraId="790E16FB" w14:textId="77777777" w:rsidR="00B76736" w:rsidRPr="002B77A6" w:rsidRDefault="00B76736" w:rsidP="000C1FD1">
      <w:pPr>
        <w:jc w:val="center"/>
        <w:rPr>
          <w:b/>
          <w:bCs/>
        </w:rPr>
      </w:pPr>
    </w:p>
    <w:p w14:paraId="041D6383" w14:textId="77777777" w:rsidR="00014CFB" w:rsidRDefault="00014CFB" w:rsidP="00014CFB">
      <w:pPr>
        <w:pStyle w:val="Nadpis3"/>
      </w:pPr>
      <w:bookmarkStart w:id="5" w:name="_Ref477351956"/>
      <w:r>
        <w:t>Dodací podmínky</w:t>
      </w:r>
    </w:p>
    <w:p w14:paraId="041D6384" w14:textId="77777777" w:rsidR="00014CFB" w:rsidRDefault="00014CFB" w:rsidP="00014CFB">
      <w:pPr>
        <w:pStyle w:val="Odstavecsmlouvy"/>
        <w:numPr>
          <w:ilvl w:val="0"/>
          <w:numId w:val="0"/>
        </w:numPr>
        <w:ind w:left="567"/>
      </w:pPr>
    </w:p>
    <w:p w14:paraId="041D6385"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041D6386" w14:textId="77777777" w:rsidR="00014CFB" w:rsidRDefault="00014CFB" w:rsidP="00014CFB">
      <w:pPr>
        <w:pStyle w:val="Odstavecsmlouvy"/>
        <w:numPr>
          <w:ilvl w:val="0"/>
          <w:numId w:val="0"/>
        </w:numPr>
        <w:ind w:left="567"/>
      </w:pPr>
    </w:p>
    <w:p w14:paraId="041D6387" w14:textId="77777777" w:rsidR="00014CFB" w:rsidRDefault="00014CFB" w:rsidP="00014CFB">
      <w:pPr>
        <w:pStyle w:val="Odstavecsmlouvy"/>
      </w:pPr>
      <w:bookmarkStart w:id="6" w:name="_Ref525635743"/>
      <w:bookmarkStart w:id="7" w:name="_Ref8729760"/>
      <w:r>
        <w:t xml:space="preserve">Prodávající je povinen dodat Zboží dle Objednávky </w:t>
      </w:r>
      <w:r w:rsidRPr="00EF7CB4">
        <w:rPr>
          <w:b/>
        </w:rPr>
        <w:t xml:space="preserve">do </w:t>
      </w:r>
      <w:r>
        <w:rPr>
          <w:b/>
        </w:rPr>
        <w:t>48 hodin</w:t>
      </w:r>
      <w:r>
        <w:t xml:space="preserve"> od jejího doručení Prodávající</w:t>
      </w:r>
      <w:r w:rsidR="00EA4C8B">
        <w:t>mu</w:t>
      </w:r>
      <w:r w:rsidR="00806564">
        <w:t>, ledaže si smluvní strany dohodly rozvozový plán</w:t>
      </w:r>
      <w:r>
        <w:t>.</w:t>
      </w:r>
      <w:bookmarkEnd w:id="6"/>
      <w:r w:rsidRPr="00B936A8">
        <w:t xml:space="preserve"> </w:t>
      </w:r>
      <w:r w:rsidR="00806564">
        <w:t>V případě, že si smluvní strany dohodly rozvozový plán</w:t>
      </w:r>
      <w:r>
        <w:t>, je P</w:t>
      </w:r>
      <w:r w:rsidRPr="00B936A8">
        <w:t xml:space="preserve">rodávající povinen </w:t>
      </w:r>
      <w:r>
        <w:t>Z</w:t>
      </w:r>
      <w:r w:rsidRPr="00B936A8">
        <w:t xml:space="preserve">boží dodat </w:t>
      </w:r>
      <w:r w:rsidR="00754D50">
        <w:t xml:space="preserve">po doručení Objednávky </w:t>
      </w:r>
      <w:r w:rsidR="00754D50" w:rsidRPr="00B936A8">
        <w:t xml:space="preserve">nejbližším </w:t>
      </w:r>
      <w:r w:rsidRPr="00B936A8">
        <w:t xml:space="preserve">následujícím rozvozem dle </w:t>
      </w:r>
      <w:r w:rsidR="00806564">
        <w:t xml:space="preserve">tohoto rozvozového plánu. Zboží však </w:t>
      </w:r>
      <w:r w:rsidR="002D48A0">
        <w:t xml:space="preserve">vždy </w:t>
      </w:r>
      <w:r w:rsidR="00806564">
        <w:t>musí být dodáno v pracovních dnech v době od 6:00 hodin do 15:00 hodin nebo v sobotu v době od 8:00 hodin do 12:00 hodin, ledaže se smluvní strany dohodnou jinak.</w:t>
      </w:r>
      <w:bookmarkEnd w:id="7"/>
    </w:p>
    <w:p w14:paraId="041D6388" w14:textId="77777777" w:rsidR="00014CFB" w:rsidRDefault="00014CFB" w:rsidP="00014CFB">
      <w:pPr>
        <w:pStyle w:val="Odstavecsmlouvy"/>
        <w:numPr>
          <w:ilvl w:val="0"/>
          <w:numId w:val="0"/>
        </w:numPr>
        <w:ind w:left="567"/>
      </w:pPr>
    </w:p>
    <w:p w14:paraId="041D6389" w14:textId="77777777" w:rsidR="00014CFB" w:rsidRDefault="00014CFB" w:rsidP="00014CFB">
      <w:pPr>
        <w:pStyle w:val="Odstavecsmlouvy"/>
      </w:pPr>
      <w:bookmarkStart w:id="8" w:name="_Ref530751629"/>
      <w:r>
        <w:lastRenderedPageBreak/>
        <w:t>Zboží může být dodáno pouze po baleních o maximální hmotnosti 15 kg.</w:t>
      </w:r>
      <w:bookmarkEnd w:id="8"/>
      <w:r w:rsidR="002470C7">
        <w:t xml:space="preserve"> V odůvodněných případech a s výslovným souhlasem Kupujícího může být Zboží dodáno po baleních o hmotnosti až 20 kg.</w:t>
      </w:r>
    </w:p>
    <w:p w14:paraId="041D638A" w14:textId="77777777" w:rsidR="00014CFB" w:rsidRDefault="00014CFB" w:rsidP="00014CFB">
      <w:pPr>
        <w:pStyle w:val="Odstavecsmlouvy"/>
        <w:numPr>
          <w:ilvl w:val="0"/>
          <w:numId w:val="0"/>
        </w:numPr>
        <w:ind w:left="567"/>
      </w:pPr>
    </w:p>
    <w:p w14:paraId="041D638B" w14:textId="652DFDE7" w:rsidR="00EA4C8B" w:rsidRDefault="00EA4C8B" w:rsidP="00EA4C8B">
      <w:pPr>
        <w:pStyle w:val="Odstavecsmlouvy"/>
      </w:pPr>
      <w:r>
        <w:t>Prodávající ke každé Objednávce vyhotoví písemný dodací list</w:t>
      </w:r>
      <w:r w:rsidRPr="00B23E3B">
        <w:t xml:space="preserve"> (dále jen „</w:t>
      </w:r>
      <w:r w:rsidRPr="00EC330C">
        <w:rPr>
          <w:b/>
        </w:rPr>
        <w:t>Dodací list</w:t>
      </w:r>
      <w:r w:rsidRPr="00B23E3B">
        <w:t>“)</w:t>
      </w:r>
      <w:r>
        <w:t>,</w:t>
      </w:r>
      <w:r w:rsidR="00941D28">
        <w:t xml:space="preserve"> a to v elektronické i listinné formě. Dodací list </w:t>
      </w:r>
      <w:r w:rsidR="00806564">
        <w:t xml:space="preserve">v elektronické formě </w:t>
      </w:r>
      <w:r w:rsidR="00941D28">
        <w:t xml:space="preserve">musí být vyhotoven ve formátu PDK </w:t>
      </w:r>
      <w:proofErr w:type="gramStart"/>
      <w:r w:rsidR="00806564">
        <w:t xml:space="preserve">verze </w:t>
      </w:r>
      <w:r w:rsidR="00D779E5">
        <w:t xml:space="preserve"> 14</w:t>
      </w:r>
      <w:proofErr w:type="gramEnd"/>
      <w:r w:rsidR="00754D50">
        <w:t xml:space="preserve"> nebo vyšší</w:t>
      </w:r>
      <w:r w:rsidR="00806564">
        <w:t>, případně ve formátech XML nebo CSV sestavený tak, aby umožnil automatizovanou konverzi do formátu PDK verze</w:t>
      </w:r>
      <w:r w:rsidR="00D779E5">
        <w:t xml:space="preserve"> 14</w:t>
      </w:r>
      <w:r w:rsidR="00754D50">
        <w:t>,</w:t>
      </w:r>
      <w:r w:rsidR="00806564">
        <w:t xml:space="preserve"> nebo vyšší.</w:t>
      </w:r>
      <w:r w:rsidR="00941D28">
        <w:t xml:space="preserve"> </w:t>
      </w:r>
      <w:r w:rsidR="00806564">
        <w:t xml:space="preserve">Dodací list v elektronické formě musí být </w:t>
      </w:r>
      <w:r w:rsidR="00941D28">
        <w:t>Kupují</w:t>
      </w:r>
      <w:r w:rsidR="00754D50">
        <w:t xml:space="preserve">címu doručen na stejné adresy, </w:t>
      </w:r>
      <w:r w:rsidR="00941D28">
        <w:t xml:space="preserve">stejným způsobem </w:t>
      </w:r>
      <w:r w:rsidR="00754D50">
        <w:t xml:space="preserve">a ve stejné lhůtě </w:t>
      </w:r>
      <w:r w:rsidR="00941D28">
        <w:t>jako potvrzení Objednávky.</w:t>
      </w:r>
      <w:r>
        <w:t xml:space="preserve"> </w:t>
      </w:r>
      <w:r w:rsidR="00941D28">
        <w:t xml:space="preserve">Dodací list musí </w:t>
      </w:r>
      <w:r>
        <w:t>obsahovat alespoň následující údaje:</w:t>
      </w:r>
    </w:p>
    <w:p w14:paraId="041D638C" w14:textId="77777777" w:rsidR="00EA4C8B" w:rsidRDefault="00EA4C8B" w:rsidP="003E07FA">
      <w:pPr>
        <w:pStyle w:val="Psmenoodstavce"/>
        <w:ind w:left="1418" w:firstLine="0"/>
      </w:pPr>
      <w:r>
        <w:t>identifikační údaje Kupujícího a Prodávajícího;</w:t>
      </w:r>
    </w:p>
    <w:p w14:paraId="041D638D" w14:textId="77777777" w:rsidR="00EA4C8B" w:rsidRDefault="00EA4C8B" w:rsidP="003E07FA">
      <w:pPr>
        <w:pStyle w:val="Psmenoodstavce"/>
        <w:ind w:left="1418" w:firstLine="0"/>
      </w:pPr>
      <w:r>
        <w:t>evidenční číslo Dodacího listu;</w:t>
      </w:r>
    </w:p>
    <w:p w14:paraId="2AE62CB7" w14:textId="5B4E2446" w:rsidR="00D779E5" w:rsidRDefault="00D779E5" w:rsidP="003E07FA">
      <w:pPr>
        <w:pStyle w:val="Psmenoodstavce"/>
        <w:ind w:left="1418" w:firstLine="0"/>
      </w:pPr>
      <w:r>
        <w:t>číslo objednávky</w:t>
      </w:r>
    </w:p>
    <w:p w14:paraId="041D638E" w14:textId="77777777" w:rsidR="00806564" w:rsidRDefault="00806564" w:rsidP="003E07FA">
      <w:pPr>
        <w:pStyle w:val="Psmenoodstavce"/>
        <w:ind w:left="1418" w:firstLine="0"/>
      </w:pPr>
      <w:r>
        <w:t>evidenční číslo veřejné zakázky dle Věstníku veřejných zakázek a není-li takové číslo, pak číslo této smlouvy dle číslování Kupujícího;</w:t>
      </w:r>
    </w:p>
    <w:p w14:paraId="041D638F" w14:textId="77777777" w:rsidR="00EA4C8B" w:rsidRDefault="00EA4C8B" w:rsidP="003E07FA">
      <w:pPr>
        <w:pStyle w:val="Psmenoodstavce"/>
        <w:ind w:left="1418" w:firstLine="0"/>
      </w:pPr>
      <w:r>
        <w:t>datum uskutečnění dodávky;</w:t>
      </w:r>
    </w:p>
    <w:p w14:paraId="041D6390" w14:textId="77777777" w:rsidR="00EA4C8B" w:rsidRDefault="00EA4C8B" w:rsidP="003E07FA">
      <w:pPr>
        <w:pStyle w:val="Psmenoodstavce"/>
        <w:ind w:left="1418" w:firstLine="0"/>
      </w:pPr>
      <w:r>
        <w:t>specifikace dodaného Zboží a množství;</w:t>
      </w:r>
    </w:p>
    <w:p w14:paraId="041D6391" w14:textId="77777777" w:rsidR="00EA4C8B" w:rsidRDefault="00EA4C8B" w:rsidP="003E07FA">
      <w:pPr>
        <w:pStyle w:val="Psmenoodstavce"/>
        <w:ind w:left="1418" w:firstLine="0"/>
      </w:pPr>
      <w:r>
        <w:t>jednotkové ceny dodaného Zboží (bez DPH a včetně DPH);</w:t>
      </w:r>
    </w:p>
    <w:p w14:paraId="041D6392" w14:textId="77777777" w:rsidR="00EA4C8B" w:rsidRDefault="00EA4C8B" w:rsidP="003E07FA">
      <w:pPr>
        <w:pStyle w:val="Psmenoodstavce"/>
        <w:ind w:left="1418" w:firstLine="0"/>
      </w:pPr>
      <w:r w:rsidRPr="00512AB9">
        <w:t xml:space="preserve">údaje o šarži a exspiraci </w:t>
      </w:r>
      <w:r>
        <w:t>Z</w:t>
      </w:r>
      <w:r w:rsidRPr="00512AB9">
        <w:t>boží</w:t>
      </w:r>
      <w:r>
        <w:t>;</w:t>
      </w:r>
    </w:p>
    <w:p w14:paraId="041D6393" w14:textId="77777777" w:rsidR="00EA4C8B" w:rsidRDefault="00EA4C8B" w:rsidP="003E07FA">
      <w:pPr>
        <w:pStyle w:val="Psmenoodstavce"/>
        <w:ind w:left="1418" w:firstLine="0"/>
      </w:pPr>
      <w:r w:rsidRPr="00512AB9">
        <w:t>údaje o kódech SÚKL</w:t>
      </w:r>
      <w:r w:rsidR="00941D28">
        <w:t>;</w:t>
      </w:r>
    </w:p>
    <w:p w14:paraId="041D6394" w14:textId="77777777" w:rsidR="00E26944" w:rsidRDefault="00941D28" w:rsidP="003E07FA">
      <w:pPr>
        <w:pStyle w:val="Psmenoodstavce"/>
        <w:ind w:left="1418" w:firstLine="0"/>
      </w:pPr>
      <w:r>
        <w:t>u zdravotnického materiálu</w:t>
      </w:r>
      <w:r w:rsidR="00E26944">
        <w:t xml:space="preserve"> i tříd</w:t>
      </w:r>
      <w:r>
        <w:t>y</w:t>
      </w:r>
      <w:r w:rsidR="00E26944">
        <w:t xml:space="preserve"> bezpečnosti</w:t>
      </w:r>
      <w:r>
        <w:t>;</w:t>
      </w:r>
    </w:p>
    <w:p w14:paraId="041D6395" w14:textId="77777777" w:rsidR="006D5E44" w:rsidRDefault="00754D50" w:rsidP="003E07FA">
      <w:pPr>
        <w:pStyle w:val="Psmenoodstavce"/>
        <w:ind w:left="1418" w:firstLine="0"/>
      </w:pPr>
      <w:r>
        <w:t>u zdravotnického materiálu</w:t>
      </w:r>
      <w:r w:rsidR="003E3823">
        <w:t>, diagnostik</w:t>
      </w:r>
      <w:r>
        <w:t xml:space="preserve"> a </w:t>
      </w:r>
      <w:proofErr w:type="spellStart"/>
      <w:r>
        <w:t>labochemikálií</w:t>
      </w:r>
      <w:proofErr w:type="spellEnd"/>
      <w:r>
        <w:t xml:space="preserve"> katalogová čísla</w:t>
      </w:r>
      <w:r w:rsidR="006D5E44">
        <w:t>;</w:t>
      </w:r>
    </w:p>
    <w:p w14:paraId="041D6396" w14:textId="343807A0" w:rsidR="00EA4C8B" w:rsidRDefault="006D5E44" w:rsidP="003E07FA">
      <w:pPr>
        <w:pStyle w:val="Psmenoodstavce"/>
        <w:ind w:left="1418" w:firstLine="0"/>
      </w:pPr>
      <w:r>
        <w:t xml:space="preserve">u tzv. </w:t>
      </w:r>
      <w:proofErr w:type="gramStart"/>
      <w:r>
        <w:t>ZM</w:t>
      </w:r>
      <w:r w:rsidR="003E07FA">
        <w:t xml:space="preserve"> (</w:t>
      </w:r>
      <w:r w:rsidR="00D779E5">
        <w:t xml:space="preserve"> zdravotnický</w:t>
      </w:r>
      <w:proofErr w:type="gramEnd"/>
      <w:r w:rsidR="00D779E5">
        <w:t xml:space="preserve"> materiál</w:t>
      </w:r>
      <w:r w:rsidR="003E07FA">
        <w:t>)</w:t>
      </w:r>
      <w:r>
        <w:t xml:space="preserve"> a LP</w:t>
      </w:r>
      <w:r w:rsidR="003E07FA">
        <w:t xml:space="preserve"> (léčivé přípravky)</w:t>
      </w:r>
      <w:r>
        <w:t xml:space="preserve">, kód </w:t>
      </w:r>
      <w:r w:rsidR="003E07FA">
        <w:t>Všeobecné zdravotní pojišťovny</w:t>
      </w:r>
      <w:r w:rsidR="00923251">
        <w:t xml:space="preserve"> (dále jen „</w:t>
      </w:r>
      <w:r w:rsidR="00923251" w:rsidRPr="00336312">
        <w:rPr>
          <w:b/>
        </w:rPr>
        <w:t>VZP</w:t>
      </w:r>
      <w:r w:rsidR="00923251">
        <w:t>“)</w:t>
      </w:r>
      <w:r w:rsidR="003E07FA">
        <w:t>, pokud je přidělen</w:t>
      </w:r>
      <w:r w:rsidR="00B57703">
        <w:t>.</w:t>
      </w:r>
    </w:p>
    <w:p w14:paraId="041D6397" w14:textId="77777777" w:rsidR="00B57703" w:rsidRDefault="00B57703" w:rsidP="003E07FA">
      <w:pPr>
        <w:pStyle w:val="Odstavecsmlouvy"/>
        <w:numPr>
          <w:ilvl w:val="0"/>
          <w:numId w:val="0"/>
        </w:numPr>
        <w:ind w:left="567"/>
      </w:pPr>
    </w:p>
    <w:p w14:paraId="041D6398" w14:textId="77777777"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a elektronické </w:t>
      </w:r>
      <w:r w:rsidR="003241AA">
        <w:t>formě</w:t>
      </w:r>
      <w:r>
        <w:t>.</w:t>
      </w:r>
    </w:p>
    <w:p w14:paraId="041D6399" w14:textId="77777777" w:rsidR="00014CFB" w:rsidRDefault="00014CFB" w:rsidP="00014CFB">
      <w:pPr>
        <w:pStyle w:val="Odstavecsmlouvy"/>
        <w:numPr>
          <w:ilvl w:val="0"/>
          <w:numId w:val="0"/>
        </w:numPr>
        <w:ind w:left="567"/>
      </w:pPr>
    </w:p>
    <w:p w14:paraId="041D639A"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041D639B" w14:textId="77777777" w:rsidR="00941D28" w:rsidRDefault="00941D28" w:rsidP="00941D28">
      <w:pPr>
        <w:pStyle w:val="Odstavecsmlouvy"/>
        <w:numPr>
          <w:ilvl w:val="0"/>
          <w:numId w:val="0"/>
        </w:numPr>
        <w:ind w:left="567"/>
      </w:pPr>
    </w:p>
    <w:p w14:paraId="041D639C" w14:textId="77777777"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041D639D" w14:textId="77777777" w:rsidR="00014CFB" w:rsidRDefault="00014CFB" w:rsidP="00014CFB">
      <w:pPr>
        <w:pStyle w:val="Odstavecsmlouvy"/>
        <w:numPr>
          <w:ilvl w:val="0"/>
          <w:numId w:val="0"/>
        </w:numPr>
        <w:ind w:left="567"/>
      </w:pPr>
    </w:p>
    <w:p w14:paraId="041D639E"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041D639F" w14:textId="77777777" w:rsidR="00014CFB" w:rsidRDefault="00014CFB" w:rsidP="00014CFB">
      <w:pPr>
        <w:pStyle w:val="Odstavecsmlouvy"/>
        <w:numPr>
          <w:ilvl w:val="0"/>
          <w:numId w:val="0"/>
        </w:numPr>
        <w:ind w:left="567"/>
      </w:pPr>
    </w:p>
    <w:p w14:paraId="041D63A0" w14:textId="77777777" w:rsidR="00014CFB" w:rsidRPr="00512AB9" w:rsidRDefault="00241316" w:rsidP="00014CFB">
      <w:pPr>
        <w:pStyle w:val="Odstavecsmlouvy"/>
      </w:pPr>
      <w:r w:rsidRPr="00EE6269">
        <w:rPr>
          <w:iCs/>
        </w:rPr>
        <w:t xml:space="preserve">Nebezpečí škody na zboží přechází z Prodávajícího na Kupujícího </w:t>
      </w:r>
      <w:r w:rsidRPr="00EE6269">
        <w:rPr>
          <w:bCs/>
          <w:iCs/>
        </w:rPr>
        <w:t xml:space="preserve">okamžikem podpisu pověřené osoby Kupujícího na balicím, případně Dodacím listě dle věty druhé odst. </w:t>
      </w:r>
      <w:proofErr w:type="gramStart"/>
      <w:r w:rsidRPr="00EE6269">
        <w:rPr>
          <w:bCs/>
          <w:iCs/>
        </w:rPr>
        <w:t>IV.6 této</w:t>
      </w:r>
      <w:proofErr w:type="gramEnd"/>
      <w:r w:rsidRPr="00EE6269">
        <w:rPr>
          <w:bCs/>
          <w:iCs/>
        </w:rPr>
        <w:t xml:space="preserve"> smlouvy</w:t>
      </w:r>
      <w:r w:rsidRPr="00EE6269">
        <w:rPr>
          <w:iCs/>
        </w:rPr>
        <w:t>. Škoda na Zboží, která vznikla po přechodu jejího nebezpečí na Kupujícího, nemá vliv na jeho povinnost zaplatit Kupní cenu, ledaže ke škodě na Zboží došlo v důsledku porušení povinnosti Prodávajícího</w:t>
      </w:r>
      <w:r w:rsidR="00014CFB" w:rsidRPr="00512AB9">
        <w:t>.</w:t>
      </w:r>
    </w:p>
    <w:p w14:paraId="041D63A1" w14:textId="77777777" w:rsidR="00014CFB" w:rsidRDefault="00014CFB" w:rsidP="00014CFB">
      <w:pPr>
        <w:pStyle w:val="Odstavecsmlouvy"/>
        <w:numPr>
          <w:ilvl w:val="0"/>
          <w:numId w:val="0"/>
        </w:numPr>
        <w:ind w:left="567"/>
      </w:pPr>
    </w:p>
    <w:p w14:paraId="041D63A2" w14:textId="77777777" w:rsidR="00014CFB" w:rsidRPr="00512AB9" w:rsidRDefault="00014CFB" w:rsidP="00014CFB">
      <w:pPr>
        <w:pStyle w:val="Odstavecsmlouvy"/>
      </w:pPr>
      <w:r w:rsidRPr="00512AB9">
        <w:lastRenderedPageBreak/>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041D63A3" w14:textId="77777777" w:rsidR="00014CFB" w:rsidRDefault="00014CFB" w:rsidP="00014CFB">
      <w:pPr>
        <w:pStyle w:val="Odstavecsmlouvy"/>
        <w:numPr>
          <w:ilvl w:val="0"/>
          <w:numId w:val="0"/>
        </w:numPr>
        <w:ind w:left="567"/>
      </w:pPr>
    </w:p>
    <w:p w14:paraId="041D63A4" w14:textId="77777777" w:rsidR="00014CFB" w:rsidRPr="00512AB9" w:rsidRDefault="00014CFB" w:rsidP="00014CFB">
      <w:pPr>
        <w:pStyle w:val="Odstavecsmlouvy"/>
      </w:pPr>
      <w:r w:rsidRPr="00512AB9">
        <w:t>V případě nemožnosti plnění z</w:t>
      </w:r>
      <w:r w:rsidR="00754D50">
        <w:t>e</w:t>
      </w:r>
      <w:r w:rsidR="00BE4FE7">
        <w:t> </w:t>
      </w:r>
      <w:r w:rsidRPr="00512AB9">
        <w:t>stran</w:t>
      </w:r>
      <w:r w:rsidR="00754D50">
        <w:t>y</w:t>
      </w:r>
      <w:r w:rsidRPr="00512AB9">
        <w:t xml:space="preserve"> </w:t>
      </w:r>
      <w:r>
        <w:t>P</w:t>
      </w:r>
      <w:r w:rsidRPr="00512AB9">
        <w:t xml:space="preserve">rodávajícího je </w:t>
      </w:r>
      <w:r>
        <w:t>P</w:t>
      </w:r>
      <w:r w:rsidRPr="00512AB9">
        <w:t xml:space="preserve">rodávající </w:t>
      </w:r>
      <w:r w:rsidR="00BE4FE7">
        <w:t xml:space="preserve">bez zbytečného odkladu poté, co se o této nemožnosti plnění měl nebo mohl dovědět, </w:t>
      </w:r>
      <w:r w:rsidRPr="00512AB9">
        <w:t xml:space="preserve">povinen písemně </w:t>
      </w:r>
      <w:r>
        <w:t>K</w:t>
      </w:r>
      <w:r w:rsidRPr="00512AB9">
        <w:t>upující</w:t>
      </w:r>
      <w:r w:rsidR="00BE4FE7">
        <w:t>mu</w:t>
      </w:r>
      <w:r w:rsidRPr="00512AB9">
        <w:t xml:space="preserve"> </w:t>
      </w:r>
      <w:r w:rsidR="00BE4FE7">
        <w:t xml:space="preserve">oznámit </w:t>
      </w:r>
      <w:r w:rsidRPr="00512AB9">
        <w:t xml:space="preserve">přerušení dodávek. Kupující je oprávněn po dobu přerušení dodávek nakupovat </w:t>
      </w:r>
      <w:r w:rsidR="00CF1BA2">
        <w:t>Zboží nebo jeho část u</w:t>
      </w:r>
      <w:r w:rsidRPr="00512AB9">
        <w:t xml:space="preserve"> jiného dodavatele za ceny obvyklé (</w:t>
      </w:r>
      <w:r w:rsidR="00CF1BA2">
        <w:t>dále jen „</w:t>
      </w:r>
      <w:r w:rsidRPr="00CF1BA2">
        <w:rPr>
          <w:b/>
        </w:rPr>
        <w:t>náhradní plnění</w:t>
      </w:r>
      <w:r w:rsidR="00CF1BA2">
        <w:t>“</w:t>
      </w:r>
      <w:r w:rsidRPr="00512AB9">
        <w:t xml:space="preserve">). Případný rozdíl v nákupních cenách, jež vznikne mezi cenami sjednanými touto </w:t>
      </w:r>
      <w:r>
        <w:t xml:space="preserve">smlouvou </w:t>
      </w:r>
      <w:r w:rsidRPr="00512AB9">
        <w:t>a cenami náhradního plnění</w:t>
      </w:r>
      <w:r w:rsidR="00CF1BA2">
        <w:t>,</w:t>
      </w:r>
      <w:r w:rsidRPr="00512AB9">
        <w:t xml:space="preserve"> uhradí </w:t>
      </w:r>
      <w:r>
        <w:t>P</w:t>
      </w:r>
      <w:r w:rsidRPr="00512AB9">
        <w:t xml:space="preserve">rodávající </w:t>
      </w:r>
      <w:r>
        <w:t>K</w:t>
      </w:r>
      <w:r w:rsidRPr="00512AB9">
        <w:t>upujícímu do 14 dnů po doručení oznámení o zajištění náhradního plnění</w:t>
      </w:r>
      <w:r w:rsidR="00BE4FE7">
        <w:t>, a to v případě, že Prodávající Kupujícímu přerušení dodávek včas neoznámil</w:t>
      </w:r>
      <w:r w:rsidRPr="00512AB9">
        <w:t>.</w:t>
      </w:r>
    </w:p>
    <w:p w14:paraId="041D63A5" w14:textId="77777777" w:rsidR="00014CFB" w:rsidRDefault="00014CFB" w:rsidP="00014CFB">
      <w:pPr>
        <w:pStyle w:val="Odstavecsmlouvy"/>
        <w:numPr>
          <w:ilvl w:val="0"/>
          <w:numId w:val="0"/>
        </w:numPr>
        <w:ind w:left="567"/>
      </w:pPr>
    </w:p>
    <w:p w14:paraId="041D63A6" w14:textId="77777777" w:rsidR="00014CFB" w:rsidRDefault="00014CFB" w:rsidP="00014CFB">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041D63A7" w14:textId="77777777" w:rsidR="00014CFB" w:rsidRDefault="00014CFB" w:rsidP="00014CFB">
      <w:pPr>
        <w:pStyle w:val="Odstavecsmlouvy"/>
        <w:numPr>
          <w:ilvl w:val="0"/>
          <w:numId w:val="0"/>
        </w:numPr>
        <w:ind w:left="567"/>
      </w:pPr>
    </w:p>
    <w:p w14:paraId="426A09FD" w14:textId="77777777" w:rsidR="00B76736" w:rsidRDefault="00B76736" w:rsidP="00014CFB">
      <w:pPr>
        <w:pStyle w:val="Odstavecsmlouvy"/>
        <w:numPr>
          <w:ilvl w:val="0"/>
          <w:numId w:val="0"/>
        </w:numPr>
        <w:ind w:left="567"/>
      </w:pPr>
    </w:p>
    <w:p w14:paraId="041D63A8" w14:textId="77777777" w:rsidR="000C1FD1" w:rsidRPr="002B77A6" w:rsidRDefault="000C1FD1" w:rsidP="000C1FD1">
      <w:pPr>
        <w:pStyle w:val="Nadpis1"/>
      </w:pPr>
      <w:r>
        <w:t>Kupní cena</w:t>
      </w:r>
      <w:bookmarkEnd w:id="5"/>
    </w:p>
    <w:p w14:paraId="041D63A9" w14:textId="77777777" w:rsidR="000C1FD1" w:rsidRDefault="000C1FD1" w:rsidP="000C1FD1">
      <w:pPr>
        <w:pStyle w:val="Zkladntext3"/>
        <w:ind w:left="709"/>
        <w:rPr>
          <w:sz w:val="22"/>
          <w:szCs w:val="22"/>
        </w:rPr>
      </w:pPr>
    </w:p>
    <w:p w14:paraId="041D63AA" w14:textId="77777777" w:rsidR="000C1FD1" w:rsidRDefault="000C1FD1" w:rsidP="000C1FD1">
      <w:pPr>
        <w:pStyle w:val="Odstavecsmlouvy"/>
      </w:pPr>
      <w:bookmarkStart w:id="9"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9"/>
    </w:p>
    <w:p w14:paraId="041D63AB" w14:textId="77777777" w:rsidR="000C1FD1" w:rsidRDefault="000C1FD1" w:rsidP="000C1FD1">
      <w:pPr>
        <w:pStyle w:val="Odstavecsmlouvy"/>
        <w:numPr>
          <w:ilvl w:val="0"/>
          <w:numId w:val="0"/>
        </w:numPr>
        <w:ind w:left="567"/>
      </w:pPr>
    </w:p>
    <w:p w14:paraId="041D63AC" w14:textId="77777777"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185/2001 Sb., o odpadech, ve znění pozdějších předpisů, podléhá) a veškeré další náklady související s řádným dodáním Zboží do místa </w:t>
      </w:r>
      <w:r w:rsidR="009D4364">
        <w:t>dodání</w:t>
      </w:r>
      <w:r>
        <w:t xml:space="preserve">. </w:t>
      </w:r>
    </w:p>
    <w:p w14:paraId="041D63AD" w14:textId="77777777" w:rsidR="000C1FD1" w:rsidRDefault="000C1FD1" w:rsidP="000C1FD1">
      <w:pPr>
        <w:pStyle w:val="Odstavecsmlouvy"/>
        <w:numPr>
          <w:ilvl w:val="0"/>
          <w:numId w:val="0"/>
        </w:numPr>
        <w:ind w:left="567"/>
      </w:pPr>
    </w:p>
    <w:p w14:paraId="041D63A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041D63AF" w14:textId="77777777" w:rsidR="000C1FD1" w:rsidRDefault="000C1FD1" w:rsidP="000C1FD1">
      <w:pPr>
        <w:pStyle w:val="Odstavecsmlouvy"/>
        <w:numPr>
          <w:ilvl w:val="0"/>
          <w:numId w:val="0"/>
        </w:numPr>
        <w:ind w:left="567"/>
      </w:pPr>
    </w:p>
    <w:p w14:paraId="041D63B0" w14:textId="77777777" w:rsidR="00743A0B" w:rsidRDefault="00743A0B" w:rsidP="00743A0B">
      <w:pPr>
        <w:pStyle w:val="Odstavecsmlouvy"/>
      </w:pPr>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 xml:space="preserve">přičemž </w:t>
      </w:r>
      <w:r w:rsidRPr="002C69B1">
        <w:rPr>
          <w:b/>
        </w:rPr>
        <w:t xml:space="preserve">výše této úhrady </w:t>
      </w:r>
      <w:r>
        <w:rPr>
          <w:b/>
        </w:rPr>
        <w:t>byla před tímto jejím snížením</w:t>
      </w:r>
      <w:r w:rsidRPr="002C69B1">
        <w:rPr>
          <w:b/>
        </w:rPr>
        <w:t xml:space="preserve"> stejná nebo vyšší než jednotková kupní cena</w:t>
      </w:r>
      <w:r>
        <w:t xml:space="preserve"> této položky Zboží uvedená v příloze č. 1 této Smlouvy </w:t>
      </w:r>
      <w:r w:rsidRPr="00115F51">
        <w:t xml:space="preserve">a </w:t>
      </w:r>
      <w:r w:rsidRPr="00974896">
        <w:rPr>
          <w:b/>
        </w:rPr>
        <w:t xml:space="preserve">současně se </w:t>
      </w:r>
      <w:r>
        <w:rPr>
          <w:b/>
        </w:rPr>
        <w:t xml:space="preserve">tím </w:t>
      </w:r>
      <w:r w:rsidRPr="00974896">
        <w:rPr>
          <w:b/>
        </w:rPr>
        <w:t>tato úhrada snížila pod tuto jednotkovou kupní cenu</w:t>
      </w:r>
      <w:r>
        <w:t xml:space="preserve">, snižuje se tato jednotková kupní cena </w:t>
      </w:r>
      <w:r w:rsidRPr="002C69B1">
        <w:rPr>
          <w:b/>
          <w:bCs/>
        </w:rPr>
        <w:t>na tuto výši úhrady</w:t>
      </w:r>
      <w:r>
        <w:t xml:space="preserve"> Všeobecné zdravotní pojišťovny po tomto jejím snížení. Prodávající je povinen v takovém případě na výzvu Kupujícího uzavřít dodatek k této Smlouvě, jehož předmětem bude toto snížení jednotkové kupní ceny položky Zboží.</w:t>
      </w:r>
    </w:p>
    <w:p w14:paraId="041D63B1" w14:textId="77777777" w:rsidR="00743A0B" w:rsidRDefault="00743A0B" w:rsidP="00743A0B">
      <w:pPr>
        <w:pStyle w:val="Odstavecsmlouvy"/>
        <w:numPr>
          <w:ilvl w:val="0"/>
          <w:numId w:val="0"/>
        </w:numPr>
        <w:ind w:left="567"/>
      </w:pPr>
    </w:p>
    <w:p w14:paraId="041D63B2" w14:textId="77777777" w:rsidR="00743A0B" w:rsidRDefault="00743A0B" w:rsidP="00743A0B">
      <w:pPr>
        <w:pStyle w:val="Odstavecsmlouvy"/>
      </w:pPr>
      <w:bookmarkStart w:id="10" w:name="_Ref13486690"/>
      <w:r>
        <w:t xml:space="preserve">V případě, že </w:t>
      </w:r>
      <w:r w:rsidR="00923251">
        <w:rPr>
          <w:b/>
          <w:bCs/>
        </w:rPr>
        <w:t>VZP</w:t>
      </w:r>
      <w:r w:rsidRPr="002C69B1">
        <w:rPr>
          <w:b/>
          <w:bCs/>
        </w:rPr>
        <w:t xml:space="preserve"> sníží výši úhrady</w:t>
      </w:r>
      <w:r>
        <w:t xml:space="preserve"> za některou položku Zboží a nestanoví-li </w:t>
      </w:r>
      <w:r w:rsidRPr="000452E1">
        <w:t>právní předpis, správní rozhodnutí nebo cenový předpis</w:t>
      </w:r>
      <w:r w:rsidRPr="006876D0">
        <w:t xml:space="preserve"> </w:t>
      </w:r>
      <w:r>
        <w:t xml:space="preserve">jinak, </w:t>
      </w:r>
      <w:r w:rsidRPr="001E4F33">
        <w:t>přičemž</w:t>
      </w:r>
      <w:r w:rsidRPr="00C63592">
        <w:rPr>
          <w:b/>
        </w:rPr>
        <w:t xml:space="preserve"> výše této úhrady </w:t>
      </w:r>
      <w:r>
        <w:rPr>
          <w:b/>
        </w:rPr>
        <w:t>byla před tímto jejím snížením</w:t>
      </w:r>
      <w:r w:rsidRPr="00C63592">
        <w:rPr>
          <w:b/>
        </w:rPr>
        <w:t xml:space="preserve"> nižší než jednotková kupní cena</w:t>
      </w:r>
      <w:r>
        <w:t xml:space="preserve"> této položky Zboží uvedená v příloze č. 1 této Smlouvy, tato jednotková kupní cena se </w:t>
      </w:r>
      <w:r w:rsidRPr="00BA6E39">
        <w:rPr>
          <w:b/>
        </w:rPr>
        <w:t>snižuje o</w:t>
      </w:r>
      <w:r w:rsidRPr="00C63592">
        <w:rPr>
          <w:b/>
        </w:rPr>
        <w:t xml:space="preserve"> částku, o kterou se snížila tato úhrada</w:t>
      </w:r>
      <w:r w:rsidRPr="001E4F33">
        <w:t xml:space="preserve"> Všeobecné zdravotní pojišťovny</w:t>
      </w:r>
      <w:r>
        <w:t xml:space="preserve">. </w:t>
      </w:r>
      <w:bookmarkEnd w:id="10"/>
      <w:r>
        <w:t>Prodávající je povinen v takovém případě na výzvu Kupujícího uzavřít dodatek k této Smlouvě, jehož předmětem bude toto snížení jednotkové kupní ceny položky Zboží.</w:t>
      </w:r>
    </w:p>
    <w:p w14:paraId="5422497C" w14:textId="77777777" w:rsidR="00B76736" w:rsidRDefault="00B76736" w:rsidP="00B76736">
      <w:pPr>
        <w:pStyle w:val="Odstavecsmlouvy"/>
        <w:numPr>
          <w:ilvl w:val="0"/>
          <w:numId w:val="0"/>
        </w:numPr>
        <w:ind w:left="567"/>
      </w:pPr>
    </w:p>
    <w:p w14:paraId="041D63B3" w14:textId="77777777" w:rsidR="000C1FD1" w:rsidRDefault="000C1FD1" w:rsidP="000C1FD1">
      <w:pPr>
        <w:pStyle w:val="Odstavecsmlouvy"/>
        <w:numPr>
          <w:ilvl w:val="0"/>
          <w:numId w:val="0"/>
        </w:numPr>
        <w:ind w:left="567"/>
      </w:pPr>
    </w:p>
    <w:p w14:paraId="041D63B4" w14:textId="77777777" w:rsidR="000C1FD1" w:rsidRDefault="000C1FD1" w:rsidP="000C1FD1">
      <w:pPr>
        <w:pStyle w:val="Nadpis3"/>
      </w:pPr>
      <w:r>
        <w:t>Platební podmínky</w:t>
      </w:r>
    </w:p>
    <w:p w14:paraId="041D63B5" w14:textId="77777777" w:rsidR="000C1FD1" w:rsidRDefault="000C1FD1" w:rsidP="000C1FD1">
      <w:pPr>
        <w:pStyle w:val="Odstavecsmlouvy"/>
        <w:numPr>
          <w:ilvl w:val="0"/>
          <w:numId w:val="0"/>
        </w:numPr>
        <w:ind w:left="567"/>
      </w:pPr>
    </w:p>
    <w:p w14:paraId="041D63B6" w14:textId="686BC7C9" w:rsidR="000C1FD1" w:rsidRPr="00AE7DAE"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w:t>
      </w:r>
      <w:r w:rsidRPr="00AE7DAE">
        <w:t>Kupujícímu, a to ve formě tzv. sběrných faktur v týde</w:t>
      </w:r>
      <w:r w:rsidR="00AE7DAE">
        <w:t>nním intervalu</w:t>
      </w:r>
      <w:r w:rsidRPr="00AE7DAE">
        <w:t xml:space="preserve">. </w:t>
      </w:r>
    </w:p>
    <w:p w14:paraId="041D63B7" w14:textId="77777777" w:rsidR="000C1FD1" w:rsidRDefault="000C1FD1" w:rsidP="000C1FD1">
      <w:pPr>
        <w:pStyle w:val="Odstavecsmlouvy"/>
        <w:numPr>
          <w:ilvl w:val="0"/>
          <w:numId w:val="0"/>
        </w:numPr>
        <w:ind w:left="567"/>
      </w:pPr>
    </w:p>
    <w:p w14:paraId="041D63B8" w14:textId="77777777" w:rsidR="000C1FD1" w:rsidRDefault="00825B3C" w:rsidP="000C1FD1">
      <w:pPr>
        <w:pStyle w:val="Odstavecsmlouvy"/>
      </w:pPr>
      <w:r w:rsidRPr="00512AB9">
        <w:t xml:space="preserve">Splatnost faktur je sjednána na </w:t>
      </w:r>
      <w:r>
        <w:t>60</w:t>
      </w:r>
      <w:r w:rsidRPr="00512AB9">
        <w:t xml:space="preserve"> dní ode dne </w:t>
      </w:r>
      <w:r w:rsidR="009D4364">
        <w:t xml:space="preserve">doručení </w:t>
      </w:r>
      <w:r w:rsidRPr="00512AB9">
        <w:t>faktury</w:t>
      </w:r>
      <w:r>
        <w:t xml:space="preserve"> Kupujícímu</w:t>
      </w:r>
      <w:r w:rsidR="000C1FD1" w:rsidRPr="006925A2">
        <w:t>.</w:t>
      </w:r>
      <w:r w:rsidR="0010754F">
        <w:t xml:space="preserve"> Lhůta splatnosti faktur počíná běžet </w:t>
      </w:r>
      <w:r w:rsidR="003D3584">
        <w:t>převzetím Zboží Kupujícím</w:t>
      </w:r>
      <w:r w:rsidR="0010754F">
        <w:t>.</w:t>
      </w:r>
    </w:p>
    <w:p w14:paraId="041D63B9" w14:textId="77777777" w:rsidR="000C1FD1" w:rsidRDefault="000C1FD1" w:rsidP="000C1FD1">
      <w:pPr>
        <w:pStyle w:val="Odstavecsmlouvy"/>
        <w:numPr>
          <w:ilvl w:val="0"/>
          <w:numId w:val="0"/>
        </w:numPr>
        <w:ind w:left="567"/>
      </w:pPr>
    </w:p>
    <w:p w14:paraId="041D63BA" w14:textId="77777777" w:rsidR="000C1FD1" w:rsidRDefault="000C1FD1" w:rsidP="000C1FD1">
      <w:pPr>
        <w:pStyle w:val="Odstavecsmlouvy"/>
      </w:pPr>
      <w:r w:rsidRPr="006925A2">
        <w:t>Faktura musí splňovat veškeré náležitosti daňového a účetního dokladu stanovené právními předpisy, zejména musí splňovat ustanovení zákona č. 235/2004 Sb., o dani z přidané hodnoty, ve znění pozdějších předpisů</w:t>
      </w:r>
      <w:r>
        <w:t xml:space="preserve"> (dále jen „</w:t>
      </w:r>
      <w:r w:rsidRPr="00093388">
        <w:rPr>
          <w:b/>
        </w:rPr>
        <w:t>ZDPH</w:t>
      </w:r>
      <w:r>
        <w:t>“), a musí na ní být uvedeno:</w:t>
      </w:r>
    </w:p>
    <w:p w14:paraId="041D63BB" w14:textId="77777777" w:rsidR="000C1FD1" w:rsidRDefault="000C1FD1" w:rsidP="000C1FD1">
      <w:pPr>
        <w:pStyle w:val="Psmenoodstavce"/>
      </w:pPr>
      <w:r>
        <w:t>identifikační údaje Kupujícího a Prodávajícího včetně bankovního spojení;</w:t>
      </w:r>
    </w:p>
    <w:p w14:paraId="041D63BC" w14:textId="77777777" w:rsidR="000C1FD1" w:rsidRDefault="000C1FD1" w:rsidP="000C1FD1">
      <w:pPr>
        <w:pStyle w:val="Psmenoodstavce"/>
      </w:pPr>
      <w:r>
        <w:t>evidenční číslo daňového dokladu;</w:t>
      </w:r>
    </w:p>
    <w:p w14:paraId="3535B511" w14:textId="7E5BF13D" w:rsidR="00D779E5" w:rsidRDefault="00D779E5" w:rsidP="000C1FD1">
      <w:pPr>
        <w:pStyle w:val="Psmenoodstavce"/>
      </w:pPr>
      <w:r>
        <w:t>číslo objednávky – pokud faktura nahrazuje dodací list</w:t>
      </w:r>
    </w:p>
    <w:p w14:paraId="041D63BD" w14:textId="77777777" w:rsidR="00806564" w:rsidRDefault="00806564" w:rsidP="00806564">
      <w:pPr>
        <w:pStyle w:val="Psmenoodstavce"/>
      </w:pPr>
      <w:r>
        <w:t>evidenční číslo veřejné zakázky dle Věstníku veřejných zakázek a není-li takové číslo, pak číslo této smlouvy dle číslování Kupujícího;</w:t>
      </w:r>
    </w:p>
    <w:p w14:paraId="041D63BE" w14:textId="77777777" w:rsidR="000C1FD1" w:rsidRDefault="000C1FD1" w:rsidP="000C1FD1">
      <w:pPr>
        <w:pStyle w:val="Psmenoodstavce"/>
      </w:pPr>
      <w:r>
        <w:t>specifikace dodaného Zboží a množství;</w:t>
      </w:r>
    </w:p>
    <w:p w14:paraId="041D63BF" w14:textId="77777777" w:rsidR="000C1FD1" w:rsidRDefault="000C1FD1" w:rsidP="000C1FD1">
      <w:pPr>
        <w:pStyle w:val="Psmenoodstavce"/>
      </w:pPr>
      <w:r>
        <w:t>datum uskutečnění zdanitelného plnění;</w:t>
      </w:r>
    </w:p>
    <w:p w14:paraId="041D63C0" w14:textId="77777777" w:rsidR="000C1FD1" w:rsidRDefault="000C1FD1" w:rsidP="000C1FD1">
      <w:pPr>
        <w:pStyle w:val="Psmenoodstavce"/>
      </w:pPr>
      <w:r>
        <w:t>datum splatnosti;</w:t>
      </w:r>
    </w:p>
    <w:p w14:paraId="041D63C1" w14:textId="77777777" w:rsidR="000C1FD1" w:rsidRDefault="000C1FD1" w:rsidP="000C1FD1">
      <w:pPr>
        <w:pStyle w:val="Psmenoodstavce"/>
      </w:pPr>
      <w:r>
        <w:t>jednotkové ceny dodaného Zboží (bez DPH, včetně DPH, sazba a výše DPH);</w:t>
      </w:r>
    </w:p>
    <w:p w14:paraId="041D63C2" w14:textId="77777777" w:rsidR="000C1FD1" w:rsidRDefault="000C1FD1" w:rsidP="000C1FD1">
      <w:pPr>
        <w:pStyle w:val="Psmenoodstavce"/>
      </w:pPr>
      <w:r>
        <w:t>u regulovaných léčivých přípravků jednotkovou cenu původce;</w:t>
      </w:r>
    </w:p>
    <w:p w14:paraId="041D63C3" w14:textId="77777777" w:rsidR="000C1FD1" w:rsidRDefault="000C1FD1" w:rsidP="000C1FD1">
      <w:pPr>
        <w:pStyle w:val="Psmenoodstavce"/>
      </w:pPr>
      <w:r>
        <w:t>celková fakturovaná částka (bez DPH, včetně DPH);</w:t>
      </w:r>
    </w:p>
    <w:p w14:paraId="041D63C4" w14:textId="77777777" w:rsidR="000C1FD1" w:rsidRDefault="000C1FD1" w:rsidP="000C1FD1">
      <w:pPr>
        <w:pStyle w:val="Psmenoodstavce"/>
      </w:pPr>
      <w:r w:rsidRPr="00512AB9">
        <w:t>údaje o kódech SÚKL</w:t>
      </w:r>
      <w:r w:rsidR="00BE4FE7">
        <w:t>;</w:t>
      </w:r>
    </w:p>
    <w:p w14:paraId="041D63C5" w14:textId="77777777" w:rsidR="00B609E9" w:rsidRDefault="00BE4FE7" w:rsidP="000C1FD1">
      <w:pPr>
        <w:pStyle w:val="Psmenoodstavce"/>
      </w:pPr>
      <w:r>
        <w:t>u zdravotnického materiálu</w:t>
      </w:r>
      <w:r w:rsidR="00B609E9">
        <w:t xml:space="preserve"> tříd</w:t>
      </w:r>
      <w:r>
        <w:t>y</w:t>
      </w:r>
      <w:r w:rsidR="00B609E9">
        <w:t xml:space="preserve"> bezpečnosti</w:t>
      </w:r>
      <w:r w:rsidR="00754D50">
        <w:t>;</w:t>
      </w:r>
    </w:p>
    <w:p w14:paraId="041D63C6" w14:textId="77777777" w:rsidR="006D5E44" w:rsidRDefault="00754D50" w:rsidP="00754D50">
      <w:pPr>
        <w:pStyle w:val="Psmenoodstavce"/>
      </w:pPr>
      <w:r>
        <w:t>u zdravotnického materiálu</w:t>
      </w:r>
      <w:r w:rsidR="00F1563C">
        <w:t>, diagnostik</w:t>
      </w:r>
      <w:r>
        <w:t xml:space="preserve"> a </w:t>
      </w:r>
      <w:proofErr w:type="spellStart"/>
      <w:r>
        <w:t>labochemikálií</w:t>
      </w:r>
      <w:proofErr w:type="spellEnd"/>
      <w:r>
        <w:t xml:space="preserve"> katalogová čísla</w:t>
      </w:r>
      <w:r w:rsidR="006D5E44">
        <w:t>;</w:t>
      </w:r>
    </w:p>
    <w:p w14:paraId="041D63C7" w14:textId="03694E4A" w:rsidR="00754D50" w:rsidRDefault="006D5E44" w:rsidP="00754D50">
      <w:pPr>
        <w:pStyle w:val="Psmenoodstavce"/>
      </w:pPr>
      <w:r>
        <w:t>u ZM</w:t>
      </w:r>
      <w:r w:rsidR="00923251">
        <w:t xml:space="preserve"> (</w:t>
      </w:r>
      <w:r w:rsidR="00D779E5">
        <w:t xml:space="preserve">zdravotnický </w:t>
      </w:r>
      <w:r w:rsidR="00923251">
        <w:t>materiál)</w:t>
      </w:r>
      <w:r>
        <w:t xml:space="preserve"> a LP</w:t>
      </w:r>
      <w:r w:rsidR="00923251">
        <w:t xml:space="preserve"> (léčivé přípravky)</w:t>
      </w:r>
      <w:r>
        <w:t>, kód VZP</w:t>
      </w:r>
      <w:r w:rsidR="00923251">
        <w:t>, pokud je přidělen.</w:t>
      </w:r>
    </w:p>
    <w:p w14:paraId="041D63C8" w14:textId="77777777" w:rsidR="000C1FD1" w:rsidRDefault="000C1FD1" w:rsidP="000C1FD1">
      <w:pPr>
        <w:pStyle w:val="Odstavecsmlouvy"/>
        <w:numPr>
          <w:ilvl w:val="0"/>
          <w:numId w:val="0"/>
        </w:numPr>
        <w:ind w:left="567"/>
      </w:pPr>
    </w:p>
    <w:p w14:paraId="041D63C9"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041D63CA" w14:textId="77777777" w:rsidR="000C1FD1" w:rsidRDefault="000C1FD1" w:rsidP="000C1FD1">
      <w:pPr>
        <w:pStyle w:val="Odstavecsmlouvy"/>
        <w:numPr>
          <w:ilvl w:val="0"/>
          <w:numId w:val="0"/>
        </w:numPr>
        <w:ind w:left="567"/>
      </w:pPr>
    </w:p>
    <w:p w14:paraId="041D63CB"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041D63CC" w14:textId="77777777" w:rsidR="000C1FD1" w:rsidRDefault="000C1FD1" w:rsidP="000C1FD1">
      <w:pPr>
        <w:pStyle w:val="Odstavecsmlouvy"/>
        <w:numPr>
          <w:ilvl w:val="0"/>
          <w:numId w:val="0"/>
        </w:numPr>
        <w:ind w:left="567"/>
      </w:pPr>
    </w:p>
    <w:p w14:paraId="041D63CD"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41D63CE" w14:textId="77777777" w:rsidR="000C1FD1" w:rsidRPr="001B5F9C" w:rsidRDefault="000C1FD1" w:rsidP="000C1FD1">
      <w:pPr>
        <w:pStyle w:val="Odstavecsmlouvy"/>
        <w:numPr>
          <w:ilvl w:val="0"/>
          <w:numId w:val="0"/>
        </w:numPr>
        <w:ind w:left="567"/>
      </w:pPr>
    </w:p>
    <w:p w14:paraId="041D63CF"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041D63D0" w14:textId="77777777" w:rsidR="000C1FD1" w:rsidRPr="00257643" w:rsidRDefault="000C1FD1" w:rsidP="000C1FD1">
      <w:pPr>
        <w:pStyle w:val="Odstavecsmlouvy"/>
        <w:numPr>
          <w:ilvl w:val="0"/>
          <w:numId w:val="0"/>
        </w:numPr>
        <w:ind w:left="567"/>
      </w:pPr>
    </w:p>
    <w:p w14:paraId="041D63D1"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041D63D2" w14:textId="77777777" w:rsidR="000C1FD1" w:rsidRPr="001B5F9C" w:rsidRDefault="000C1FD1" w:rsidP="000C1FD1">
      <w:pPr>
        <w:pStyle w:val="Odstavecsmlouvy"/>
        <w:numPr>
          <w:ilvl w:val="0"/>
          <w:numId w:val="0"/>
        </w:numPr>
        <w:ind w:left="567"/>
      </w:pPr>
    </w:p>
    <w:p w14:paraId="041D63D3" w14:textId="77777777"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041D63D4" w14:textId="77777777" w:rsidR="00EE6269" w:rsidRDefault="00EE6269" w:rsidP="000C1FD1">
      <w:pPr>
        <w:rPr>
          <w:b/>
          <w:bCs/>
        </w:rPr>
      </w:pPr>
    </w:p>
    <w:p w14:paraId="041D63D5" w14:textId="77777777" w:rsidR="00C7755B" w:rsidRPr="002B77A6" w:rsidRDefault="00C7755B" w:rsidP="000C1FD1">
      <w:pPr>
        <w:rPr>
          <w:b/>
          <w:bCs/>
        </w:rPr>
      </w:pPr>
    </w:p>
    <w:bookmarkEnd w:id="0"/>
    <w:p w14:paraId="041D63D6" w14:textId="77777777" w:rsidR="00726B26" w:rsidRPr="002B77A6" w:rsidRDefault="0030437C" w:rsidP="001B5F9C">
      <w:pPr>
        <w:pStyle w:val="Nadpis1"/>
      </w:pPr>
      <w:r>
        <w:t>Kvalita zboží a odpovědnost za vady</w:t>
      </w:r>
    </w:p>
    <w:p w14:paraId="041D63D7" w14:textId="77777777" w:rsidR="00763381" w:rsidRDefault="00763381" w:rsidP="0070760F">
      <w:pPr>
        <w:pStyle w:val="Odstavecsmlouvy"/>
        <w:numPr>
          <w:ilvl w:val="0"/>
          <w:numId w:val="0"/>
        </w:numPr>
        <w:ind w:left="567"/>
      </w:pPr>
    </w:p>
    <w:p w14:paraId="041D63D8"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041D63D9" w14:textId="77777777" w:rsidR="0070760F" w:rsidRDefault="0070760F" w:rsidP="0070760F">
      <w:pPr>
        <w:pStyle w:val="Odstavecsmlouvy"/>
        <w:numPr>
          <w:ilvl w:val="0"/>
          <w:numId w:val="0"/>
        </w:numPr>
        <w:ind w:left="567"/>
      </w:pPr>
    </w:p>
    <w:p w14:paraId="041D63DA"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041D63DB" w14:textId="77777777" w:rsidR="0070760F" w:rsidRDefault="0070760F" w:rsidP="0070760F">
      <w:pPr>
        <w:pStyle w:val="Odstavecsmlouvy"/>
        <w:numPr>
          <w:ilvl w:val="0"/>
          <w:numId w:val="0"/>
        </w:numPr>
        <w:ind w:left="567"/>
      </w:pPr>
    </w:p>
    <w:p w14:paraId="041D63DC" w14:textId="77777777" w:rsidR="0070760F" w:rsidRPr="00512AB9"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o léčivech, ve znění pozdějších předpisů, a souvisejících předpisů prováděcích, a že je bez vad faktických i právních. </w:t>
      </w:r>
    </w:p>
    <w:p w14:paraId="041D63DD" w14:textId="77777777" w:rsidR="00CD098E" w:rsidRDefault="00CD098E" w:rsidP="00CD098E">
      <w:pPr>
        <w:pStyle w:val="Odstavecsmlouvy"/>
        <w:numPr>
          <w:ilvl w:val="0"/>
          <w:numId w:val="0"/>
        </w:numPr>
        <w:ind w:left="567"/>
      </w:pPr>
    </w:p>
    <w:p w14:paraId="041D63DE"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041D63DF" w14:textId="77777777" w:rsidR="00CD098E" w:rsidRDefault="00CD098E" w:rsidP="00CD098E">
      <w:pPr>
        <w:pStyle w:val="Odstavecsmlouvy"/>
        <w:numPr>
          <w:ilvl w:val="0"/>
          <w:numId w:val="0"/>
        </w:numPr>
        <w:ind w:left="567"/>
      </w:pPr>
    </w:p>
    <w:p w14:paraId="041D63E0"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041D63E1" w14:textId="77777777" w:rsidR="00CD098E" w:rsidRDefault="00CD098E" w:rsidP="00CD098E">
      <w:pPr>
        <w:pStyle w:val="Odstavecsmlouvy"/>
        <w:numPr>
          <w:ilvl w:val="0"/>
          <w:numId w:val="0"/>
        </w:numPr>
        <w:ind w:left="567"/>
      </w:pPr>
    </w:p>
    <w:p w14:paraId="041D63E2"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041D63E3" w14:textId="77777777" w:rsidR="00CD098E" w:rsidRDefault="00CD098E" w:rsidP="00CD098E">
      <w:pPr>
        <w:pStyle w:val="Odstavecsmlouvy"/>
        <w:numPr>
          <w:ilvl w:val="0"/>
          <w:numId w:val="0"/>
        </w:numPr>
        <w:ind w:left="567"/>
      </w:pPr>
    </w:p>
    <w:p w14:paraId="041D63E4" w14:textId="77777777" w:rsidR="0070760F" w:rsidRPr="00932BC6" w:rsidRDefault="0070760F" w:rsidP="0070760F">
      <w:pPr>
        <w:pStyle w:val="Odstavecsmlouvy"/>
      </w:pPr>
      <w:r w:rsidRPr="00932BC6">
        <w:t xml:space="preserve">Kupující je oprávněn vedle nároků z vad </w:t>
      </w:r>
      <w:r>
        <w:t>z</w:t>
      </w:r>
      <w:r w:rsidRPr="00932BC6">
        <w:t xml:space="preserve">boží uplatňovat i jakékoliv jiné nároky související s dodáním vadného </w:t>
      </w:r>
      <w:r>
        <w:t>z</w:t>
      </w:r>
      <w:r w:rsidRPr="00932BC6">
        <w:t>boží (např. nárok na náhradu škody).</w:t>
      </w:r>
    </w:p>
    <w:p w14:paraId="041D63E5" w14:textId="77777777" w:rsidR="00726B26" w:rsidRDefault="00726B26" w:rsidP="00726B26">
      <w:pPr>
        <w:jc w:val="center"/>
        <w:rPr>
          <w:b/>
          <w:bCs/>
        </w:rPr>
      </w:pPr>
    </w:p>
    <w:p w14:paraId="013238FF" w14:textId="77777777" w:rsidR="00B76736" w:rsidRPr="002B77A6" w:rsidRDefault="00B76736" w:rsidP="00726B26">
      <w:pPr>
        <w:jc w:val="center"/>
        <w:rPr>
          <w:b/>
          <w:bCs/>
        </w:rPr>
      </w:pPr>
    </w:p>
    <w:p w14:paraId="041D63E6" w14:textId="77777777" w:rsidR="00726B26" w:rsidRDefault="00726B26" w:rsidP="00217B9D">
      <w:pPr>
        <w:pStyle w:val="Nadpis1"/>
      </w:pPr>
      <w:r w:rsidRPr="002B77A6">
        <w:t>Sankce a odstoupení od smlouvy</w:t>
      </w:r>
    </w:p>
    <w:p w14:paraId="041D63E7" w14:textId="77777777" w:rsidR="00726B26" w:rsidRPr="002B77A6" w:rsidRDefault="00726B26" w:rsidP="00726B26">
      <w:pPr>
        <w:jc w:val="center"/>
        <w:rPr>
          <w:b/>
          <w:bCs/>
        </w:rPr>
      </w:pPr>
    </w:p>
    <w:p w14:paraId="041D63E8"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w:t>
      </w:r>
      <w:r w:rsidRPr="00557002">
        <w:t>.</w:t>
      </w:r>
    </w:p>
    <w:p w14:paraId="041D63E9" w14:textId="77777777" w:rsidR="00557002" w:rsidRDefault="00557002" w:rsidP="00557002">
      <w:pPr>
        <w:pStyle w:val="Odstavecsmlouvy"/>
        <w:numPr>
          <w:ilvl w:val="0"/>
          <w:numId w:val="0"/>
        </w:numPr>
        <w:ind w:left="567"/>
      </w:pPr>
    </w:p>
    <w:p w14:paraId="041D63EA" w14:textId="77777777" w:rsidR="00CD098E" w:rsidRPr="00512AB9" w:rsidRDefault="00CD098E" w:rsidP="003E07FA">
      <w:pPr>
        <w:pStyle w:val="Odstavecsmlouvy"/>
      </w:pPr>
      <w:r w:rsidRPr="00512AB9">
        <w:t xml:space="preserve">Bude-li </w:t>
      </w:r>
      <w:r>
        <w:t>P</w:t>
      </w:r>
      <w:r w:rsidRPr="00512AB9">
        <w:t>rodávající v prodlení s dodá</w:t>
      </w:r>
      <w:r>
        <w:t>ním</w:t>
      </w:r>
      <w:r w:rsidRPr="00512AB9">
        <w:t xml:space="preserve"> </w:t>
      </w:r>
      <w:r w:rsidR="00074676">
        <w:t>Z</w:t>
      </w:r>
      <w:r w:rsidRPr="00512AB9">
        <w:t>boží</w:t>
      </w:r>
      <w:r>
        <w:t xml:space="preserve"> řádně a včas</w:t>
      </w:r>
      <w:r w:rsidRPr="00512AB9">
        <w:t xml:space="preserve">, má </w:t>
      </w:r>
      <w:r w:rsidR="00074676">
        <w:t>K</w:t>
      </w:r>
      <w:r w:rsidRPr="00512AB9">
        <w:t>upující nárok na smluvní pokutu ve výši 0,</w:t>
      </w:r>
      <w:r w:rsidR="00641195">
        <w:t>1</w:t>
      </w:r>
      <w:r>
        <w:t xml:space="preserve"> </w:t>
      </w:r>
      <w:r w:rsidRPr="00512AB9">
        <w:t xml:space="preserve">% z finančního objemu </w:t>
      </w:r>
      <w:r>
        <w:t>O</w:t>
      </w:r>
      <w:r w:rsidRPr="00512AB9">
        <w:t>bjednávky</w:t>
      </w:r>
      <w:r>
        <w:t>, jíž se prodlení týká,</w:t>
      </w:r>
      <w:r w:rsidRPr="00512AB9">
        <w:t xml:space="preserve"> včetně DPH</w:t>
      </w:r>
      <w:r>
        <w:t>, a to</w:t>
      </w:r>
      <w:r w:rsidRPr="00512AB9">
        <w:t xml:space="preserve"> za každý započatý den prodlení. </w:t>
      </w:r>
      <w:r w:rsidR="003E07FA">
        <w:t xml:space="preserve">Kupující však nárok na smluvní pokutu podle věty předchozí nemá, pokud Prodávající do 48 hodin od konce lhůty pro dodání Zboží předloží Kupujícímu rozhodnutí Státního úřadu pro kontrolu léčiv, na základě kterého je Prodávající povinen stáhnout Zboží z trhu. Kupující nárok na smluvní pokutu podle věty první nemá ani tehdy, když </w:t>
      </w:r>
      <w:r w:rsidR="004B05E8" w:rsidRPr="003E07FA">
        <w:t xml:space="preserve">z důvodů na straně </w:t>
      </w:r>
      <w:r w:rsidR="004B05E8">
        <w:t>výrobce Z</w:t>
      </w:r>
      <w:r w:rsidR="004B05E8" w:rsidRPr="003E07FA">
        <w:t>boží</w:t>
      </w:r>
      <w:r w:rsidR="004B05E8">
        <w:t xml:space="preserve"> </w:t>
      </w:r>
      <w:r w:rsidR="003E07FA" w:rsidRPr="003E07FA">
        <w:t>dojde k ukončení výroby</w:t>
      </w:r>
      <w:r w:rsidR="004B05E8">
        <w:t xml:space="preserve"> Zboží</w:t>
      </w:r>
      <w:r w:rsidR="003E07FA" w:rsidRPr="003E07FA">
        <w:t>, k výpadku výroby</w:t>
      </w:r>
      <w:r w:rsidR="004B05E8">
        <w:t xml:space="preserve"> Zboží</w:t>
      </w:r>
      <w:r w:rsidR="003E07FA" w:rsidRPr="003E07FA">
        <w:t xml:space="preserve">, k ukončení dodávek </w:t>
      </w:r>
      <w:r w:rsidR="004B05E8">
        <w:t xml:space="preserve">Zboží </w:t>
      </w:r>
      <w:r w:rsidR="003E07FA" w:rsidRPr="003E07FA">
        <w:t xml:space="preserve">nebo k výpadku dodávek </w:t>
      </w:r>
      <w:r w:rsidR="004B05E8">
        <w:t>Zboží a pokud Prodávající do 48 hodin od konce lhůty pro dodání Zboží předloží Kupujícímu doklady vydané výrobcem Zboží, které některou z těchto skutečností prokazují.</w:t>
      </w:r>
    </w:p>
    <w:p w14:paraId="041D63EB" w14:textId="77777777" w:rsidR="00557002" w:rsidRPr="00557002" w:rsidRDefault="00557002" w:rsidP="00557002">
      <w:pPr>
        <w:pStyle w:val="Odstavecsmlouvy"/>
        <w:numPr>
          <w:ilvl w:val="0"/>
          <w:numId w:val="0"/>
        </w:numPr>
        <w:ind w:left="567"/>
      </w:pPr>
    </w:p>
    <w:p w14:paraId="041D63EC" w14:textId="77777777"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041D63ED" w14:textId="77777777" w:rsidR="00C92C8B" w:rsidRPr="00C92C8B" w:rsidRDefault="00C92C8B" w:rsidP="00C92C8B">
      <w:pPr>
        <w:pStyle w:val="Odstavecsmlouvy"/>
        <w:numPr>
          <w:ilvl w:val="0"/>
          <w:numId w:val="0"/>
        </w:numPr>
        <w:ind w:left="567"/>
      </w:pPr>
    </w:p>
    <w:p w14:paraId="041D63EE"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041D63EF" w14:textId="77777777" w:rsidR="009F5A27" w:rsidRDefault="009F5A27" w:rsidP="009F5A27">
      <w:pPr>
        <w:pStyle w:val="Odstavecsmlouvy"/>
        <w:numPr>
          <w:ilvl w:val="0"/>
          <w:numId w:val="0"/>
        </w:numPr>
        <w:ind w:left="567"/>
      </w:pPr>
    </w:p>
    <w:p w14:paraId="041D63F0"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573D4244" w14:textId="77777777" w:rsidR="00B76736" w:rsidRDefault="00B76736" w:rsidP="00B76736">
      <w:pPr>
        <w:pStyle w:val="Odstavecsmlouvy"/>
        <w:numPr>
          <w:ilvl w:val="0"/>
          <w:numId w:val="0"/>
        </w:numPr>
        <w:ind w:left="567"/>
      </w:pPr>
    </w:p>
    <w:p w14:paraId="7EC1433C" w14:textId="77777777" w:rsidR="00B76736" w:rsidRDefault="00B76736" w:rsidP="00B76736">
      <w:pPr>
        <w:pStyle w:val="Odstavecsmlouvy"/>
        <w:numPr>
          <w:ilvl w:val="0"/>
          <w:numId w:val="0"/>
        </w:numPr>
        <w:ind w:left="567"/>
      </w:pPr>
    </w:p>
    <w:p w14:paraId="401A830C" w14:textId="77777777" w:rsidR="00B76736" w:rsidRDefault="00B76736" w:rsidP="00B76736">
      <w:pPr>
        <w:pStyle w:val="Odstavecsmlouvy"/>
        <w:numPr>
          <w:ilvl w:val="0"/>
          <w:numId w:val="0"/>
        </w:numPr>
        <w:ind w:left="567"/>
      </w:pPr>
    </w:p>
    <w:p w14:paraId="041D63F1" w14:textId="77777777" w:rsidR="00EE6269" w:rsidRPr="002B77A6" w:rsidRDefault="00EE6269" w:rsidP="00726B26">
      <w:pPr>
        <w:jc w:val="center"/>
        <w:rPr>
          <w:b/>
          <w:bCs/>
        </w:rPr>
      </w:pPr>
    </w:p>
    <w:p w14:paraId="041D63F2" w14:textId="77777777" w:rsidR="00726B26" w:rsidRDefault="00726B26" w:rsidP="00C92C8B">
      <w:pPr>
        <w:pStyle w:val="Nadpis1"/>
      </w:pPr>
      <w:r w:rsidRPr="002B77A6">
        <w:t>Závěrečná ujednání</w:t>
      </w:r>
    </w:p>
    <w:p w14:paraId="041D63F3" w14:textId="77777777" w:rsidR="00726B26" w:rsidRPr="002B77A6" w:rsidRDefault="00726B26" w:rsidP="00726B26">
      <w:pPr>
        <w:jc w:val="center"/>
        <w:rPr>
          <w:b/>
          <w:bCs/>
        </w:rPr>
      </w:pPr>
    </w:p>
    <w:p w14:paraId="041D63F4"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041D63F5" w14:textId="77777777" w:rsidR="00150469" w:rsidRDefault="00150469" w:rsidP="00150469">
      <w:pPr>
        <w:pStyle w:val="Odstavecsmlouvy"/>
        <w:numPr>
          <w:ilvl w:val="0"/>
          <w:numId w:val="0"/>
        </w:numPr>
        <w:ind w:left="567"/>
      </w:pPr>
    </w:p>
    <w:p w14:paraId="041D63F6" w14:textId="77777777" w:rsidR="009F5A27" w:rsidRDefault="009F5A27" w:rsidP="009F5A27">
      <w:pPr>
        <w:pStyle w:val="Odstavecsmlouvy"/>
      </w:pPr>
      <w:r>
        <w:t xml:space="preserve">Tato </w:t>
      </w:r>
      <w:r w:rsidR="00825B3C">
        <w:t>smlouva</w:t>
      </w:r>
      <w:r>
        <w:t xml:space="preserve"> </w:t>
      </w:r>
      <w:r w:rsidR="00575F84">
        <w:t xml:space="preserve">nabývá účinnosti </w:t>
      </w:r>
      <w:r w:rsidR="001B1B66" w:rsidRPr="001B1B66">
        <w:rPr>
          <w:b/>
        </w:rPr>
        <w:t xml:space="preserve">desátý pracovní den po </w:t>
      </w:r>
      <w:r w:rsidR="00575F84" w:rsidRPr="001B1B66">
        <w:rPr>
          <w:b/>
        </w:rPr>
        <w:t>uveřejnění</w:t>
      </w:r>
      <w:r w:rsidR="00575F84">
        <w:t xml:space="preserve"> v registru smluv podle zákona o registru smluv a </w:t>
      </w:r>
      <w:r w:rsidRPr="009F5A27">
        <w:t xml:space="preserve">je uzavřena na dobu </w:t>
      </w:r>
      <w:r w:rsidR="00C7755B" w:rsidRPr="00C7755B">
        <w:rPr>
          <w:b/>
        </w:rPr>
        <w:t>4 let</w:t>
      </w:r>
      <w:r w:rsidRPr="00C7755B">
        <w:t>.</w:t>
      </w:r>
    </w:p>
    <w:p w14:paraId="041D63F7" w14:textId="77777777" w:rsidR="009F5A27" w:rsidRDefault="009F5A27" w:rsidP="009F5A27">
      <w:pPr>
        <w:pStyle w:val="Odstavecsmlouvy"/>
        <w:numPr>
          <w:ilvl w:val="0"/>
          <w:numId w:val="0"/>
        </w:numPr>
        <w:ind w:left="567"/>
      </w:pPr>
    </w:p>
    <w:p w14:paraId="041D63F8"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41D63F9" w14:textId="77777777" w:rsidR="00074676" w:rsidRDefault="00074676" w:rsidP="00074676">
      <w:pPr>
        <w:pStyle w:val="Odstavecsmlouvy"/>
        <w:numPr>
          <w:ilvl w:val="0"/>
          <w:numId w:val="0"/>
        </w:numPr>
        <w:ind w:left="567"/>
      </w:pPr>
    </w:p>
    <w:p w14:paraId="041D63FA" w14:textId="77777777" w:rsidR="001E166C" w:rsidRDefault="001E166C" w:rsidP="001E166C">
      <w:pPr>
        <w:pStyle w:val="Odstavecsmlouvy"/>
      </w:pPr>
      <w:r>
        <w:t xml:space="preserve">Prodávající na sebe přebírá nebezpečí změny okolností dle § 1765 odst. 2 občanského zákoníku. </w:t>
      </w:r>
    </w:p>
    <w:p w14:paraId="041D63FB" w14:textId="77777777" w:rsidR="00544FA6" w:rsidRDefault="00544FA6" w:rsidP="00544FA6">
      <w:pPr>
        <w:pStyle w:val="Odstavecsmlouvy"/>
        <w:numPr>
          <w:ilvl w:val="0"/>
          <w:numId w:val="0"/>
        </w:numPr>
        <w:ind w:left="567"/>
      </w:pPr>
    </w:p>
    <w:p w14:paraId="041D63FC"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041D63FD" w14:textId="77777777" w:rsidR="001D71E3" w:rsidRDefault="001D71E3" w:rsidP="001D71E3">
      <w:pPr>
        <w:pStyle w:val="Odstavecsmlouvy"/>
        <w:numPr>
          <w:ilvl w:val="0"/>
          <w:numId w:val="0"/>
        </w:numPr>
        <w:ind w:left="567"/>
      </w:pPr>
    </w:p>
    <w:p w14:paraId="041D63FE"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041D63FF" w14:textId="77777777" w:rsidR="00C92C8B" w:rsidRDefault="00C92C8B" w:rsidP="00C92C8B">
      <w:pPr>
        <w:pStyle w:val="Odstavecsmlouvy"/>
        <w:numPr>
          <w:ilvl w:val="0"/>
          <w:numId w:val="0"/>
        </w:numPr>
        <w:ind w:left="567"/>
      </w:pPr>
    </w:p>
    <w:p w14:paraId="041D6400"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041D6401" w14:textId="77777777" w:rsidR="001D71E3" w:rsidRPr="001D71E3" w:rsidRDefault="001D71E3" w:rsidP="001D71E3">
      <w:pPr>
        <w:pStyle w:val="Odstavecsmlouvy"/>
        <w:numPr>
          <w:ilvl w:val="0"/>
          <w:numId w:val="0"/>
        </w:numPr>
        <w:ind w:left="567"/>
      </w:pPr>
    </w:p>
    <w:p w14:paraId="041D6402"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041D6403" w14:textId="77777777" w:rsidR="001D71E3" w:rsidRDefault="001D71E3" w:rsidP="001D71E3">
      <w:pPr>
        <w:pStyle w:val="Odstavecsmlouvy"/>
        <w:numPr>
          <w:ilvl w:val="0"/>
          <w:numId w:val="0"/>
        </w:numPr>
        <w:ind w:left="567"/>
      </w:pPr>
    </w:p>
    <w:p w14:paraId="041D6404"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041D6405" w14:textId="77777777" w:rsidR="001D71E3" w:rsidRPr="001D71E3" w:rsidRDefault="001D71E3" w:rsidP="001D71E3">
      <w:pPr>
        <w:pStyle w:val="Odstavecsmlouvy"/>
        <w:numPr>
          <w:ilvl w:val="0"/>
          <w:numId w:val="0"/>
        </w:numPr>
        <w:ind w:left="567"/>
      </w:pPr>
    </w:p>
    <w:p w14:paraId="041D6406" w14:textId="77777777" w:rsidR="00C7755B" w:rsidRPr="007E416F" w:rsidRDefault="00C7755B" w:rsidP="00C7755B">
      <w:pPr>
        <w:pStyle w:val="Odstavecsmlouvy"/>
      </w:pPr>
      <w:r w:rsidRPr="001D71E3">
        <w:rPr>
          <w:snapToGrid w:val="0"/>
        </w:rPr>
        <w:t xml:space="preserve">Tato </w:t>
      </w:r>
      <w:r>
        <w:rPr>
          <w:snapToGrid w:val="0"/>
        </w:rPr>
        <w:t>smlouva</w:t>
      </w:r>
      <w:r w:rsidRPr="00684BFA">
        <w:rPr>
          <w:snapToGrid w:val="0"/>
        </w:rPr>
        <w:t xml:space="preserve"> je sepsána ve </w:t>
      </w:r>
      <w:r>
        <w:rPr>
          <w:snapToGrid w:val="0"/>
        </w:rPr>
        <w:t xml:space="preserve">třech </w:t>
      </w:r>
      <w:r w:rsidRPr="00684BFA">
        <w:rPr>
          <w:snapToGrid w:val="0"/>
        </w:rPr>
        <w:t xml:space="preserve">vyhotoveních stejné platnosti a závaznosti, přičemž </w:t>
      </w:r>
      <w:r>
        <w:rPr>
          <w:snapToGrid w:val="0"/>
        </w:rPr>
        <w:t>Prodávající obdrží jedno vyhotovení a Kupující obdrží dvě vyhotovení.</w:t>
      </w:r>
    </w:p>
    <w:p w14:paraId="041D6407" w14:textId="77777777" w:rsidR="001D71E3" w:rsidRPr="007E416F" w:rsidRDefault="001D71E3" w:rsidP="00C7755B">
      <w:pPr>
        <w:pStyle w:val="Odstavecsmlouvy"/>
        <w:numPr>
          <w:ilvl w:val="0"/>
          <w:numId w:val="0"/>
        </w:numPr>
        <w:ind w:left="567"/>
      </w:pPr>
    </w:p>
    <w:p w14:paraId="041D6408" w14:textId="77777777" w:rsidR="007E416F" w:rsidRDefault="007E416F" w:rsidP="007E416F">
      <w:pPr>
        <w:pStyle w:val="Odstavecsmlouvy"/>
        <w:numPr>
          <w:ilvl w:val="0"/>
          <w:numId w:val="0"/>
        </w:numPr>
        <w:ind w:left="567"/>
      </w:pPr>
    </w:p>
    <w:p w14:paraId="041D6409" w14:textId="77777777" w:rsidR="007E416F" w:rsidRDefault="007E416F" w:rsidP="001D71E3">
      <w:pPr>
        <w:pStyle w:val="Odstavecsmlouvy"/>
      </w:pPr>
      <w:r>
        <w:t xml:space="preserve">Nedílnou součástí této </w:t>
      </w:r>
      <w:r w:rsidR="00825B3C">
        <w:t>smlouvy</w:t>
      </w:r>
      <w:r>
        <w:t xml:space="preserve"> jsou tyto její přílohy:</w:t>
      </w:r>
    </w:p>
    <w:p w14:paraId="041D640A"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041D640B" w14:textId="77777777" w:rsidR="001D71E3" w:rsidRDefault="001D71E3" w:rsidP="001D71E3">
      <w:pPr>
        <w:pStyle w:val="Odstavecsmlouvy"/>
        <w:numPr>
          <w:ilvl w:val="0"/>
          <w:numId w:val="0"/>
        </w:numPr>
        <w:ind w:left="567"/>
      </w:pPr>
    </w:p>
    <w:p w14:paraId="041D640C" w14:textId="77777777" w:rsidR="00726B26" w:rsidRPr="001D71E3" w:rsidRDefault="00726B26" w:rsidP="001D71E3">
      <w:pPr>
        <w:pStyle w:val="Odstavecsmlouvy"/>
      </w:pPr>
      <w:r w:rsidRPr="001D71E3">
        <w:t xml:space="preserve">Smluvní strany prohlašují, že se důkladně seznámily s obsahem této </w:t>
      </w:r>
      <w:r w:rsidR="00825B3C">
        <w:t>smlouvy</w:t>
      </w:r>
      <w:r w:rsidRPr="001D71E3">
        <w:t>, kterému zcela rozumí a plně vyjadřuje jejich svobodnou a vážnou vůli.</w:t>
      </w:r>
    </w:p>
    <w:p w14:paraId="041D640D" w14:textId="77777777" w:rsidR="004A45B0"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18D49B46" w14:textId="77777777" w:rsidR="008B5FD1" w:rsidRDefault="008B5FD1"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p w14:paraId="2F559B68" w14:textId="77777777" w:rsidR="008B5FD1" w:rsidRPr="00D722DC" w:rsidRDefault="008B5FD1"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786"/>
        <w:gridCol w:w="425"/>
        <w:gridCol w:w="4212"/>
      </w:tblGrid>
      <w:tr w:rsidR="004A45B0" w:rsidRPr="00D722DC" w14:paraId="041D6411" w14:textId="77777777" w:rsidTr="00AE7DAE">
        <w:tc>
          <w:tcPr>
            <w:tcW w:w="4786" w:type="dxa"/>
            <w:shd w:val="clear" w:color="auto" w:fill="auto"/>
          </w:tcPr>
          <w:p w14:paraId="041D640E" w14:textId="2E67DE0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E7DAE">
              <w:rPr>
                <w:sz w:val="22"/>
                <w:szCs w:val="22"/>
              </w:rPr>
              <w:t>Ostravě</w:t>
            </w:r>
            <w:r w:rsidRPr="00D722DC">
              <w:rPr>
                <w:sz w:val="22"/>
                <w:szCs w:val="22"/>
              </w:rPr>
              <w:t xml:space="preserve"> dne</w:t>
            </w:r>
          </w:p>
        </w:tc>
        <w:tc>
          <w:tcPr>
            <w:tcW w:w="425" w:type="dxa"/>
            <w:shd w:val="clear" w:color="auto" w:fill="auto"/>
          </w:tcPr>
          <w:p w14:paraId="041D640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041D6410"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041D641A" w14:textId="77777777" w:rsidTr="00AE7DAE">
        <w:tc>
          <w:tcPr>
            <w:tcW w:w="4786" w:type="dxa"/>
            <w:tcBorders>
              <w:bottom w:val="single" w:sz="4" w:space="0" w:color="auto"/>
            </w:tcBorders>
            <w:shd w:val="clear" w:color="auto" w:fill="auto"/>
          </w:tcPr>
          <w:p w14:paraId="041D641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41D641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41D6414" w14:textId="77777777" w:rsidR="004A45B0" w:rsidRDefault="004A45B0" w:rsidP="005B49AA">
            <w:pPr>
              <w:pStyle w:val="slovn"/>
              <w:numPr>
                <w:ilvl w:val="0"/>
                <w:numId w:val="0"/>
              </w:numPr>
              <w:tabs>
                <w:tab w:val="num" w:pos="567"/>
              </w:tabs>
              <w:spacing w:after="0" w:line="280" w:lineRule="atLeast"/>
              <w:rPr>
                <w:sz w:val="22"/>
                <w:szCs w:val="22"/>
              </w:rPr>
            </w:pPr>
          </w:p>
          <w:p w14:paraId="041D6415"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041D641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041D641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5" w:type="dxa"/>
            <w:shd w:val="clear" w:color="auto" w:fill="auto"/>
          </w:tcPr>
          <w:p w14:paraId="041D641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041D641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41D6420" w14:textId="77777777" w:rsidTr="00777C39">
        <w:trPr>
          <w:trHeight w:val="528"/>
        </w:trPr>
        <w:tc>
          <w:tcPr>
            <w:tcW w:w="4786" w:type="dxa"/>
            <w:tcBorders>
              <w:top w:val="single" w:sz="4" w:space="0" w:color="auto"/>
            </w:tcBorders>
            <w:shd w:val="clear" w:color="auto" w:fill="auto"/>
          </w:tcPr>
          <w:p w14:paraId="041D641B" w14:textId="78051F97" w:rsidR="004A45B0" w:rsidRPr="00D722DC" w:rsidRDefault="00AE7DAE" w:rsidP="005B49AA">
            <w:pPr>
              <w:pStyle w:val="slovn"/>
              <w:numPr>
                <w:ilvl w:val="0"/>
                <w:numId w:val="0"/>
              </w:numPr>
              <w:tabs>
                <w:tab w:val="num" w:pos="567"/>
              </w:tabs>
              <w:spacing w:after="0" w:line="280" w:lineRule="atLeast"/>
              <w:jc w:val="center"/>
              <w:rPr>
                <w:b/>
                <w:sz w:val="22"/>
                <w:szCs w:val="22"/>
              </w:rPr>
            </w:pPr>
            <w:r>
              <w:rPr>
                <w:b/>
                <w:sz w:val="22"/>
                <w:szCs w:val="22"/>
              </w:rPr>
              <w:t xml:space="preserve">PHARMOS, a.s. </w:t>
            </w:r>
          </w:p>
          <w:p w14:paraId="041D641C" w14:textId="2E4BE088" w:rsidR="004A45B0" w:rsidRPr="00D722DC" w:rsidRDefault="00777C39" w:rsidP="00AE7DAE">
            <w:pPr>
              <w:pStyle w:val="slovn"/>
              <w:numPr>
                <w:ilvl w:val="0"/>
                <w:numId w:val="0"/>
              </w:numPr>
              <w:tabs>
                <w:tab w:val="num" w:pos="567"/>
              </w:tabs>
              <w:spacing w:after="0" w:line="280" w:lineRule="atLeast"/>
              <w:jc w:val="center"/>
              <w:rPr>
                <w:sz w:val="22"/>
                <w:szCs w:val="22"/>
              </w:rPr>
            </w:pPr>
            <w:r>
              <w:rPr>
                <w:sz w:val="22"/>
                <w:szCs w:val="22"/>
              </w:rPr>
              <w:t>XXXX</w:t>
            </w:r>
          </w:p>
        </w:tc>
        <w:tc>
          <w:tcPr>
            <w:tcW w:w="425" w:type="dxa"/>
            <w:shd w:val="clear" w:color="auto" w:fill="auto"/>
          </w:tcPr>
          <w:p w14:paraId="041D641D"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041D64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041D641F" w14:textId="5B55B9C6" w:rsidR="004A45B0" w:rsidRPr="00D722DC" w:rsidRDefault="00777C39" w:rsidP="001F7596">
            <w:pPr>
              <w:pStyle w:val="slovn"/>
              <w:numPr>
                <w:ilvl w:val="0"/>
                <w:numId w:val="0"/>
              </w:numPr>
              <w:tabs>
                <w:tab w:val="num" w:pos="567"/>
              </w:tabs>
              <w:spacing w:after="0" w:line="280" w:lineRule="atLeast"/>
              <w:jc w:val="center"/>
              <w:rPr>
                <w:sz w:val="22"/>
                <w:szCs w:val="22"/>
              </w:rPr>
            </w:pPr>
            <w:r>
              <w:rPr>
                <w:sz w:val="22"/>
                <w:szCs w:val="22"/>
              </w:rPr>
              <w:t>XXXX</w:t>
            </w:r>
          </w:p>
        </w:tc>
      </w:tr>
    </w:tbl>
    <w:p w14:paraId="041D6421" w14:textId="77777777" w:rsidR="000729CF" w:rsidRPr="00D722DC" w:rsidRDefault="000729CF" w:rsidP="000729CF"/>
    <w:p w14:paraId="68D4C43C" w14:textId="77777777" w:rsidR="00AE7DAE" w:rsidRDefault="00AE7DAE" w:rsidP="007E416F">
      <w:pPr>
        <w:jc w:val="center"/>
        <w:rPr>
          <w:b/>
        </w:rPr>
        <w:sectPr w:rsidR="00AE7DAE" w:rsidSect="00D930BD">
          <w:footerReference w:type="default" r:id="rId13"/>
          <w:footerReference w:type="first" r:id="rId14"/>
          <w:pgSz w:w="11906" w:h="16838"/>
          <w:pgMar w:top="1417" w:right="926" w:bottom="1417" w:left="900" w:header="709" w:footer="708" w:gutter="0"/>
          <w:cols w:space="708"/>
          <w:titlePg/>
          <w:docGrid w:linePitch="360"/>
        </w:sectPr>
      </w:pPr>
    </w:p>
    <w:p w14:paraId="041D6422" w14:textId="4CDD8219" w:rsidR="007E416F" w:rsidRPr="000729CF" w:rsidRDefault="00575F84" w:rsidP="007E416F">
      <w:pPr>
        <w:jc w:val="center"/>
        <w:rPr>
          <w:b/>
        </w:rPr>
      </w:pPr>
      <w:r>
        <w:rPr>
          <w:b/>
        </w:rPr>
        <w:t xml:space="preserve">PŘÍLOHA Č. </w:t>
      </w:r>
      <w:r w:rsidR="000A5B93">
        <w:rPr>
          <w:b/>
        </w:rPr>
        <w:t>1</w:t>
      </w:r>
    </w:p>
    <w:p w14:paraId="041D6423" w14:textId="77777777" w:rsidR="007E416F" w:rsidRPr="000729CF" w:rsidRDefault="007E416F" w:rsidP="007E416F">
      <w:pPr>
        <w:jc w:val="center"/>
        <w:rPr>
          <w:b/>
        </w:rPr>
      </w:pPr>
    </w:p>
    <w:p w14:paraId="041D6424" w14:textId="77777777" w:rsidR="007E416F" w:rsidRPr="000729CF" w:rsidRDefault="00074676" w:rsidP="007E416F">
      <w:pPr>
        <w:jc w:val="center"/>
        <w:rPr>
          <w:b/>
        </w:rPr>
      </w:pPr>
      <w:r w:rsidRPr="00074676">
        <w:rPr>
          <w:b/>
        </w:rPr>
        <w:t>Specifikace Zboží a jednotkové kupní ceny</w:t>
      </w:r>
    </w:p>
    <w:p w14:paraId="041D6425" w14:textId="77777777" w:rsidR="00896745" w:rsidRDefault="00896745" w:rsidP="00896745">
      <w:pPr>
        <w:rPr>
          <w:b/>
        </w:rPr>
      </w:pPr>
    </w:p>
    <w:tbl>
      <w:tblPr>
        <w:tblW w:w="15507" w:type="dxa"/>
        <w:tblInd w:w="-861" w:type="dxa"/>
        <w:tblCellMar>
          <w:left w:w="70" w:type="dxa"/>
          <w:right w:w="70" w:type="dxa"/>
        </w:tblCellMar>
        <w:tblLook w:val="04A0" w:firstRow="1" w:lastRow="0" w:firstColumn="1" w:lastColumn="0" w:noHBand="0" w:noVBand="1"/>
      </w:tblPr>
      <w:tblGrid>
        <w:gridCol w:w="494"/>
        <w:gridCol w:w="1014"/>
        <w:gridCol w:w="789"/>
        <w:gridCol w:w="1674"/>
        <w:gridCol w:w="1134"/>
        <w:gridCol w:w="1417"/>
        <w:gridCol w:w="1032"/>
        <w:gridCol w:w="952"/>
        <w:gridCol w:w="1367"/>
        <w:gridCol w:w="1871"/>
        <w:gridCol w:w="1637"/>
        <w:gridCol w:w="2126"/>
      </w:tblGrid>
      <w:tr w:rsidR="00050ABE" w:rsidRPr="00050ABE" w14:paraId="431B53CB" w14:textId="77777777" w:rsidTr="00050ABE">
        <w:trPr>
          <w:trHeight w:val="1275"/>
        </w:trPr>
        <w:tc>
          <w:tcPr>
            <w:tcW w:w="0" w:type="auto"/>
            <w:tcBorders>
              <w:top w:val="single" w:sz="8" w:space="0" w:color="auto"/>
              <w:left w:val="single" w:sz="8" w:space="0" w:color="auto"/>
              <w:bottom w:val="single" w:sz="4" w:space="0" w:color="auto"/>
              <w:right w:val="single" w:sz="4" w:space="0" w:color="auto"/>
            </w:tcBorders>
            <w:shd w:val="clear" w:color="000000" w:fill="E2EFDA"/>
            <w:vAlign w:val="center"/>
            <w:hideMark/>
          </w:tcPr>
          <w:p w14:paraId="6D6E8DE9"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Část</w:t>
            </w:r>
          </w:p>
        </w:tc>
        <w:tc>
          <w:tcPr>
            <w:tcW w:w="0" w:type="auto"/>
            <w:tcBorders>
              <w:top w:val="single" w:sz="8" w:space="0" w:color="auto"/>
              <w:left w:val="nil"/>
              <w:bottom w:val="single" w:sz="4" w:space="0" w:color="auto"/>
              <w:right w:val="single" w:sz="4" w:space="0" w:color="auto"/>
            </w:tcBorders>
            <w:shd w:val="clear" w:color="000000" w:fill="E2EFDA"/>
            <w:vAlign w:val="center"/>
            <w:hideMark/>
          </w:tcPr>
          <w:p w14:paraId="45470786"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Účinná látka</w:t>
            </w:r>
          </w:p>
        </w:tc>
        <w:tc>
          <w:tcPr>
            <w:tcW w:w="0" w:type="auto"/>
            <w:tcBorders>
              <w:top w:val="single" w:sz="8" w:space="0" w:color="auto"/>
              <w:left w:val="nil"/>
              <w:bottom w:val="single" w:sz="4" w:space="0" w:color="auto"/>
              <w:right w:val="single" w:sz="4" w:space="0" w:color="auto"/>
            </w:tcBorders>
            <w:shd w:val="clear" w:color="000000" w:fill="E2EFDA"/>
            <w:vAlign w:val="center"/>
            <w:hideMark/>
          </w:tcPr>
          <w:p w14:paraId="50F87E77"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ATC</w:t>
            </w:r>
          </w:p>
        </w:tc>
        <w:tc>
          <w:tcPr>
            <w:tcW w:w="1674" w:type="dxa"/>
            <w:tcBorders>
              <w:top w:val="single" w:sz="8" w:space="0" w:color="auto"/>
              <w:left w:val="nil"/>
              <w:bottom w:val="single" w:sz="4" w:space="0" w:color="auto"/>
              <w:right w:val="single" w:sz="4" w:space="0" w:color="auto"/>
            </w:tcBorders>
            <w:shd w:val="clear" w:color="000000" w:fill="E2EFDA"/>
            <w:vAlign w:val="center"/>
            <w:hideMark/>
          </w:tcPr>
          <w:p w14:paraId="68186C73"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Název léčivého přípravku</w:t>
            </w:r>
          </w:p>
        </w:tc>
        <w:tc>
          <w:tcPr>
            <w:tcW w:w="1134" w:type="dxa"/>
            <w:tcBorders>
              <w:top w:val="single" w:sz="8" w:space="0" w:color="auto"/>
              <w:left w:val="nil"/>
              <w:bottom w:val="single" w:sz="4" w:space="0" w:color="auto"/>
              <w:right w:val="single" w:sz="4" w:space="0" w:color="auto"/>
            </w:tcBorders>
            <w:shd w:val="clear" w:color="000000" w:fill="E2EFDA"/>
            <w:vAlign w:val="center"/>
            <w:hideMark/>
          </w:tcPr>
          <w:p w14:paraId="0C057416"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Velikost balení</w:t>
            </w:r>
          </w:p>
        </w:tc>
        <w:tc>
          <w:tcPr>
            <w:tcW w:w="1417" w:type="dxa"/>
            <w:tcBorders>
              <w:top w:val="single" w:sz="8" w:space="0" w:color="auto"/>
              <w:left w:val="nil"/>
              <w:bottom w:val="single" w:sz="4" w:space="0" w:color="auto"/>
              <w:right w:val="single" w:sz="4" w:space="0" w:color="auto"/>
            </w:tcBorders>
            <w:shd w:val="clear" w:color="000000" w:fill="E2EFDA"/>
            <w:vAlign w:val="center"/>
            <w:hideMark/>
          </w:tcPr>
          <w:p w14:paraId="48433095"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 xml:space="preserve">Předpokládané množství </w:t>
            </w:r>
            <w:proofErr w:type="gramStart"/>
            <w:r w:rsidRPr="00050ABE">
              <w:rPr>
                <w:rFonts w:ascii="Calibri" w:hAnsi="Calibri" w:cs="Calibri"/>
                <w:b/>
                <w:bCs/>
                <w:color w:val="000000"/>
                <w:sz w:val="20"/>
                <w:szCs w:val="20"/>
              </w:rPr>
              <w:t>balení  za</w:t>
            </w:r>
            <w:proofErr w:type="gramEnd"/>
            <w:r w:rsidRPr="00050ABE">
              <w:rPr>
                <w:rFonts w:ascii="Calibri" w:hAnsi="Calibri" w:cs="Calibri"/>
                <w:b/>
                <w:bCs/>
                <w:color w:val="000000"/>
                <w:sz w:val="20"/>
                <w:szCs w:val="20"/>
              </w:rPr>
              <w:t xml:space="preserve"> 4 roky</w:t>
            </w:r>
          </w:p>
        </w:tc>
        <w:tc>
          <w:tcPr>
            <w:tcW w:w="1032" w:type="dxa"/>
            <w:tcBorders>
              <w:top w:val="single" w:sz="8" w:space="0" w:color="auto"/>
              <w:left w:val="nil"/>
              <w:bottom w:val="single" w:sz="4" w:space="0" w:color="auto"/>
              <w:right w:val="single" w:sz="4" w:space="0" w:color="auto"/>
            </w:tcBorders>
            <w:shd w:val="clear" w:color="000000" w:fill="E2EFDA"/>
            <w:vAlign w:val="center"/>
            <w:hideMark/>
          </w:tcPr>
          <w:p w14:paraId="54AB8DA2"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 xml:space="preserve">Nabídková cena za 1 </w:t>
            </w:r>
            <w:proofErr w:type="gramStart"/>
            <w:r w:rsidRPr="00050ABE">
              <w:rPr>
                <w:rFonts w:ascii="Calibri" w:hAnsi="Calibri" w:cs="Calibri"/>
                <w:b/>
                <w:bCs/>
                <w:color w:val="000000"/>
                <w:sz w:val="20"/>
                <w:szCs w:val="20"/>
              </w:rPr>
              <w:t>balení  v Kč</w:t>
            </w:r>
            <w:proofErr w:type="gramEnd"/>
            <w:r w:rsidRPr="00050ABE">
              <w:rPr>
                <w:rFonts w:ascii="Calibri" w:hAnsi="Calibri" w:cs="Calibri"/>
                <w:b/>
                <w:bCs/>
                <w:color w:val="000000"/>
                <w:sz w:val="20"/>
                <w:szCs w:val="20"/>
              </w:rPr>
              <w:t xml:space="preserve"> s DPH</w:t>
            </w:r>
          </w:p>
        </w:tc>
        <w:tc>
          <w:tcPr>
            <w:tcW w:w="952" w:type="dxa"/>
            <w:tcBorders>
              <w:top w:val="single" w:sz="8" w:space="0" w:color="auto"/>
              <w:left w:val="nil"/>
              <w:bottom w:val="single" w:sz="4" w:space="0" w:color="auto"/>
              <w:right w:val="single" w:sz="4" w:space="0" w:color="auto"/>
            </w:tcBorders>
            <w:shd w:val="clear" w:color="000000" w:fill="E2EFDA"/>
            <w:vAlign w:val="center"/>
            <w:hideMark/>
          </w:tcPr>
          <w:p w14:paraId="546560F5"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DPH 10 %</w:t>
            </w:r>
          </w:p>
        </w:tc>
        <w:tc>
          <w:tcPr>
            <w:tcW w:w="0" w:type="auto"/>
            <w:tcBorders>
              <w:top w:val="single" w:sz="8" w:space="0" w:color="auto"/>
              <w:left w:val="nil"/>
              <w:bottom w:val="single" w:sz="4" w:space="0" w:color="auto"/>
              <w:right w:val="single" w:sz="4" w:space="0" w:color="auto"/>
            </w:tcBorders>
            <w:shd w:val="clear" w:color="000000" w:fill="E2EFDA"/>
            <w:vAlign w:val="center"/>
            <w:hideMark/>
          </w:tcPr>
          <w:p w14:paraId="5045806D"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 xml:space="preserve">Nabídková cena za 1 </w:t>
            </w:r>
            <w:proofErr w:type="gramStart"/>
            <w:r w:rsidRPr="00050ABE">
              <w:rPr>
                <w:rFonts w:ascii="Calibri" w:hAnsi="Calibri" w:cs="Calibri"/>
                <w:b/>
                <w:bCs/>
                <w:color w:val="000000"/>
                <w:sz w:val="20"/>
                <w:szCs w:val="20"/>
              </w:rPr>
              <w:t>balení  v Kč</w:t>
            </w:r>
            <w:proofErr w:type="gramEnd"/>
            <w:r w:rsidRPr="00050ABE">
              <w:rPr>
                <w:rFonts w:ascii="Calibri" w:hAnsi="Calibri" w:cs="Calibri"/>
                <w:b/>
                <w:bCs/>
                <w:color w:val="000000"/>
                <w:sz w:val="20"/>
                <w:szCs w:val="20"/>
              </w:rPr>
              <w:t xml:space="preserve"> bez DPH</w:t>
            </w:r>
          </w:p>
        </w:tc>
        <w:tc>
          <w:tcPr>
            <w:tcW w:w="0" w:type="auto"/>
            <w:tcBorders>
              <w:top w:val="single" w:sz="8" w:space="0" w:color="auto"/>
              <w:left w:val="nil"/>
              <w:bottom w:val="single" w:sz="4" w:space="0" w:color="auto"/>
              <w:right w:val="single" w:sz="4" w:space="0" w:color="auto"/>
            </w:tcBorders>
            <w:shd w:val="clear" w:color="000000" w:fill="E2EFDA"/>
            <w:vAlign w:val="center"/>
            <w:hideMark/>
          </w:tcPr>
          <w:p w14:paraId="155CC53E"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 xml:space="preserve">Celková cena za </w:t>
            </w:r>
            <w:proofErr w:type="spellStart"/>
            <w:r w:rsidRPr="00050ABE">
              <w:rPr>
                <w:rFonts w:ascii="Calibri" w:hAnsi="Calibri" w:cs="Calibri"/>
                <w:b/>
                <w:bCs/>
                <w:color w:val="000000"/>
                <w:sz w:val="20"/>
                <w:szCs w:val="20"/>
              </w:rPr>
              <w:t>předpokl</w:t>
            </w:r>
            <w:proofErr w:type="spellEnd"/>
            <w:r w:rsidRPr="00050ABE">
              <w:rPr>
                <w:rFonts w:ascii="Calibri" w:hAnsi="Calibri" w:cs="Calibri"/>
                <w:b/>
                <w:bCs/>
                <w:color w:val="000000"/>
                <w:sz w:val="20"/>
                <w:szCs w:val="20"/>
              </w:rPr>
              <w:t>. množství odebíraných balení za 4 roky v Kč s DPH</w:t>
            </w:r>
          </w:p>
        </w:tc>
        <w:tc>
          <w:tcPr>
            <w:tcW w:w="1637" w:type="dxa"/>
            <w:tcBorders>
              <w:top w:val="single" w:sz="8" w:space="0" w:color="auto"/>
              <w:left w:val="nil"/>
              <w:bottom w:val="single" w:sz="4" w:space="0" w:color="auto"/>
              <w:right w:val="single" w:sz="4" w:space="0" w:color="auto"/>
            </w:tcBorders>
            <w:shd w:val="clear" w:color="000000" w:fill="E2EFDA"/>
            <w:vAlign w:val="center"/>
            <w:hideMark/>
          </w:tcPr>
          <w:p w14:paraId="2307A7BA"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 xml:space="preserve">DPH 10 % za celé </w:t>
            </w:r>
            <w:proofErr w:type="spellStart"/>
            <w:r w:rsidRPr="00050ABE">
              <w:rPr>
                <w:rFonts w:ascii="Calibri" w:hAnsi="Calibri" w:cs="Calibri"/>
                <w:b/>
                <w:bCs/>
                <w:color w:val="000000"/>
                <w:sz w:val="20"/>
                <w:szCs w:val="20"/>
              </w:rPr>
              <w:t>množtví</w:t>
            </w:r>
            <w:proofErr w:type="spellEnd"/>
            <w:r w:rsidRPr="00050ABE">
              <w:rPr>
                <w:rFonts w:ascii="Calibri" w:hAnsi="Calibri" w:cs="Calibri"/>
                <w:b/>
                <w:bCs/>
                <w:color w:val="000000"/>
                <w:sz w:val="20"/>
                <w:szCs w:val="20"/>
              </w:rPr>
              <w:t xml:space="preserve"> </w:t>
            </w:r>
          </w:p>
        </w:tc>
        <w:tc>
          <w:tcPr>
            <w:tcW w:w="2126" w:type="dxa"/>
            <w:tcBorders>
              <w:top w:val="single" w:sz="8" w:space="0" w:color="auto"/>
              <w:left w:val="nil"/>
              <w:bottom w:val="single" w:sz="4" w:space="0" w:color="auto"/>
              <w:right w:val="single" w:sz="8" w:space="0" w:color="auto"/>
            </w:tcBorders>
            <w:shd w:val="clear" w:color="000000" w:fill="E2EFDA"/>
            <w:vAlign w:val="center"/>
            <w:hideMark/>
          </w:tcPr>
          <w:p w14:paraId="77BA59FE"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 xml:space="preserve">Celková cena za </w:t>
            </w:r>
            <w:proofErr w:type="spellStart"/>
            <w:r w:rsidRPr="00050ABE">
              <w:rPr>
                <w:rFonts w:ascii="Calibri" w:hAnsi="Calibri" w:cs="Calibri"/>
                <w:b/>
                <w:bCs/>
                <w:color w:val="000000"/>
                <w:sz w:val="20"/>
                <w:szCs w:val="20"/>
              </w:rPr>
              <w:t>předpokl.množství</w:t>
            </w:r>
            <w:proofErr w:type="spellEnd"/>
            <w:r w:rsidRPr="00050ABE">
              <w:rPr>
                <w:rFonts w:ascii="Calibri" w:hAnsi="Calibri" w:cs="Calibri"/>
                <w:b/>
                <w:bCs/>
                <w:color w:val="000000"/>
                <w:sz w:val="20"/>
                <w:szCs w:val="20"/>
              </w:rPr>
              <w:t xml:space="preserve"> odebíraných balení za 4 roky v Kč bez DPH</w:t>
            </w:r>
          </w:p>
        </w:tc>
      </w:tr>
      <w:tr w:rsidR="00777C39" w:rsidRPr="00050ABE" w14:paraId="132DEB59" w14:textId="77777777" w:rsidTr="00FE5989">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0A6A6997"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2,1</w:t>
            </w:r>
          </w:p>
        </w:tc>
        <w:tc>
          <w:tcPr>
            <w:tcW w:w="0" w:type="auto"/>
            <w:tcBorders>
              <w:top w:val="nil"/>
              <w:left w:val="nil"/>
              <w:bottom w:val="single" w:sz="4" w:space="0" w:color="000000"/>
              <w:right w:val="single" w:sz="4" w:space="0" w:color="000000"/>
            </w:tcBorders>
            <w:shd w:val="clear" w:color="auto" w:fill="auto"/>
            <w:vAlign w:val="center"/>
            <w:hideMark/>
          </w:tcPr>
          <w:p w14:paraId="2F618D57"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Koagulační faktor IX</w:t>
            </w:r>
          </w:p>
        </w:tc>
        <w:tc>
          <w:tcPr>
            <w:tcW w:w="0" w:type="auto"/>
            <w:tcBorders>
              <w:top w:val="nil"/>
              <w:left w:val="nil"/>
              <w:bottom w:val="single" w:sz="4" w:space="0" w:color="000000"/>
              <w:right w:val="single" w:sz="4" w:space="0" w:color="000000"/>
            </w:tcBorders>
            <w:shd w:val="clear" w:color="auto" w:fill="auto"/>
            <w:vAlign w:val="center"/>
            <w:hideMark/>
          </w:tcPr>
          <w:p w14:paraId="4C780105"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B02BD04</w:t>
            </w:r>
          </w:p>
        </w:tc>
        <w:tc>
          <w:tcPr>
            <w:tcW w:w="1674" w:type="dxa"/>
            <w:tcBorders>
              <w:top w:val="nil"/>
              <w:left w:val="nil"/>
              <w:bottom w:val="single" w:sz="4" w:space="0" w:color="000000"/>
              <w:right w:val="single" w:sz="4" w:space="0" w:color="000000"/>
            </w:tcBorders>
            <w:shd w:val="clear" w:color="auto" w:fill="auto"/>
            <w:vAlign w:val="center"/>
            <w:hideMark/>
          </w:tcPr>
          <w:p w14:paraId="32CC026C" w14:textId="77777777" w:rsidR="00777C39" w:rsidRPr="00050ABE" w:rsidRDefault="00777C39" w:rsidP="00777C39">
            <w:pPr>
              <w:spacing w:line="240" w:lineRule="auto"/>
              <w:jc w:val="center"/>
              <w:rPr>
                <w:rFonts w:ascii="Times New Roman" w:hAnsi="Times New Roman" w:cs="Times New Roman"/>
                <w:b/>
                <w:bCs/>
                <w:color w:val="000000"/>
                <w:sz w:val="16"/>
                <w:szCs w:val="16"/>
              </w:rPr>
            </w:pPr>
            <w:proofErr w:type="spellStart"/>
            <w:r w:rsidRPr="00050ABE">
              <w:rPr>
                <w:rFonts w:ascii="Times New Roman" w:hAnsi="Times New Roman" w:cs="Times New Roman"/>
                <w:b/>
                <w:bCs/>
                <w:color w:val="000000"/>
                <w:sz w:val="16"/>
                <w:szCs w:val="16"/>
              </w:rPr>
              <w:t>Alprolix</w:t>
            </w:r>
            <w:proofErr w:type="spellEnd"/>
            <w:r w:rsidRPr="00050ABE">
              <w:rPr>
                <w:rFonts w:ascii="Times New Roman" w:hAnsi="Times New Roman" w:cs="Times New Roman"/>
                <w:b/>
                <w:bCs/>
                <w:color w:val="000000"/>
                <w:sz w:val="16"/>
                <w:szCs w:val="16"/>
              </w:rPr>
              <w:t xml:space="preserve"> 500iu </w:t>
            </w:r>
            <w:proofErr w:type="spellStart"/>
            <w:r w:rsidRPr="00050ABE">
              <w:rPr>
                <w:rFonts w:ascii="Times New Roman" w:hAnsi="Times New Roman" w:cs="Times New Roman"/>
                <w:b/>
                <w:bCs/>
                <w:color w:val="000000"/>
                <w:sz w:val="16"/>
                <w:szCs w:val="16"/>
              </w:rPr>
              <w:t>Inj</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Pso</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Lqf</w:t>
            </w:r>
            <w:proofErr w:type="spellEnd"/>
            <w:r w:rsidRPr="00050ABE">
              <w:rPr>
                <w:rFonts w:ascii="Times New Roman" w:hAnsi="Times New Roman" w:cs="Times New Roman"/>
                <w:b/>
                <w:bCs/>
                <w:color w:val="000000"/>
                <w:sz w:val="16"/>
                <w:szCs w:val="16"/>
              </w:rPr>
              <w:t xml:space="preserve"> 1+1x5ml </w:t>
            </w:r>
            <w:proofErr w:type="spellStart"/>
            <w:r w:rsidRPr="00050ABE">
              <w:rPr>
                <w:rFonts w:ascii="Times New Roman" w:hAnsi="Times New Roman" w:cs="Times New Roman"/>
                <w:b/>
                <w:bCs/>
                <w:color w:val="000000"/>
                <w:sz w:val="16"/>
                <w:szCs w:val="16"/>
              </w:rPr>
              <w:t>Isp</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5785A866" w14:textId="77777777" w:rsidR="00777C39" w:rsidRPr="00050ABE" w:rsidRDefault="00777C39" w:rsidP="00777C39">
            <w:pPr>
              <w:spacing w:line="240" w:lineRule="auto"/>
              <w:jc w:val="center"/>
              <w:rPr>
                <w:rFonts w:ascii="Calibri" w:hAnsi="Calibri" w:cs="Calibri"/>
                <w:b/>
                <w:bCs/>
                <w:color w:val="000000"/>
                <w:sz w:val="20"/>
                <w:szCs w:val="20"/>
              </w:rPr>
            </w:pPr>
            <w:proofErr w:type="spellStart"/>
            <w:r w:rsidRPr="00050ABE">
              <w:rPr>
                <w:rFonts w:ascii="Calibri" w:hAnsi="Calibri" w:cs="Calibri"/>
                <w:b/>
                <w:bCs/>
                <w:color w:val="000000"/>
                <w:sz w:val="20"/>
                <w:szCs w:val="20"/>
              </w:rPr>
              <w:t>Inj</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Pso</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Lqf</w:t>
            </w:r>
            <w:proofErr w:type="spellEnd"/>
            <w:r w:rsidRPr="00050ABE">
              <w:rPr>
                <w:rFonts w:ascii="Calibri" w:hAnsi="Calibri" w:cs="Calibri"/>
                <w:b/>
                <w:bCs/>
                <w:color w:val="000000"/>
                <w:sz w:val="20"/>
                <w:szCs w:val="20"/>
              </w:rPr>
              <w:t xml:space="preserve"> 1+1x5ml </w:t>
            </w:r>
            <w:proofErr w:type="spellStart"/>
            <w:r w:rsidRPr="00050ABE">
              <w:rPr>
                <w:rFonts w:ascii="Calibri" w:hAnsi="Calibri" w:cs="Calibri"/>
                <w:b/>
                <w:bCs/>
                <w:color w:val="000000"/>
                <w:sz w:val="20"/>
                <w:szCs w:val="20"/>
              </w:rPr>
              <w:t>Isp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3D9A2F9D"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40</w:t>
            </w:r>
          </w:p>
        </w:tc>
        <w:tc>
          <w:tcPr>
            <w:tcW w:w="1032" w:type="dxa"/>
            <w:tcBorders>
              <w:top w:val="nil"/>
              <w:left w:val="nil"/>
              <w:bottom w:val="single" w:sz="4" w:space="0" w:color="auto"/>
              <w:right w:val="single" w:sz="4" w:space="0" w:color="auto"/>
            </w:tcBorders>
            <w:shd w:val="clear" w:color="auto" w:fill="auto"/>
            <w:vAlign w:val="center"/>
            <w:hideMark/>
          </w:tcPr>
          <w:p w14:paraId="5F217CB7" w14:textId="2979FAE4" w:rsidR="00777C39" w:rsidRPr="00050ABE" w:rsidRDefault="00777C39" w:rsidP="00777C39">
            <w:pPr>
              <w:spacing w:line="240" w:lineRule="auto"/>
              <w:jc w:val="center"/>
              <w:rPr>
                <w:rFonts w:ascii="Calibri" w:hAnsi="Calibri" w:cs="Calibri"/>
                <w:b/>
                <w:bCs/>
                <w:color w:val="000000"/>
                <w:sz w:val="20"/>
                <w:szCs w:val="20"/>
              </w:rPr>
            </w:pPr>
            <w:r>
              <w:rPr>
                <w:rFonts w:ascii="Calibri" w:hAnsi="Calibri" w:cs="Calibri"/>
                <w:b/>
                <w:bCs/>
                <w:color w:val="000000"/>
                <w:sz w:val="20"/>
                <w:szCs w:val="20"/>
              </w:rPr>
              <w:t>XXX</w:t>
            </w:r>
          </w:p>
        </w:tc>
        <w:tc>
          <w:tcPr>
            <w:tcW w:w="952" w:type="dxa"/>
            <w:tcBorders>
              <w:top w:val="nil"/>
              <w:left w:val="nil"/>
              <w:bottom w:val="single" w:sz="4" w:space="0" w:color="auto"/>
              <w:right w:val="single" w:sz="4" w:space="0" w:color="auto"/>
            </w:tcBorders>
            <w:shd w:val="clear" w:color="auto" w:fill="auto"/>
            <w:hideMark/>
          </w:tcPr>
          <w:p w14:paraId="22BA5ACA" w14:textId="2DA69643"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6239B6D8" w14:textId="2F7CC962"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5B2876E6" w14:textId="684DC9D3"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1637" w:type="dxa"/>
            <w:tcBorders>
              <w:top w:val="nil"/>
              <w:left w:val="nil"/>
              <w:bottom w:val="single" w:sz="4" w:space="0" w:color="auto"/>
              <w:right w:val="single" w:sz="4" w:space="0" w:color="auto"/>
            </w:tcBorders>
            <w:shd w:val="clear" w:color="auto" w:fill="auto"/>
            <w:hideMark/>
          </w:tcPr>
          <w:p w14:paraId="3A664E1D" w14:textId="1C875A22"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2126" w:type="dxa"/>
            <w:tcBorders>
              <w:top w:val="nil"/>
              <w:left w:val="nil"/>
              <w:bottom w:val="single" w:sz="4" w:space="0" w:color="auto"/>
              <w:right w:val="single" w:sz="4" w:space="0" w:color="auto"/>
            </w:tcBorders>
            <w:shd w:val="clear" w:color="auto" w:fill="auto"/>
            <w:hideMark/>
          </w:tcPr>
          <w:p w14:paraId="01CF9258" w14:textId="5E0DF01C"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r>
      <w:tr w:rsidR="00777C39" w:rsidRPr="00050ABE" w14:paraId="6F02A315" w14:textId="77777777" w:rsidTr="003C0BD8">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63AA83B5"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2,2</w:t>
            </w:r>
          </w:p>
        </w:tc>
        <w:tc>
          <w:tcPr>
            <w:tcW w:w="0" w:type="auto"/>
            <w:tcBorders>
              <w:top w:val="nil"/>
              <w:left w:val="nil"/>
              <w:bottom w:val="single" w:sz="4" w:space="0" w:color="000000"/>
              <w:right w:val="single" w:sz="4" w:space="0" w:color="000000"/>
            </w:tcBorders>
            <w:shd w:val="clear" w:color="auto" w:fill="auto"/>
            <w:vAlign w:val="center"/>
            <w:hideMark/>
          </w:tcPr>
          <w:p w14:paraId="1F8BA773"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Koagulační faktor IX</w:t>
            </w:r>
          </w:p>
        </w:tc>
        <w:tc>
          <w:tcPr>
            <w:tcW w:w="0" w:type="auto"/>
            <w:tcBorders>
              <w:top w:val="nil"/>
              <w:left w:val="nil"/>
              <w:bottom w:val="single" w:sz="4" w:space="0" w:color="000000"/>
              <w:right w:val="single" w:sz="4" w:space="0" w:color="000000"/>
            </w:tcBorders>
            <w:shd w:val="clear" w:color="auto" w:fill="auto"/>
            <w:vAlign w:val="center"/>
            <w:hideMark/>
          </w:tcPr>
          <w:p w14:paraId="4BA3A172"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B02BD04</w:t>
            </w:r>
          </w:p>
        </w:tc>
        <w:tc>
          <w:tcPr>
            <w:tcW w:w="1674" w:type="dxa"/>
            <w:tcBorders>
              <w:top w:val="nil"/>
              <w:left w:val="nil"/>
              <w:bottom w:val="single" w:sz="4" w:space="0" w:color="000000"/>
              <w:right w:val="single" w:sz="4" w:space="0" w:color="000000"/>
            </w:tcBorders>
            <w:shd w:val="clear" w:color="auto" w:fill="auto"/>
            <w:vAlign w:val="center"/>
            <w:hideMark/>
          </w:tcPr>
          <w:p w14:paraId="5F7574DE" w14:textId="77777777" w:rsidR="00777C39" w:rsidRPr="00050ABE" w:rsidRDefault="00777C39" w:rsidP="00777C39">
            <w:pPr>
              <w:spacing w:line="240" w:lineRule="auto"/>
              <w:jc w:val="center"/>
              <w:rPr>
                <w:rFonts w:ascii="Times New Roman" w:hAnsi="Times New Roman" w:cs="Times New Roman"/>
                <w:b/>
                <w:bCs/>
                <w:color w:val="000000"/>
                <w:sz w:val="16"/>
                <w:szCs w:val="16"/>
              </w:rPr>
            </w:pPr>
            <w:proofErr w:type="spellStart"/>
            <w:r w:rsidRPr="00050ABE">
              <w:rPr>
                <w:rFonts w:ascii="Times New Roman" w:hAnsi="Times New Roman" w:cs="Times New Roman"/>
                <w:b/>
                <w:bCs/>
                <w:color w:val="000000"/>
                <w:sz w:val="16"/>
                <w:szCs w:val="16"/>
              </w:rPr>
              <w:t>Alprolix</w:t>
            </w:r>
            <w:proofErr w:type="spellEnd"/>
            <w:r w:rsidRPr="00050ABE">
              <w:rPr>
                <w:rFonts w:ascii="Times New Roman" w:hAnsi="Times New Roman" w:cs="Times New Roman"/>
                <w:b/>
                <w:bCs/>
                <w:color w:val="000000"/>
                <w:sz w:val="16"/>
                <w:szCs w:val="16"/>
              </w:rPr>
              <w:t xml:space="preserve"> 1000iu </w:t>
            </w:r>
            <w:proofErr w:type="spellStart"/>
            <w:r w:rsidRPr="00050ABE">
              <w:rPr>
                <w:rFonts w:ascii="Times New Roman" w:hAnsi="Times New Roman" w:cs="Times New Roman"/>
                <w:b/>
                <w:bCs/>
                <w:color w:val="000000"/>
                <w:sz w:val="16"/>
                <w:szCs w:val="16"/>
              </w:rPr>
              <w:t>Inj</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Pso</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Lqf</w:t>
            </w:r>
            <w:proofErr w:type="spellEnd"/>
            <w:r w:rsidRPr="00050ABE">
              <w:rPr>
                <w:rFonts w:ascii="Times New Roman" w:hAnsi="Times New Roman" w:cs="Times New Roman"/>
                <w:b/>
                <w:bCs/>
                <w:color w:val="000000"/>
                <w:sz w:val="16"/>
                <w:szCs w:val="16"/>
              </w:rPr>
              <w:t xml:space="preserve"> 1+1x5ml </w:t>
            </w:r>
            <w:proofErr w:type="spellStart"/>
            <w:r w:rsidRPr="00050ABE">
              <w:rPr>
                <w:rFonts w:ascii="Times New Roman" w:hAnsi="Times New Roman" w:cs="Times New Roman"/>
                <w:b/>
                <w:bCs/>
                <w:color w:val="000000"/>
                <w:sz w:val="16"/>
                <w:szCs w:val="16"/>
              </w:rPr>
              <w:t>Isp</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38115C6A" w14:textId="77777777" w:rsidR="00777C39" w:rsidRPr="00050ABE" w:rsidRDefault="00777C39" w:rsidP="00777C39">
            <w:pPr>
              <w:spacing w:line="240" w:lineRule="auto"/>
              <w:jc w:val="center"/>
              <w:rPr>
                <w:rFonts w:ascii="Calibri" w:hAnsi="Calibri" w:cs="Calibri"/>
                <w:b/>
                <w:bCs/>
                <w:color w:val="000000"/>
                <w:sz w:val="20"/>
                <w:szCs w:val="20"/>
              </w:rPr>
            </w:pPr>
            <w:proofErr w:type="spellStart"/>
            <w:r w:rsidRPr="00050ABE">
              <w:rPr>
                <w:rFonts w:ascii="Calibri" w:hAnsi="Calibri" w:cs="Calibri"/>
                <w:b/>
                <w:bCs/>
                <w:color w:val="000000"/>
                <w:sz w:val="20"/>
                <w:szCs w:val="20"/>
              </w:rPr>
              <w:t>Inj</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Pso</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Lqf</w:t>
            </w:r>
            <w:proofErr w:type="spellEnd"/>
            <w:r w:rsidRPr="00050ABE">
              <w:rPr>
                <w:rFonts w:ascii="Calibri" w:hAnsi="Calibri" w:cs="Calibri"/>
                <w:b/>
                <w:bCs/>
                <w:color w:val="000000"/>
                <w:sz w:val="20"/>
                <w:szCs w:val="20"/>
              </w:rPr>
              <w:t xml:space="preserve"> 1+1x5ml </w:t>
            </w:r>
            <w:proofErr w:type="spellStart"/>
            <w:r w:rsidRPr="00050ABE">
              <w:rPr>
                <w:rFonts w:ascii="Calibri" w:hAnsi="Calibri" w:cs="Calibri"/>
                <w:b/>
                <w:bCs/>
                <w:color w:val="000000"/>
                <w:sz w:val="20"/>
                <w:szCs w:val="20"/>
              </w:rPr>
              <w:t>Isp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0D131A57"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240</w:t>
            </w:r>
          </w:p>
        </w:tc>
        <w:tc>
          <w:tcPr>
            <w:tcW w:w="1032" w:type="dxa"/>
            <w:tcBorders>
              <w:top w:val="nil"/>
              <w:left w:val="nil"/>
              <w:bottom w:val="single" w:sz="4" w:space="0" w:color="auto"/>
              <w:right w:val="single" w:sz="4" w:space="0" w:color="auto"/>
            </w:tcBorders>
            <w:shd w:val="clear" w:color="auto" w:fill="auto"/>
            <w:hideMark/>
          </w:tcPr>
          <w:p w14:paraId="30E62830" w14:textId="065D82B2" w:rsidR="00777C39" w:rsidRPr="00050ABE" w:rsidRDefault="00777C39" w:rsidP="00777C39">
            <w:pPr>
              <w:spacing w:line="240" w:lineRule="auto"/>
              <w:jc w:val="center"/>
              <w:rPr>
                <w:rFonts w:ascii="Calibri" w:hAnsi="Calibri" w:cs="Calibri"/>
                <w:b/>
                <w:bCs/>
                <w:color w:val="000000"/>
                <w:sz w:val="20"/>
                <w:szCs w:val="20"/>
              </w:rPr>
            </w:pPr>
            <w:r w:rsidRPr="00DA444E">
              <w:rPr>
                <w:rFonts w:ascii="Calibri" w:hAnsi="Calibri" w:cs="Calibri"/>
                <w:b/>
                <w:bCs/>
                <w:color w:val="000000"/>
                <w:sz w:val="20"/>
                <w:szCs w:val="20"/>
              </w:rPr>
              <w:t>XXX</w:t>
            </w:r>
          </w:p>
        </w:tc>
        <w:tc>
          <w:tcPr>
            <w:tcW w:w="952" w:type="dxa"/>
            <w:tcBorders>
              <w:top w:val="nil"/>
              <w:left w:val="nil"/>
              <w:bottom w:val="single" w:sz="4" w:space="0" w:color="auto"/>
              <w:right w:val="single" w:sz="4" w:space="0" w:color="auto"/>
            </w:tcBorders>
            <w:shd w:val="clear" w:color="auto" w:fill="auto"/>
            <w:hideMark/>
          </w:tcPr>
          <w:p w14:paraId="08A09634" w14:textId="12A75FD9"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13AEF76D" w14:textId="69328979"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3A56BC5B" w14:textId="5F4128EA"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1637" w:type="dxa"/>
            <w:tcBorders>
              <w:top w:val="nil"/>
              <w:left w:val="nil"/>
              <w:bottom w:val="single" w:sz="4" w:space="0" w:color="auto"/>
              <w:right w:val="single" w:sz="4" w:space="0" w:color="auto"/>
            </w:tcBorders>
            <w:shd w:val="clear" w:color="auto" w:fill="auto"/>
            <w:hideMark/>
          </w:tcPr>
          <w:p w14:paraId="2C84CBE5" w14:textId="10A206FD"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2126" w:type="dxa"/>
            <w:tcBorders>
              <w:top w:val="nil"/>
              <w:left w:val="nil"/>
              <w:bottom w:val="single" w:sz="4" w:space="0" w:color="auto"/>
              <w:right w:val="single" w:sz="4" w:space="0" w:color="auto"/>
            </w:tcBorders>
            <w:shd w:val="clear" w:color="auto" w:fill="auto"/>
            <w:hideMark/>
          </w:tcPr>
          <w:p w14:paraId="7D8EEC0D" w14:textId="2AE033FF"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r>
      <w:tr w:rsidR="00777C39" w:rsidRPr="00050ABE" w14:paraId="753A433D" w14:textId="77777777" w:rsidTr="003C0BD8">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3376047"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2,3</w:t>
            </w:r>
          </w:p>
        </w:tc>
        <w:tc>
          <w:tcPr>
            <w:tcW w:w="0" w:type="auto"/>
            <w:tcBorders>
              <w:top w:val="nil"/>
              <w:left w:val="nil"/>
              <w:bottom w:val="single" w:sz="4" w:space="0" w:color="000000"/>
              <w:right w:val="single" w:sz="4" w:space="0" w:color="000000"/>
            </w:tcBorders>
            <w:shd w:val="clear" w:color="auto" w:fill="auto"/>
            <w:vAlign w:val="center"/>
            <w:hideMark/>
          </w:tcPr>
          <w:p w14:paraId="0E75632E"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Koagulační faktor IX</w:t>
            </w:r>
          </w:p>
        </w:tc>
        <w:tc>
          <w:tcPr>
            <w:tcW w:w="0" w:type="auto"/>
            <w:tcBorders>
              <w:top w:val="nil"/>
              <w:left w:val="nil"/>
              <w:bottom w:val="single" w:sz="4" w:space="0" w:color="000000"/>
              <w:right w:val="single" w:sz="4" w:space="0" w:color="000000"/>
            </w:tcBorders>
            <w:shd w:val="clear" w:color="auto" w:fill="auto"/>
            <w:vAlign w:val="center"/>
            <w:hideMark/>
          </w:tcPr>
          <w:p w14:paraId="486A97F4"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B02BD04</w:t>
            </w:r>
          </w:p>
        </w:tc>
        <w:tc>
          <w:tcPr>
            <w:tcW w:w="1674" w:type="dxa"/>
            <w:tcBorders>
              <w:top w:val="nil"/>
              <w:left w:val="nil"/>
              <w:bottom w:val="single" w:sz="4" w:space="0" w:color="000000"/>
              <w:right w:val="single" w:sz="4" w:space="0" w:color="000000"/>
            </w:tcBorders>
            <w:shd w:val="clear" w:color="auto" w:fill="auto"/>
            <w:vAlign w:val="center"/>
            <w:hideMark/>
          </w:tcPr>
          <w:p w14:paraId="3C5446FB" w14:textId="77777777" w:rsidR="00777C39" w:rsidRPr="00050ABE" w:rsidRDefault="00777C39" w:rsidP="00777C39">
            <w:pPr>
              <w:spacing w:line="240" w:lineRule="auto"/>
              <w:jc w:val="center"/>
              <w:rPr>
                <w:rFonts w:ascii="Times New Roman" w:hAnsi="Times New Roman" w:cs="Times New Roman"/>
                <w:b/>
                <w:bCs/>
                <w:color w:val="000000"/>
                <w:sz w:val="16"/>
                <w:szCs w:val="16"/>
              </w:rPr>
            </w:pPr>
            <w:proofErr w:type="spellStart"/>
            <w:r w:rsidRPr="00050ABE">
              <w:rPr>
                <w:rFonts w:ascii="Times New Roman" w:hAnsi="Times New Roman" w:cs="Times New Roman"/>
                <w:b/>
                <w:bCs/>
                <w:color w:val="000000"/>
                <w:sz w:val="16"/>
                <w:szCs w:val="16"/>
              </w:rPr>
              <w:t>Alprolix</w:t>
            </w:r>
            <w:proofErr w:type="spellEnd"/>
            <w:r w:rsidRPr="00050ABE">
              <w:rPr>
                <w:rFonts w:ascii="Times New Roman" w:hAnsi="Times New Roman" w:cs="Times New Roman"/>
                <w:b/>
                <w:bCs/>
                <w:color w:val="000000"/>
                <w:sz w:val="16"/>
                <w:szCs w:val="16"/>
              </w:rPr>
              <w:t xml:space="preserve"> 2000iu </w:t>
            </w:r>
            <w:proofErr w:type="spellStart"/>
            <w:r w:rsidRPr="00050ABE">
              <w:rPr>
                <w:rFonts w:ascii="Times New Roman" w:hAnsi="Times New Roman" w:cs="Times New Roman"/>
                <w:b/>
                <w:bCs/>
                <w:color w:val="000000"/>
                <w:sz w:val="16"/>
                <w:szCs w:val="16"/>
              </w:rPr>
              <w:t>Inj</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Pso</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Lqf</w:t>
            </w:r>
            <w:proofErr w:type="spellEnd"/>
            <w:r w:rsidRPr="00050ABE">
              <w:rPr>
                <w:rFonts w:ascii="Times New Roman" w:hAnsi="Times New Roman" w:cs="Times New Roman"/>
                <w:b/>
                <w:bCs/>
                <w:color w:val="000000"/>
                <w:sz w:val="16"/>
                <w:szCs w:val="16"/>
              </w:rPr>
              <w:t xml:space="preserve"> 1+1x5ml </w:t>
            </w:r>
            <w:proofErr w:type="spellStart"/>
            <w:r w:rsidRPr="00050ABE">
              <w:rPr>
                <w:rFonts w:ascii="Times New Roman" w:hAnsi="Times New Roman" w:cs="Times New Roman"/>
                <w:b/>
                <w:bCs/>
                <w:color w:val="000000"/>
                <w:sz w:val="16"/>
                <w:szCs w:val="16"/>
              </w:rPr>
              <w:t>Isp</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0833CEC6" w14:textId="77777777" w:rsidR="00777C39" w:rsidRPr="00050ABE" w:rsidRDefault="00777C39" w:rsidP="00777C39">
            <w:pPr>
              <w:spacing w:line="240" w:lineRule="auto"/>
              <w:jc w:val="center"/>
              <w:rPr>
                <w:rFonts w:ascii="Calibri" w:hAnsi="Calibri" w:cs="Calibri"/>
                <w:b/>
                <w:bCs/>
                <w:color w:val="000000"/>
                <w:sz w:val="20"/>
                <w:szCs w:val="20"/>
              </w:rPr>
            </w:pPr>
            <w:proofErr w:type="spellStart"/>
            <w:r w:rsidRPr="00050ABE">
              <w:rPr>
                <w:rFonts w:ascii="Calibri" w:hAnsi="Calibri" w:cs="Calibri"/>
                <w:b/>
                <w:bCs/>
                <w:color w:val="000000"/>
                <w:sz w:val="20"/>
                <w:szCs w:val="20"/>
              </w:rPr>
              <w:t>Inj</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Pso</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Lqf</w:t>
            </w:r>
            <w:proofErr w:type="spellEnd"/>
            <w:r w:rsidRPr="00050ABE">
              <w:rPr>
                <w:rFonts w:ascii="Calibri" w:hAnsi="Calibri" w:cs="Calibri"/>
                <w:b/>
                <w:bCs/>
                <w:color w:val="000000"/>
                <w:sz w:val="20"/>
                <w:szCs w:val="20"/>
              </w:rPr>
              <w:t xml:space="preserve"> 1+1x5ml </w:t>
            </w:r>
            <w:proofErr w:type="spellStart"/>
            <w:r w:rsidRPr="00050ABE">
              <w:rPr>
                <w:rFonts w:ascii="Calibri" w:hAnsi="Calibri" w:cs="Calibri"/>
                <w:b/>
                <w:bCs/>
                <w:color w:val="000000"/>
                <w:sz w:val="20"/>
                <w:szCs w:val="20"/>
              </w:rPr>
              <w:t>Isp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46902F43"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80</w:t>
            </w:r>
          </w:p>
        </w:tc>
        <w:tc>
          <w:tcPr>
            <w:tcW w:w="1032" w:type="dxa"/>
            <w:tcBorders>
              <w:top w:val="nil"/>
              <w:left w:val="nil"/>
              <w:bottom w:val="single" w:sz="4" w:space="0" w:color="auto"/>
              <w:right w:val="single" w:sz="4" w:space="0" w:color="auto"/>
            </w:tcBorders>
            <w:shd w:val="clear" w:color="auto" w:fill="auto"/>
            <w:hideMark/>
          </w:tcPr>
          <w:p w14:paraId="2471F30F" w14:textId="590A9178" w:rsidR="00777C39" w:rsidRPr="00050ABE" w:rsidRDefault="00777C39" w:rsidP="00777C39">
            <w:pPr>
              <w:spacing w:line="240" w:lineRule="auto"/>
              <w:jc w:val="center"/>
              <w:rPr>
                <w:rFonts w:ascii="Calibri" w:hAnsi="Calibri" w:cs="Calibri"/>
                <w:b/>
                <w:bCs/>
                <w:color w:val="000000"/>
                <w:sz w:val="20"/>
                <w:szCs w:val="20"/>
              </w:rPr>
            </w:pPr>
            <w:r w:rsidRPr="00DA444E">
              <w:rPr>
                <w:rFonts w:ascii="Calibri" w:hAnsi="Calibri" w:cs="Calibri"/>
                <w:b/>
                <w:bCs/>
                <w:color w:val="000000"/>
                <w:sz w:val="20"/>
                <w:szCs w:val="20"/>
              </w:rPr>
              <w:t>XXX</w:t>
            </w:r>
          </w:p>
        </w:tc>
        <w:tc>
          <w:tcPr>
            <w:tcW w:w="952" w:type="dxa"/>
            <w:tcBorders>
              <w:top w:val="nil"/>
              <w:left w:val="nil"/>
              <w:bottom w:val="single" w:sz="4" w:space="0" w:color="auto"/>
              <w:right w:val="single" w:sz="4" w:space="0" w:color="auto"/>
            </w:tcBorders>
            <w:shd w:val="clear" w:color="auto" w:fill="auto"/>
            <w:hideMark/>
          </w:tcPr>
          <w:p w14:paraId="4286587F" w14:textId="4AC3FBF4"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36FDD601" w14:textId="30BFDE68"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4307C459" w14:textId="596B6DAD"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1637" w:type="dxa"/>
            <w:tcBorders>
              <w:top w:val="nil"/>
              <w:left w:val="nil"/>
              <w:bottom w:val="single" w:sz="4" w:space="0" w:color="auto"/>
              <w:right w:val="single" w:sz="4" w:space="0" w:color="auto"/>
            </w:tcBorders>
            <w:shd w:val="clear" w:color="auto" w:fill="auto"/>
            <w:hideMark/>
          </w:tcPr>
          <w:p w14:paraId="1C0457F6" w14:textId="2A262779"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2126" w:type="dxa"/>
            <w:tcBorders>
              <w:top w:val="nil"/>
              <w:left w:val="nil"/>
              <w:bottom w:val="single" w:sz="4" w:space="0" w:color="auto"/>
              <w:right w:val="single" w:sz="4" w:space="0" w:color="auto"/>
            </w:tcBorders>
            <w:shd w:val="clear" w:color="auto" w:fill="auto"/>
            <w:hideMark/>
          </w:tcPr>
          <w:p w14:paraId="6DAF32BC" w14:textId="4BDAEA97"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r>
      <w:tr w:rsidR="00777C39" w:rsidRPr="00050ABE" w14:paraId="57DFCC03" w14:textId="77777777" w:rsidTr="003C0BD8">
        <w:trPr>
          <w:trHeight w:val="51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57327F8F"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2,4</w:t>
            </w:r>
          </w:p>
        </w:tc>
        <w:tc>
          <w:tcPr>
            <w:tcW w:w="0" w:type="auto"/>
            <w:tcBorders>
              <w:top w:val="nil"/>
              <w:left w:val="nil"/>
              <w:bottom w:val="single" w:sz="4" w:space="0" w:color="000000"/>
              <w:right w:val="single" w:sz="4" w:space="0" w:color="000000"/>
            </w:tcBorders>
            <w:shd w:val="clear" w:color="auto" w:fill="auto"/>
            <w:vAlign w:val="center"/>
            <w:hideMark/>
          </w:tcPr>
          <w:p w14:paraId="4754694A"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Koagulační faktor IX</w:t>
            </w:r>
          </w:p>
        </w:tc>
        <w:tc>
          <w:tcPr>
            <w:tcW w:w="0" w:type="auto"/>
            <w:tcBorders>
              <w:top w:val="nil"/>
              <w:left w:val="nil"/>
              <w:bottom w:val="single" w:sz="4" w:space="0" w:color="000000"/>
              <w:right w:val="single" w:sz="4" w:space="0" w:color="000000"/>
            </w:tcBorders>
            <w:shd w:val="clear" w:color="auto" w:fill="auto"/>
            <w:vAlign w:val="center"/>
            <w:hideMark/>
          </w:tcPr>
          <w:p w14:paraId="0C581BA5" w14:textId="77777777" w:rsidR="00777C39" w:rsidRPr="00050ABE" w:rsidRDefault="00777C39" w:rsidP="00777C39">
            <w:pPr>
              <w:spacing w:line="240" w:lineRule="auto"/>
              <w:jc w:val="center"/>
              <w:rPr>
                <w:rFonts w:ascii="Times New Roman" w:hAnsi="Times New Roman" w:cs="Times New Roman"/>
                <w:b/>
                <w:bCs/>
                <w:color w:val="000000"/>
                <w:sz w:val="16"/>
                <w:szCs w:val="16"/>
              </w:rPr>
            </w:pPr>
            <w:r w:rsidRPr="00050ABE">
              <w:rPr>
                <w:rFonts w:ascii="Times New Roman" w:hAnsi="Times New Roman" w:cs="Times New Roman"/>
                <w:b/>
                <w:bCs/>
                <w:color w:val="000000"/>
                <w:sz w:val="16"/>
                <w:szCs w:val="16"/>
              </w:rPr>
              <w:t>B02BD04</w:t>
            </w:r>
          </w:p>
        </w:tc>
        <w:tc>
          <w:tcPr>
            <w:tcW w:w="1674" w:type="dxa"/>
            <w:tcBorders>
              <w:top w:val="nil"/>
              <w:left w:val="nil"/>
              <w:bottom w:val="single" w:sz="4" w:space="0" w:color="000000"/>
              <w:right w:val="single" w:sz="4" w:space="0" w:color="000000"/>
            </w:tcBorders>
            <w:shd w:val="clear" w:color="auto" w:fill="auto"/>
            <w:vAlign w:val="center"/>
            <w:hideMark/>
          </w:tcPr>
          <w:p w14:paraId="2B2941AA" w14:textId="77777777" w:rsidR="00777C39" w:rsidRPr="00050ABE" w:rsidRDefault="00777C39" w:rsidP="00777C39">
            <w:pPr>
              <w:spacing w:line="240" w:lineRule="auto"/>
              <w:jc w:val="center"/>
              <w:rPr>
                <w:rFonts w:ascii="Times New Roman" w:hAnsi="Times New Roman" w:cs="Times New Roman"/>
                <w:b/>
                <w:bCs/>
                <w:color w:val="000000"/>
                <w:sz w:val="16"/>
                <w:szCs w:val="16"/>
              </w:rPr>
            </w:pPr>
            <w:proofErr w:type="spellStart"/>
            <w:r w:rsidRPr="00050ABE">
              <w:rPr>
                <w:rFonts w:ascii="Times New Roman" w:hAnsi="Times New Roman" w:cs="Times New Roman"/>
                <w:b/>
                <w:bCs/>
                <w:color w:val="000000"/>
                <w:sz w:val="16"/>
                <w:szCs w:val="16"/>
              </w:rPr>
              <w:t>Alprolix</w:t>
            </w:r>
            <w:proofErr w:type="spellEnd"/>
            <w:r w:rsidRPr="00050ABE">
              <w:rPr>
                <w:rFonts w:ascii="Times New Roman" w:hAnsi="Times New Roman" w:cs="Times New Roman"/>
                <w:b/>
                <w:bCs/>
                <w:color w:val="000000"/>
                <w:sz w:val="16"/>
                <w:szCs w:val="16"/>
              </w:rPr>
              <w:t xml:space="preserve"> 3000iu </w:t>
            </w:r>
            <w:proofErr w:type="spellStart"/>
            <w:r w:rsidRPr="00050ABE">
              <w:rPr>
                <w:rFonts w:ascii="Times New Roman" w:hAnsi="Times New Roman" w:cs="Times New Roman"/>
                <w:b/>
                <w:bCs/>
                <w:color w:val="000000"/>
                <w:sz w:val="16"/>
                <w:szCs w:val="16"/>
              </w:rPr>
              <w:t>Inj</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Pso</w:t>
            </w:r>
            <w:proofErr w:type="spellEnd"/>
            <w:r w:rsidRPr="00050ABE">
              <w:rPr>
                <w:rFonts w:ascii="Times New Roman" w:hAnsi="Times New Roman" w:cs="Times New Roman"/>
                <w:b/>
                <w:bCs/>
                <w:color w:val="000000"/>
                <w:sz w:val="16"/>
                <w:szCs w:val="16"/>
              </w:rPr>
              <w:t xml:space="preserve"> </w:t>
            </w:r>
            <w:proofErr w:type="spellStart"/>
            <w:r w:rsidRPr="00050ABE">
              <w:rPr>
                <w:rFonts w:ascii="Times New Roman" w:hAnsi="Times New Roman" w:cs="Times New Roman"/>
                <w:b/>
                <w:bCs/>
                <w:color w:val="000000"/>
                <w:sz w:val="16"/>
                <w:szCs w:val="16"/>
              </w:rPr>
              <w:t>Lqf</w:t>
            </w:r>
            <w:proofErr w:type="spellEnd"/>
            <w:r w:rsidRPr="00050ABE">
              <w:rPr>
                <w:rFonts w:ascii="Times New Roman" w:hAnsi="Times New Roman" w:cs="Times New Roman"/>
                <w:b/>
                <w:bCs/>
                <w:color w:val="000000"/>
                <w:sz w:val="16"/>
                <w:szCs w:val="16"/>
              </w:rPr>
              <w:t xml:space="preserve"> 1+1x5ml </w:t>
            </w:r>
            <w:proofErr w:type="spellStart"/>
            <w:r w:rsidRPr="00050ABE">
              <w:rPr>
                <w:rFonts w:ascii="Times New Roman" w:hAnsi="Times New Roman" w:cs="Times New Roman"/>
                <w:b/>
                <w:bCs/>
                <w:color w:val="000000"/>
                <w:sz w:val="16"/>
                <w:szCs w:val="16"/>
              </w:rPr>
              <w:t>Isp</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8C8DD7D" w14:textId="77777777" w:rsidR="00777C39" w:rsidRPr="00050ABE" w:rsidRDefault="00777C39" w:rsidP="00777C39">
            <w:pPr>
              <w:spacing w:line="240" w:lineRule="auto"/>
              <w:jc w:val="center"/>
              <w:rPr>
                <w:rFonts w:ascii="Calibri" w:hAnsi="Calibri" w:cs="Calibri"/>
                <w:b/>
                <w:bCs/>
                <w:color w:val="000000"/>
                <w:sz w:val="20"/>
                <w:szCs w:val="20"/>
              </w:rPr>
            </w:pPr>
            <w:proofErr w:type="spellStart"/>
            <w:r w:rsidRPr="00050ABE">
              <w:rPr>
                <w:rFonts w:ascii="Calibri" w:hAnsi="Calibri" w:cs="Calibri"/>
                <w:b/>
                <w:bCs/>
                <w:color w:val="000000"/>
                <w:sz w:val="20"/>
                <w:szCs w:val="20"/>
              </w:rPr>
              <w:t>Inj</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Pso</w:t>
            </w:r>
            <w:proofErr w:type="spellEnd"/>
            <w:r w:rsidRPr="00050ABE">
              <w:rPr>
                <w:rFonts w:ascii="Calibri" w:hAnsi="Calibri" w:cs="Calibri"/>
                <w:b/>
                <w:bCs/>
                <w:color w:val="000000"/>
                <w:sz w:val="20"/>
                <w:szCs w:val="20"/>
              </w:rPr>
              <w:t xml:space="preserve"> </w:t>
            </w:r>
            <w:proofErr w:type="spellStart"/>
            <w:r w:rsidRPr="00050ABE">
              <w:rPr>
                <w:rFonts w:ascii="Calibri" w:hAnsi="Calibri" w:cs="Calibri"/>
                <w:b/>
                <w:bCs/>
                <w:color w:val="000000"/>
                <w:sz w:val="20"/>
                <w:szCs w:val="20"/>
              </w:rPr>
              <w:t>Lqf</w:t>
            </w:r>
            <w:proofErr w:type="spellEnd"/>
            <w:r w:rsidRPr="00050ABE">
              <w:rPr>
                <w:rFonts w:ascii="Calibri" w:hAnsi="Calibri" w:cs="Calibri"/>
                <w:b/>
                <w:bCs/>
                <w:color w:val="000000"/>
                <w:sz w:val="20"/>
                <w:szCs w:val="20"/>
              </w:rPr>
              <w:t xml:space="preserve"> 1+1x5ml </w:t>
            </w:r>
            <w:proofErr w:type="spellStart"/>
            <w:r w:rsidRPr="00050ABE">
              <w:rPr>
                <w:rFonts w:ascii="Calibri" w:hAnsi="Calibri" w:cs="Calibri"/>
                <w:b/>
                <w:bCs/>
                <w:color w:val="000000"/>
                <w:sz w:val="20"/>
                <w:szCs w:val="20"/>
              </w:rPr>
              <w:t>Isp</w:t>
            </w:r>
            <w:proofErr w:type="spellEnd"/>
          </w:p>
        </w:tc>
        <w:tc>
          <w:tcPr>
            <w:tcW w:w="1417" w:type="dxa"/>
            <w:tcBorders>
              <w:top w:val="nil"/>
              <w:left w:val="nil"/>
              <w:bottom w:val="single" w:sz="4" w:space="0" w:color="auto"/>
              <w:right w:val="single" w:sz="4" w:space="0" w:color="auto"/>
            </w:tcBorders>
            <w:shd w:val="clear" w:color="auto" w:fill="auto"/>
            <w:vAlign w:val="center"/>
            <w:hideMark/>
          </w:tcPr>
          <w:p w14:paraId="7CE5F03B" w14:textId="77777777" w:rsidR="00777C39" w:rsidRPr="00050ABE" w:rsidRDefault="00777C39" w:rsidP="00777C39">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128</w:t>
            </w:r>
          </w:p>
        </w:tc>
        <w:tc>
          <w:tcPr>
            <w:tcW w:w="1032" w:type="dxa"/>
            <w:tcBorders>
              <w:top w:val="nil"/>
              <w:left w:val="nil"/>
              <w:bottom w:val="single" w:sz="4" w:space="0" w:color="auto"/>
              <w:right w:val="single" w:sz="4" w:space="0" w:color="auto"/>
            </w:tcBorders>
            <w:shd w:val="clear" w:color="auto" w:fill="auto"/>
            <w:hideMark/>
          </w:tcPr>
          <w:p w14:paraId="1C3DEFE3" w14:textId="7207C2CC" w:rsidR="00777C39" w:rsidRPr="00050ABE" w:rsidRDefault="00777C39" w:rsidP="00777C39">
            <w:pPr>
              <w:spacing w:line="240" w:lineRule="auto"/>
              <w:jc w:val="center"/>
              <w:rPr>
                <w:rFonts w:ascii="Calibri" w:hAnsi="Calibri" w:cs="Calibri"/>
                <w:b/>
                <w:bCs/>
                <w:color w:val="000000"/>
                <w:sz w:val="20"/>
                <w:szCs w:val="20"/>
              </w:rPr>
            </w:pPr>
            <w:r w:rsidRPr="00DA444E">
              <w:rPr>
                <w:rFonts w:ascii="Calibri" w:hAnsi="Calibri" w:cs="Calibri"/>
                <w:b/>
                <w:bCs/>
                <w:color w:val="000000"/>
                <w:sz w:val="20"/>
                <w:szCs w:val="20"/>
              </w:rPr>
              <w:t>XXX</w:t>
            </w:r>
          </w:p>
        </w:tc>
        <w:tc>
          <w:tcPr>
            <w:tcW w:w="952" w:type="dxa"/>
            <w:tcBorders>
              <w:top w:val="nil"/>
              <w:left w:val="nil"/>
              <w:bottom w:val="single" w:sz="4" w:space="0" w:color="auto"/>
              <w:right w:val="single" w:sz="4" w:space="0" w:color="auto"/>
            </w:tcBorders>
            <w:shd w:val="clear" w:color="auto" w:fill="auto"/>
            <w:hideMark/>
          </w:tcPr>
          <w:p w14:paraId="0F289309" w14:textId="7C3A0720"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229D8342" w14:textId="3C2AEA2F"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0" w:type="auto"/>
            <w:tcBorders>
              <w:top w:val="nil"/>
              <w:left w:val="nil"/>
              <w:bottom w:val="single" w:sz="4" w:space="0" w:color="auto"/>
              <w:right w:val="single" w:sz="4" w:space="0" w:color="auto"/>
            </w:tcBorders>
            <w:shd w:val="clear" w:color="auto" w:fill="auto"/>
            <w:hideMark/>
          </w:tcPr>
          <w:p w14:paraId="0FC13D4B" w14:textId="15E22187"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1637" w:type="dxa"/>
            <w:tcBorders>
              <w:top w:val="nil"/>
              <w:left w:val="nil"/>
              <w:bottom w:val="single" w:sz="4" w:space="0" w:color="auto"/>
              <w:right w:val="single" w:sz="4" w:space="0" w:color="auto"/>
            </w:tcBorders>
            <w:shd w:val="clear" w:color="auto" w:fill="auto"/>
            <w:hideMark/>
          </w:tcPr>
          <w:p w14:paraId="03591036" w14:textId="65410D66"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c>
          <w:tcPr>
            <w:tcW w:w="2126" w:type="dxa"/>
            <w:tcBorders>
              <w:top w:val="nil"/>
              <w:left w:val="nil"/>
              <w:bottom w:val="single" w:sz="4" w:space="0" w:color="auto"/>
              <w:right w:val="single" w:sz="4" w:space="0" w:color="auto"/>
            </w:tcBorders>
            <w:shd w:val="clear" w:color="auto" w:fill="auto"/>
            <w:hideMark/>
          </w:tcPr>
          <w:p w14:paraId="0ACF904F" w14:textId="7E630EFD" w:rsidR="00777C39" w:rsidRPr="00050ABE" w:rsidRDefault="00777C39" w:rsidP="00777C39">
            <w:pPr>
              <w:spacing w:line="240" w:lineRule="auto"/>
              <w:jc w:val="center"/>
              <w:rPr>
                <w:rFonts w:ascii="Calibri" w:hAnsi="Calibri" w:cs="Calibri"/>
                <w:b/>
                <w:bCs/>
                <w:color w:val="000000"/>
                <w:sz w:val="20"/>
                <w:szCs w:val="20"/>
              </w:rPr>
            </w:pPr>
            <w:r w:rsidRPr="0087569F">
              <w:rPr>
                <w:rFonts w:ascii="Calibri" w:hAnsi="Calibri" w:cs="Calibri"/>
                <w:b/>
                <w:bCs/>
                <w:color w:val="000000"/>
                <w:sz w:val="20"/>
                <w:szCs w:val="20"/>
              </w:rPr>
              <w:t>XXX</w:t>
            </w:r>
          </w:p>
        </w:tc>
      </w:tr>
      <w:tr w:rsidR="00050ABE" w:rsidRPr="00050ABE" w14:paraId="5FE8977F" w14:textId="77777777" w:rsidTr="00050ABE">
        <w:trPr>
          <w:trHeight w:val="330"/>
        </w:trPr>
        <w:tc>
          <w:tcPr>
            <w:tcW w:w="9873" w:type="dxa"/>
            <w:gridSpan w:val="9"/>
            <w:tcBorders>
              <w:top w:val="single" w:sz="4" w:space="0" w:color="auto"/>
              <w:left w:val="single" w:sz="8" w:space="0" w:color="auto"/>
              <w:bottom w:val="single" w:sz="8" w:space="0" w:color="auto"/>
              <w:right w:val="single" w:sz="4" w:space="0" w:color="000000"/>
            </w:tcBorders>
            <w:shd w:val="clear" w:color="auto" w:fill="auto"/>
            <w:vAlign w:val="center"/>
            <w:hideMark/>
          </w:tcPr>
          <w:p w14:paraId="3FA27A76" w14:textId="77777777" w:rsidR="00050ABE" w:rsidRPr="00050ABE" w:rsidRDefault="00050ABE" w:rsidP="00050ABE">
            <w:pPr>
              <w:spacing w:line="240" w:lineRule="auto"/>
              <w:jc w:val="center"/>
              <w:rPr>
                <w:rFonts w:ascii="Calibri" w:hAnsi="Calibri" w:cs="Calibri"/>
                <w:b/>
                <w:bCs/>
                <w:color w:val="000000"/>
                <w:sz w:val="20"/>
                <w:szCs w:val="20"/>
              </w:rPr>
            </w:pPr>
            <w:r w:rsidRPr="00050ABE">
              <w:rPr>
                <w:rFonts w:ascii="Calibri" w:hAnsi="Calibri" w:cs="Calibri"/>
                <w:b/>
                <w:bCs/>
                <w:color w:val="000000"/>
                <w:sz w:val="20"/>
                <w:szCs w:val="20"/>
              </w:rPr>
              <w:t>Celkem</w:t>
            </w:r>
          </w:p>
        </w:tc>
        <w:tc>
          <w:tcPr>
            <w:tcW w:w="0" w:type="auto"/>
            <w:tcBorders>
              <w:top w:val="nil"/>
              <w:left w:val="nil"/>
              <w:bottom w:val="single" w:sz="8" w:space="0" w:color="auto"/>
              <w:right w:val="single" w:sz="4" w:space="0" w:color="auto"/>
            </w:tcBorders>
            <w:shd w:val="clear" w:color="auto" w:fill="auto"/>
            <w:vAlign w:val="center"/>
            <w:hideMark/>
          </w:tcPr>
          <w:p w14:paraId="5740E5DF" w14:textId="77777777" w:rsidR="00050ABE" w:rsidRPr="00050ABE" w:rsidRDefault="00050ABE" w:rsidP="00050ABE">
            <w:pPr>
              <w:spacing w:line="240" w:lineRule="auto"/>
              <w:jc w:val="center"/>
              <w:rPr>
                <w:rFonts w:ascii="Calibri" w:hAnsi="Calibri" w:cs="Calibri"/>
                <w:b/>
                <w:bCs/>
                <w:color w:val="000000"/>
                <w:sz w:val="24"/>
                <w:szCs w:val="24"/>
              </w:rPr>
            </w:pPr>
            <w:r w:rsidRPr="00050ABE">
              <w:rPr>
                <w:rFonts w:ascii="Calibri" w:hAnsi="Calibri" w:cs="Calibri"/>
                <w:b/>
                <w:bCs/>
                <w:color w:val="000000"/>
                <w:sz w:val="24"/>
                <w:szCs w:val="24"/>
              </w:rPr>
              <w:t>15 951 368,05</w:t>
            </w:r>
          </w:p>
        </w:tc>
        <w:tc>
          <w:tcPr>
            <w:tcW w:w="1637" w:type="dxa"/>
            <w:tcBorders>
              <w:top w:val="nil"/>
              <w:left w:val="nil"/>
              <w:bottom w:val="single" w:sz="8" w:space="0" w:color="auto"/>
              <w:right w:val="single" w:sz="4" w:space="0" w:color="auto"/>
            </w:tcBorders>
            <w:shd w:val="clear" w:color="auto" w:fill="auto"/>
            <w:vAlign w:val="center"/>
            <w:hideMark/>
          </w:tcPr>
          <w:p w14:paraId="6FBF7027" w14:textId="77777777" w:rsidR="00050ABE" w:rsidRPr="00050ABE" w:rsidRDefault="00050ABE" w:rsidP="00050ABE">
            <w:pPr>
              <w:spacing w:line="240" w:lineRule="auto"/>
              <w:jc w:val="center"/>
              <w:rPr>
                <w:rFonts w:ascii="Calibri" w:hAnsi="Calibri" w:cs="Calibri"/>
                <w:b/>
                <w:bCs/>
                <w:color w:val="000000"/>
                <w:sz w:val="24"/>
                <w:szCs w:val="24"/>
              </w:rPr>
            </w:pPr>
            <w:r w:rsidRPr="00050ABE">
              <w:rPr>
                <w:rFonts w:ascii="Calibri" w:hAnsi="Calibri" w:cs="Calibri"/>
                <w:b/>
                <w:bCs/>
                <w:color w:val="000000"/>
                <w:sz w:val="24"/>
                <w:szCs w:val="24"/>
              </w:rPr>
              <w:t>1 450 124,37</w:t>
            </w:r>
          </w:p>
        </w:tc>
        <w:tc>
          <w:tcPr>
            <w:tcW w:w="2126" w:type="dxa"/>
            <w:tcBorders>
              <w:top w:val="nil"/>
              <w:left w:val="nil"/>
              <w:bottom w:val="single" w:sz="8" w:space="0" w:color="auto"/>
              <w:right w:val="single" w:sz="4" w:space="0" w:color="auto"/>
            </w:tcBorders>
            <w:shd w:val="clear" w:color="auto" w:fill="auto"/>
            <w:vAlign w:val="center"/>
            <w:hideMark/>
          </w:tcPr>
          <w:p w14:paraId="1E3E87B3" w14:textId="77777777" w:rsidR="00050ABE" w:rsidRPr="00050ABE" w:rsidRDefault="00050ABE" w:rsidP="00050ABE">
            <w:pPr>
              <w:spacing w:line="240" w:lineRule="auto"/>
              <w:jc w:val="center"/>
              <w:rPr>
                <w:rFonts w:ascii="Calibri" w:hAnsi="Calibri" w:cs="Calibri"/>
                <w:b/>
                <w:bCs/>
                <w:color w:val="000000"/>
                <w:sz w:val="24"/>
                <w:szCs w:val="24"/>
              </w:rPr>
            </w:pPr>
            <w:r w:rsidRPr="00050ABE">
              <w:rPr>
                <w:rFonts w:ascii="Calibri" w:hAnsi="Calibri" w:cs="Calibri"/>
                <w:b/>
                <w:bCs/>
                <w:color w:val="000000"/>
                <w:sz w:val="24"/>
                <w:szCs w:val="24"/>
              </w:rPr>
              <w:t>14 501 243,68</w:t>
            </w:r>
          </w:p>
        </w:tc>
      </w:tr>
    </w:tbl>
    <w:p w14:paraId="041D6427" w14:textId="77777777" w:rsidR="00AA34DF" w:rsidRDefault="00AA34DF" w:rsidP="00023008"/>
    <w:sectPr w:rsidR="00AA34DF" w:rsidSect="00AE7DAE">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1D642B" w14:textId="77777777" w:rsidR="00EE44D9" w:rsidRDefault="00EE44D9" w:rsidP="006337DC">
      <w:r>
        <w:separator/>
      </w:r>
    </w:p>
  </w:endnote>
  <w:endnote w:type="continuationSeparator" w:id="0">
    <w:p w14:paraId="041D642C" w14:textId="77777777" w:rsidR="00EE44D9" w:rsidRDefault="00EE44D9"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42D" w14:textId="7A1B1988"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5E3FBB">
      <w:rPr>
        <w:noProof/>
        <w:sz w:val="20"/>
        <w:szCs w:val="20"/>
      </w:rPr>
      <w:t>8</w:t>
    </w:r>
    <w:r w:rsidRPr="00150F89">
      <w:rPr>
        <w:sz w:val="20"/>
        <w:szCs w:val="20"/>
      </w:rPr>
      <w:fldChar w:fldCharType="end"/>
    </w:r>
  </w:p>
  <w:p w14:paraId="041D642E"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D642F" w14:textId="00390402" w:rsidR="001B5F9C" w:rsidRDefault="001B5F9C">
    <w:pPr>
      <w:pStyle w:val="Zpat"/>
      <w:jc w:val="center"/>
    </w:pPr>
    <w:r>
      <w:fldChar w:fldCharType="begin"/>
    </w:r>
    <w:r>
      <w:instrText>PAGE   \* MERGEFORMAT</w:instrText>
    </w:r>
    <w:r>
      <w:fldChar w:fldCharType="separate"/>
    </w:r>
    <w:r w:rsidR="005E3FBB">
      <w:rPr>
        <w:noProof/>
      </w:rPr>
      <w:t>9</w:t>
    </w:r>
    <w:r>
      <w:fldChar w:fldCharType="end"/>
    </w:r>
  </w:p>
  <w:p w14:paraId="041D6430"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1D6429" w14:textId="77777777" w:rsidR="00EE44D9" w:rsidRDefault="00EE44D9" w:rsidP="006337DC">
      <w:r>
        <w:separator/>
      </w:r>
    </w:p>
  </w:footnote>
  <w:footnote w:type="continuationSeparator" w:id="0">
    <w:p w14:paraId="041D642A" w14:textId="77777777" w:rsidR="00EE44D9" w:rsidRDefault="00EE44D9" w:rsidP="00633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7"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2"/>
  </w:num>
  <w:num w:numId="2">
    <w:abstractNumId w:val="7"/>
  </w:num>
  <w:num w:numId="3">
    <w:abstractNumId w:val="0"/>
  </w:num>
  <w:num w:numId="4">
    <w:abstractNumId w:val="8"/>
  </w:num>
  <w:num w:numId="5">
    <w:abstractNumId w:val="3"/>
  </w:num>
  <w:num w:numId="6">
    <w:abstractNumId w:val="9"/>
  </w:num>
  <w:num w:numId="7">
    <w:abstractNumId w:val="7"/>
  </w:num>
  <w:num w:numId="8">
    <w:abstractNumId w:val="7"/>
  </w:num>
  <w:num w:numId="9">
    <w:abstractNumId w:val="7"/>
  </w:num>
  <w:num w:numId="10">
    <w:abstractNumId w:val="7"/>
  </w:num>
  <w:num w:numId="11">
    <w:abstractNumId w:val="6"/>
  </w:num>
  <w:num w:numId="12">
    <w:abstractNumId w:val="2"/>
  </w:num>
  <w:num w:numId="13">
    <w:abstractNumId w:val="11"/>
  </w:num>
  <w:num w:numId="14">
    <w:abstractNumId w:val="1"/>
  </w:num>
  <w:num w:numId="15">
    <w:abstractNumId w:val="13"/>
  </w:num>
  <w:num w:numId="16">
    <w:abstractNumId w:val="4"/>
  </w:num>
  <w:num w:numId="17">
    <w:abstractNumId w:val="10"/>
  </w:num>
  <w:num w:numId="18">
    <w:abstractNumId w:val="5"/>
  </w:num>
  <w:num w:numId="19">
    <w:abstractNumId w:val="7"/>
  </w:num>
  <w:num w:numId="2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50ABE"/>
    <w:rsid w:val="00057DF0"/>
    <w:rsid w:val="00061455"/>
    <w:rsid w:val="00064A2C"/>
    <w:rsid w:val="000729CF"/>
    <w:rsid w:val="00074676"/>
    <w:rsid w:val="00075387"/>
    <w:rsid w:val="00081174"/>
    <w:rsid w:val="00081D58"/>
    <w:rsid w:val="000862FF"/>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7CF5"/>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45499"/>
    <w:rsid w:val="00145CD8"/>
    <w:rsid w:val="00150469"/>
    <w:rsid w:val="00150F89"/>
    <w:rsid w:val="0015378B"/>
    <w:rsid w:val="00154976"/>
    <w:rsid w:val="00154ACA"/>
    <w:rsid w:val="001604EA"/>
    <w:rsid w:val="001673D6"/>
    <w:rsid w:val="00183B7C"/>
    <w:rsid w:val="00195882"/>
    <w:rsid w:val="001976E5"/>
    <w:rsid w:val="001A2FBC"/>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7B9D"/>
    <w:rsid w:val="00232C9C"/>
    <w:rsid w:val="0023578D"/>
    <w:rsid w:val="00236D62"/>
    <w:rsid w:val="00237B38"/>
    <w:rsid w:val="00241316"/>
    <w:rsid w:val="00245011"/>
    <w:rsid w:val="002470C7"/>
    <w:rsid w:val="002531BE"/>
    <w:rsid w:val="002546E6"/>
    <w:rsid w:val="00256858"/>
    <w:rsid w:val="00257643"/>
    <w:rsid w:val="00260A2A"/>
    <w:rsid w:val="00263342"/>
    <w:rsid w:val="00286EBA"/>
    <w:rsid w:val="00286F30"/>
    <w:rsid w:val="0029236A"/>
    <w:rsid w:val="002959B0"/>
    <w:rsid w:val="00297F3A"/>
    <w:rsid w:val="002A5831"/>
    <w:rsid w:val="002B1098"/>
    <w:rsid w:val="002B68E8"/>
    <w:rsid w:val="002C0743"/>
    <w:rsid w:val="002C243A"/>
    <w:rsid w:val="002D0792"/>
    <w:rsid w:val="002D48A0"/>
    <w:rsid w:val="002D5641"/>
    <w:rsid w:val="002D7B98"/>
    <w:rsid w:val="002E1C03"/>
    <w:rsid w:val="002E1D0C"/>
    <w:rsid w:val="002E4D60"/>
    <w:rsid w:val="002E5DF3"/>
    <w:rsid w:val="002E5DFE"/>
    <w:rsid w:val="002F4739"/>
    <w:rsid w:val="0030119B"/>
    <w:rsid w:val="0030437C"/>
    <w:rsid w:val="003133A6"/>
    <w:rsid w:val="00315115"/>
    <w:rsid w:val="00320F84"/>
    <w:rsid w:val="003241AA"/>
    <w:rsid w:val="0033048B"/>
    <w:rsid w:val="00336312"/>
    <w:rsid w:val="003371CD"/>
    <w:rsid w:val="003376AD"/>
    <w:rsid w:val="0034374C"/>
    <w:rsid w:val="00343B9B"/>
    <w:rsid w:val="0034523E"/>
    <w:rsid w:val="00346900"/>
    <w:rsid w:val="00352CD1"/>
    <w:rsid w:val="003571AB"/>
    <w:rsid w:val="003603C6"/>
    <w:rsid w:val="00371230"/>
    <w:rsid w:val="0037595E"/>
    <w:rsid w:val="00381055"/>
    <w:rsid w:val="00384256"/>
    <w:rsid w:val="00385DAB"/>
    <w:rsid w:val="003874CE"/>
    <w:rsid w:val="003A1C2B"/>
    <w:rsid w:val="003A4E43"/>
    <w:rsid w:val="003A6ED7"/>
    <w:rsid w:val="003A6F72"/>
    <w:rsid w:val="003B1919"/>
    <w:rsid w:val="003B3332"/>
    <w:rsid w:val="003B350F"/>
    <w:rsid w:val="003B7B17"/>
    <w:rsid w:val="003C1848"/>
    <w:rsid w:val="003D0D8B"/>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5985"/>
    <w:rsid w:val="004672FC"/>
    <w:rsid w:val="004756DA"/>
    <w:rsid w:val="004924D3"/>
    <w:rsid w:val="00492818"/>
    <w:rsid w:val="00494744"/>
    <w:rsid w:val="004953EF"/>
    <w:rsid w:val="004A45B0"/>
    <w:rsid w:val="004A7901"/>
    <w:rsid w:val="004B05E8"/>
    <w:rsid w:val="004B1019"/>
    <w:rsid w:val="004C2C98"/>
    <w:rsid w:val="004C679C"/>
    <w:rsid w:val="004D4C0D"/>
    <w:rsid w:val="004D7A85"/>
    <w:rsid w:val="004E2A52"/>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5025A"/>
    <w:rsid w:val="00557002"/>
    <w:rsid w:val="0057386D"/>
    <w:rsid w:val="00575F84"/>
    <w:rsid w:val="00580CAE"/>
    <w:rsid w:val="005879FE"/>
    <w:rsid w:val="00592679"/>
    <w:rsid w:val="00593839"/>
    <w:rsid w:val="00593861"/>
    <w:rsid w:val="00596005"/>
    <w:rsid w:val="00596058"/>
    <w:rsid w:val="005A2E2D"/>
    <w:rsid w:val="005A47EB"/>
    <w:rsid w:val="005A59E7"/>
    <w:rsid w:val="005A5F5C"/>
    <w:rsid w:val="005A7DD1"/>
    <w:rsid w:val="005B1C4C"/>
    <w:rsid w:val="005B32C2"/>
    <w:rsid w:val="005B49AA"/>
    <w:rsid w:val="005B4FD6"/>
    <w:rsid w:val="005B65BB"/>
    <w:rsid w:val="005C340C"/>
    <w:rsid w:val="005C3A0B"/>
    <w:rsid w:val="005D13E0"/>
    <w:rsid w:val="005D1464"/>
    <w:rsid w:val="005D19EA"/>
    <w:rsid w:val="005D630E"/>
    <w:rsid w:val="005E3FBB"/>
    <w:rsid w:val="005E41BA"/>
    <w:rsid w:val="005F315A"/>
    <w:rsid w:val="005F47C4"/>
    <w:rsid w:val="005F606A"/>
    <w:rsid w:val="0060020F"/>
    <w:rsid w:val="0060495E"/>
    <w:rsid w:val="006130D0"/>
    <w:rsid w:val="0062650E"/>
    <w:rsid w:val="0062677D"/>
    <w:rsid w:val="006337DC"/>
    <w:rsid w:val="006401C9"/>
    <w:rsid w:val="00641195"/>
    <w:rsid w:val="00646E8E"/>
    <w:rsid w:val="00657357"/>
    <w:rsid w:val="006714E5"/>
    <w:rsid w:val="00674566"/>
    <w:rsid w:val="006778A2"/>
    <w:rsid w:val="00682B01"/>
    <w:rsid w:val="00684BFA"/>
    <w:rsid w:val="006913C4"/>
    <w:rsid w:val="006925A2"/>
    <w:rsid w:val="00692870"/>
    <w:rsid w:val="0069784C"/>
    <w:rsid w:val="006A0496"/>
    <w:rsid w:val="006B0630"/>
    <w:rsid w:val="006B56E5"/>
    <w:rsid w:val="006B5C04"/>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5CC7"/>
    <w:rsid w:val="00774539"/>
    <w:rsid w:val="00776CB0"/>
    <w:rsid w:val="00776DBD"/>
    <w:rsid w:val="00777C39"/>
    <w:rsid w:val="00786DD8"/>
    <w:rsid w:val="007930D9"/>
    <w:rsid w:val="00797312"/>
    <w:rsid w:val="007A32F9"/>
    <w:rsid w:val="007B298D"/>
    <w:rsid w:val="007B4F60"/>
    <w:rsid w:val="007B5200"/>
    <w:rsid w:val="007B5FDD"/>
    <w:rsid w:val="007D0D56"/>
    <w:rsid w:val="007D13B2"/>
    <w:rsid w:val="007D3523"/>
    <w:rsid w:val="007E416F"/>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5FD1"/>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5A6C"/>
    <w:rsid w:val="009C3B3B"/>
    <w:rsid w:val="009C75CE"/>
    <w:rsid w:val="009D4364"/>
    <w:rsid w:val="009D5C65"/>
    <w:rsid w:val="009D6F7A"/>
    <w:rsid w:val="009F59BB"/>
    <w:rsid w:val="009F5A27"/>
    <w:rsid w:val="00A00107"/>
    <w:rsid w:val="00A05687"/>
    <w:rsid w:val="00A07E80"/>
    <w:rsid w:val="00A10247"/>
    <w:rsid w:val="00A1270C"/>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E7DAE"/>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6736"/>
    <w:rsid w:val="00B77B55"/>
    <w:rsid w:val="00B8081A"/>
    <w:rsid w:val="00B86A07"/>
    <w:rsid w:val="00B92D38"/>
    <w:rsid w:val="00B936A8"/>
    <w:rsid w:val="00B945BB"/>
    <w:rsid w:val="00B9584D"/>
    <w:rsid w:val="00B95FAB"/>
    <w:rsid w:val="00B96027"/>
    <w:rsid w:val="00BA20F2"/>
    <w:rsid w:val="00BA7DC7"/>
    <w:rsid w:val="00BB5167"/>
    <w:rsid w:val="00BB53C3"/>
    <w:rsid w:val="00BC1018"/>
    <w:rsid w:val="00BD0B6F"/>
    <w:rsid w:val="00BD3BCD"/>
    <w:rsid w:val="00BD5F03"/>
    <w:rsid w:val="00BE02E4"/>
    <w:rsid w:val="00BE1529"/>
    <w:rsid w:val="00BE451F"/>
    <w:rsid w:val="00BE4FE7"/>
    <w:rsid w:val="00BE50CA"/>
    <w:rsid w:val="00BE6F07"/>
    <w:rsid w:val="00BF2F20"/>
    <w:rsid w:val="00BF5954"/>
    <w:rsid w:val="00C0348B"/>
    <w:rsid w:val="00C07977"/>
    <w:rsid w:val="00C10B58"/>
    <w:rsid w:val="00C143C2"/>
    <w:rsid w:val="00C14A69"/>
    <w:rsid w:val="00C14FCD"/>
    <w:rsid w:val="00C17096"/>
    <w:rsid w:val="00C20145"/>
    <w:rsid w:val="00C236C0"/>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7755B"/>
    <w:rsid w:val="00C815D1"/>
    <w:rsid w:val="00C8723F"/>
    <w:rsid w:val="00C92C8B"/>
    <w:rsid w:val="00C93040"/>
    <w:rsid w:val="00C9577D"/>
    <w:rsid w:val="00CA0369"/>
    <w:rsid w:val="00CA2199"/>
    <w:rsid w:val="00CA255E"/>
    <w:rsid w:val="00CA37B5"/>
    <w:rsid w:val="00CA411E"/>
    <w:rsid w:val="00CA50D3"/>
    <w:rsid w:val="00CA605F"/>
    <w:rsid w:val="00CB072B"/>
    <w:rsid w:val="00CC46F3"/>
    <w:rsid w:val="00CC7849"/>
    <w:rsid w:val="00CD098E"/>
    <w:rsid w:val="00CD338B"/>
    <w:rsid w:val="00CD3977"/>
    <w:rsid w:val="00CD3AE2"/>
    <w:rsid w:val="00CD7A9E"/>
    <w:rsid w:val="00CE13E1"/>
    <w:rsid w:val="00CE3F06"/>
    <w:rsid w:val="00CF0C56"/>
    <w:rsid w:val="00CF1BA2"/>
    <w:rsid w:val="00CF6796"/>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B4"/>
    <w:rsid w:val="00D669F9"/>
    <w:rsid w:val="00D720C7"/>
    <w:rsid w:val="00D722DC"/>
    <w:rsid w:val="00D72755"/>
    <w:rsid w:val="00D765F0"/>
    <w:rsid w:val="00D779E5"/>
    <w:rsid w:val="00D80EA0"/>
    <w:rsid w:val="00D832C2"/>
    <w:rsid w:val="00D87E3E"/>
    <w:rsid w:val="00D90176"/>
    <w:rsid w:val="00D930BD"/>
    <w:rsid w:val="00D97809"/>
    <w:rsid w:val="00DA20CD"/>
    <w:rsid w:val="00DA3A7F"/>
    <w:rsid w:val="00DA63C3"/>
    <w:rsid w:val="00DA7D6B"/>
    <w:rsid w:val="00DB4172"/>
    <w:rsid w:val="00DB4BAB"/>
    <w:rsid w:val="00DB6E4C"/>
    <w:rsid w:val="00DC4260"/>
    <w:rsid w:val="00DD12BB"/>
    <w:rsid w:val="00DD456C"/>
    <w:rsid w:val="00DE128C"/>
    <w:rsid w:val="00DE6446"/>
    <w:rsid w:val="00DF0B22"/>
    <w:rsid w:val="00E02379"/>
    <w:rsid w:val="00E034D5"/>
    <w:rsid w:val="00E04FEC"/>
    <w:rsid w:val="00E052D0"/>
    <w:rsid w:val="00E15A0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30AD"/>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4FC8"/>
    <w:rsid w:val="00FC17C4"/>
    <w:rsid w:val="00FD476F"/>
    <w:rsid w:val="00FD7577"/>
    <w:rsid w:val="00FE76CA"/>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41D6344"/>
  <w15:docId w15:val="{1D6EDBE4-79A3-4BC0-BEAB-01993AA0E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212423">
      <w:bodyDiv w:val="1"/>
      <w:marLeft w:val="0"/>
      <w:marRight w:val="0"/>
      <w:marTop w:val="0"/>
      <w:marBottom w:val="0"/>
      <w:divBdr>
        <w:top w:val="none" w:sz="0" w:space="0" w:color="auto"/>
        <w:left w:val="none" w:sz="0" w:space="0" w:color="auto"/>
        <w:bottom w:val="none" w:sz="0" w:space="0" w:color="auto"/>
        <w:right w:val="none" w:sz="0" w:space="0" w:color="auto"/>
      </w:divBdr>
    </w:div>
    <w:div w:id="139404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2DWAXVAW3MHF-1039565117-7</_dlc_DocId>
    <_dlc_DocIdUrl xmlns="a7e37686-00e6-405d-9032-d05dd3ba55a9">
      <Url>https://vis.fnbrno.cz/c012/WebVZVZ/_layouts/15/DocIdRedir.aspx?ID=2DWAXVAW3MHF-1039565117-7</Url>
      <Description>2DWAXVAW3MHF-1039565117-7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DD950908855044E848F753632160E2F" ma:contentTypeVersion="3" ma:contentTypeDescription="Vytvoří nový dokument" ma:contentTypeScope="" ma:versionID="3a59fc10c79ba3f4869b0d07cb867088">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2.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3.xml><?xml version="1.0" encoding="utf-8"?>
<ds:datastoreItem xmlns:ds="http://schemas.openxmlformats.org/officeDocument/2006/customXml" ds:itemID="{961F45F9-6D3E-4C84-9C0A-22792AD54727}">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a7e37686-00e6-405d-9032-d05dd3ba55a9"/>
    <ds:schemaRef ds:uri="http://www.w3.org/XML/1998/namespace"/>
    <ds:schemaRef ds:uri="http://purl.org/dc/dcmitype/"/>
  </ds:schemaRefs>
</ds:datastoreItem>
</file>

<file path=customXml/itemProps4.xml><?xml version="1.0" encoding="utf-8"?>
<ds:datastoreItem xmlns:ds="http://schemas.openxmlformats.org/officeDocument/2006/customXml" ds:itemID="{4C25048A-64FF-470E-85AF-1B1E12441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058C59-4A9C-450B-B24E-87DF949070D5}">
  <ds:schemaRefs>
    <ds:schemaRef ds:uri="http://schemas.microsoft.com/sharepoint/events"/>
  </ds:schemaRefs>
</ds:datastoreItem>
</file>

<file path=customXml/itemProps6.xml><?xml version="1.0" encoding="utf-8"?>
<ds:datastoreItem xmlns:ds="http://schemas.openxmlformats.org/officeDocument/2006/customXml" ds:itemID="{3506B8DC-820E-4C4E-9955-26AAAD0B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3367</Words>
  <Characters>18919</Characters>
  <Application>Microsoft Office Word</Application>
  <DocSecurity>0</DocSecurity>
  <Lines>157</Lines>
  <Paragraphs>44</Paragraphs>
  <ScaleCrop>false</ScaleCrop>
  <HeadingPairs>
    <vt:vector size="2" baseType="variant">
      <vt:variant>
        <vt:lpstr>Název</vt:lpstr>
      </vt:variant>
      <vt:variant>
        <vt:i4>1</vt:i4>
      </vt:variant>
    </vt:vector>
  </HeadingPairs>
  <TitlesOfParts>
    <vt:vector size="1" baseType="lpstr">
      <vt:lpstr>Rámcová kupní smlouva pro léky a zdravotnický materiál</vt:lpstr>
    </vt:vector>
  </TitlesOfParts>
  <Company>sV</Company>
  <LinksUpToDate>false</LinksUpToDate>
  <CharactersWithSpaces>22242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 pro léky a zdravotnický materiál</dc:title>
  <dc:creator>sV</dc:creator>
  <cp:lastModifiedBy>Mičánková Lucie</cp:lastModifiedBy>
  <cp:revision>6</cp:revision>
  <cp:lastPrinted>2020-03-06T12:50:00Z</cp:lastPrinted>
  <dcterms:created xsi:type="dcterms:W3CDTF">2020-03-06T12:50:00Z</dcterms:created>
  <dcterms:modified xsi:type="dcterms:W3CDTF">2020-07-08T07:45:00Z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6f1e7887-2230-417c-931b-1e702de3c31b</vt:lpwstr>
  </property>
  <property fmtid="{D5CDD505-2E9C-101B-9397-08002B2CF9AE}" pid="4" name="_dlc_DocIdUrl">
    <vt:lpwstr>http://vis/c012/WebVZVZ/_layouts/15/DocIdRedir.aspx?ID=2DWAXVAW3MHF-1541-9, 2DWAXVAW3MHF-1541-9</vt:lpwstr>
  </property>
  <property fmtid="{D5CDD505-2E9C-101B-9397-08002B2CF9AE}" pid="5" name="ContentTypeId">
    <vt:lpwstr>0x010100CDD950908855044E848F753632160E2F</vt:lpwstr>
  </property>
</Properties>
</file>