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B3" w:rsidRDefault="007027B3">
      <w:pPr>
        <w:spacing w:after="99" w:line="1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408"/>
        <w:gridCol w:w="1757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D65A66"/>
                <w:sz w:val="15"/>
                <w:szCs w:val="15"/>
              </w:rPr>
              <w:t>KOMA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VŠEOBECNÉ OBCHODNÍ PODMÍNKY</w:t>
            </w:r>
          </w:p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1 / 6</w:t>
            </w:r>
          </w:p>
        </w:tc>
      </w:tr>
    </w:tbl>
    <w:p w:rsidR="007027B3" w:rsidRDefault="007027B3">
      <w:pPr>
        <w:spacing w:after="559" w:line="1" w:lineRule="exact"/>
      </w:pP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480" w:line="240" w:lineRule="auto"/>
      </w:pPr>
      <w:bookmarkStart w:id="1" w:name="bookmark0"/>
      <w:bookmarkStart w:id="2" w:name="bookmark1"/>
      <w:r>
        <w:t>Základní ustanovení</w:t>
      </w:r>
      <w:bookmarkEnd w:id="1"/>
      <w:bookmarkEnd w:id="2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22"/>
        </w:tabs>
        <w:spacing w:after="480" w:line="240" w:lineRule="auto"/>
        <w:ind w:left="740" w:hanging="360"/>
      </w:pPr>
      <w:r>
        <w:t xml:space="preserve">Tyto Všeobecné obchodní podmínky (dále jen VOP) platí pro veškeré závazkové vztahy mezi společností KOMA </w:t>
      </w:r>
      <w:r>
        <w:rPr>
          <w:lang w:val="en-US" w:eastAsia="en-US" w:bidi="en-US"/>
        </w:rPr>
        <w:t xml:space="preserve">MODULAR </w:t>
      </w:r>
      <w:r>
        <w:t xml:space="preserve">s.r.o., Říčanská 1191, 763 12 Vizovice, IČ: 46966170 (dále jen KOMA </w:t>
      </w:r>
      <w:r>
        <w:rPr>
          <w:lang w:val="en-US" w:eastAsia="en-US" w:bidi="en-US"/>
        </w:rPr>
        <w:t xml:space="preserve">MODULAR) </w:t>
      </w:r>
      <w:r>
        <w:t xml:space="preserve">a jinými osobami, </w:t>
      </w:r>
      <w:r>
        <w:rPr>
          <w:b/>
          <w:bCs/>
        </w:rPr>
        <w:t xml:space="preserve">kde KOMA </w:t>
      </w:r>
      <w:r>
        <w:rPr>
          <w:b/>
          <w:bCs/>
          <w:lang w:val="en-US" w:eastAsia="en-US" w:bidi="en-US"/>
        </w:rPr>
        <w:t xml:space="preserve">MODULAR </w:t>
      </w:r>
      <w:r>
        <w:t xml:space="preserve">je </w:t>
      </w:r>
      <w:r>
        <w:rPr>
          <w:b/>
          <w:bCs/>
        </w:rPr>
        <w:t xml:space="preserve">v postavení prodávající, v případě kupních smluv, nebo zhotovitele, v případě smluv o dílo (dále jen Smlouvy). </w:t>
      </w:r>
      <w:r>
        <w:t>Smlouvy jsou mezi stranami uza</w:t>
      </w:r>
      <w:r>
        <w:t>vírány formou písemného potvrzení objednávek.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22"/>
        </w:tabs>
        <w:spacing w:after="480"/>
        <w:ind w:left="740" w:hanging="360"/>
        <w:jc w:val="both"/>
      </w:pPr>
      <w:r>
        <w:t xml:space="preserve">Tyto VOP tvoří nedílnou součást Smluv ve smyslu ustanovení § 1751 zákona č. 89/2012 </w:t>
      </w:r>
      <w:proofErr w:type="gramStart"/>
      <w:r>
        <w:t>Sb..</w:t>
      </w:r>
      <w:proofErr w:type="gramEnd"/>
      <w:r>
        <w:t xml:space="preserve"> občanský zákoník (dále jen „občanský zákoník“). Společnost KOMA </w:t>
      </w:r>
      <w:r>
        <w:rPr>
          <w:lang w:val="en-US" w:eastAsia="en-US" w:bidi="en-US"/>
        </w:rPr>
        <w:t xml:space="preserve">MODULAR </w:t>
      </w:r>
      <w:r>
        <w:t xml:space="preserve">je dále v těchto </w:t>
      </w:r>
      <w:proofErr w:type="gramStart"/>
      <w:r>
        <w:t>VOP</w:t>
      </w:r>
      <w:proofErr w:type="gramEnd"/>
      <w:r>
        <w:t xml:space="preserve"> pokud jde o Smlouvy označová</w:t>
      </w:r>
      <w:r>
        <w:t>na jako „prodávající“, kupující a objednatelé jsou dále v těchto VOP, pokud jde o Smlouvy, označováni pouze jako „kupující“.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480" w:line="240" w:lineRule="auto"/>
      </w:pPr>
      <w:bookmarkStart w:id="3" w:name="bookmark2"/>
      <w:bookmarkStart w:id="4" w:name="bookmark3"/>
      <w:r>
        <w:t>Přijetí objednávek</w:t>
      </w:r>
      <w:bookmarkEnd w:id="3"/>
      <w:bookmarkEnd w:id="4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44"/>
        </w:tabs>
        <w:spacing w:after="120"/>
        <w:ind w:left="740" w:hanging="360"/>
      </w:pPr>
      <w:r>
        <w:t xml:space="preserve">Všechny nabídky, díla a dodávky firmy KOMA </w:t>
      </w:r>
      <w:r>
        <w:rPr>
          <w:lang w:val="en-US" w:eastAsia="en-US" w:bidi="en-US"/>
        </w:rPr>
        <w:t xml:space="preserve">MODULAR </w:t>
      </w:r>
      <w:r>
        <w:t xml:space="preserve">jsou provedeny výhradně na základě těchto Všeobecných </w:t>
      </w:r>
      <w:r>
        <w:t>obchodních podmínek a smlouvy či platné objednávky kupujícího.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51"/>
        </w:tabs>
        <w:spacing w:after="120" w:line="240" w:lineRule="auto"/>
        <w:ind w:left="740" w:hanging="360"/>
        <w:jc w:val="both"/>
      </w:pPr>
      <w:r>
        <w:t>Za platnou objednávku kupujícího se považuje oboustranně písemně potvrzená objednávka s termínem dodání, se vzájemně potvrzeným technickým provedením a s určeným rozsahem výkonu/díla. Zaslaná o</w:t>
      </w:r>
      <w:r>
        <w:t xml:space="preserve">bjednávka, která nebyla firmou KOMA </w:t>
      </w:r>
      <w:r>
        <w:rPr>
          <w:lang w:val="en-US" w:eastAsia="en-US" w:bidi="en-US"/>
        </w:rPr>
        <w:t xml:space="preserve">MODULAR </w:t>
      </w:r>
      <w:r>
        <w:t xml:space="preserve">písemně potvrzena, nevytváří mezi firmou KOMA </w:t>
      </w:r>
      <w:r>
        <w:rPr>
          <w:lang w:val="en-US" w:eastAsia="en-US" w:bidi="en-US"/>
        </w:rPr>
        <w:t xml:space="preserve">MODULAR </w:t>
      </w:r>
      <w:r>
        <w:t>a kupujícím žádný smluvní vztah.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51"/>
        </w:tabs>
        <w:spacing w:after="120" w:line="240" w:lineRule="auto"/>
        <w:ind w:left="700" w:hanging="320"/>
      </w:pPr>
      <w:r>
        <w:t>Objednávky kupujícího se prodávajícímu doručují v písemné podobě prostřednictvím internetového portálu kupujícího, prostředni</w:t>
      </w:r>
      <w:r>
        <w:t>ctvím e-mailu nebo faxem.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51"/>
        </w:tabs>
        <w:spacing w:after="120" w:line="240" w:lineRule="auto"/>
        <w:ind w:left="700" w:hanging="320"/>
      </w:pPr>
      <w:r>
        <w:t xml:space="preserve">V případě neodebrání zboží ve stanovené lhůtě. firma KOMA </w:t>
      </w:r>
      <w:r>
        <w:rPr>
          <w:lang w:val="en-US" w:eastAsia="en-US" w:bidi="en-US"/>
        </w:rPr>
        <w:t xml:space="preserve">MODULAR </w:t>
      </w:r>
      <w:r>
        <w:t>s.r.o účtuje zákazníku skladné a manipulační náklady za celou dobu uskladnění.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51"/>
        </w:tabs>
        <w:spacing w:after="480" w:line="240" w:lineRule="auto"/>
        <w:ind w:left="700" w:hanging="320"/>
      </w:pPr>
      <w:r>
        <w:t xml:space="preserve">V případě, že podklady pro smlouvu budou předloženy jak firmou KOMA </w:t>
      </w:r>
      <w:r>
        <w:rPr>
          <w:lang w:val="en-US" w:eastAsia="en-US" w:bidi="en-US"/>
        </w:rPr>
        <w:t xml:space="preserve">MODULAR, </w:t>
      </w:r>
      <w:r>
        <w:t>tak kupu</w:t>
      </w:r>
      <w:r>
        <w:t xml:space="preserve">jícím, platí pouze odsouhlasené podklady firmy KOMA </w:t>
      </w:r>
      <w:r>
        <w:rPr>
          <w:lang w:val="en-US" w:eastAsia="en-US" w:bidi="en-US"/>
        </w:rPr>
        <w:t xml:space="preserve">MODULAR </w:t>
      </w:r>
      <w:r>
        <w:t xml:space="preserve">s.r.o. Tímto dojde k zamezení rozdílného výkladu rozsahu prací a technologie díla. Všechny odlišující se a ústně sjednané vztahy musí být písemně dojednány s obchodním oddělením firmy KOMA </w:t>
      </w:r>
      <w:r>
        <w:rPr>
          <w:lang w:val="en-US" w:eastAsia="en-US" w:bidi="en-US"/>
        </w:rPr>
        <w:t>MODULAR</w:t>
      </w:r>
      <w:r>
        <w:rPr>
          <w:lang w:val="en-US" w:eastAsia="en-US" w:bidi="en-US"/>
        </w:rPr>
        <w:t xml:space="preserve"> </w:t>
      </w:r>
      <w:r>
        <w:t>s.r.o. formou dodatku v případě již uzavřené smlouvy.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386"/>
        <w:gridCol w:w="1735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D65A66"/>
                <w:sz w:val="15"/>
                <w:szCs w:val="15"/>
              </w:rPr>
              <w:t>KOMA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VŠEOBECNÉ OBCHODNÍ PODMÍNKY 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O.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2/6</w:t>
            </w:r>
          </w:p>
        </w:tc>
      </w:tr>
    </w:tbl>
    <w:p w:rsidR="007027B3" w:rsidRDefault="007027B3">
      <w:pPr>
        <w:spacing w:after="619" w:line="1" w:lineRule="exact"/>
      </w:pP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480"/>
        <w:jc w:val="both"/>
      </w:pPr>
      <w:bookmarkStart w:id="5" w:name="bookmark4"/>
      <w:bookmarkStart w:id="6" w:name="bookmark5"/>
      <w:r>
        <w:t>Dodávka a podmínky dodávky, přechod nebezpečí škody na předmětu plnění</w:t>
      </w:r>
      <w:bookmarkEnd w:id="5"/>
      <w:bookmarkEnd w:id="6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84"/>
        </w:tabs>
        <w:ind w:firstLine="420"/>
        <w:jc w:val="both"/>
      </w:pPr>
      <w:r>
        <w:t xml:space="preserve">Prodávající je povinen dodat předmět plnění, který je </w:t>
      </w:r>
      <w:r>
        <w:t>uveden v kupní smlouvě.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04"/>
        </w:tabs>
        <w:ind w:left="780" w:hanging="340"/>
        <w:jc w:val="both"/>
      </w:pPr>
      <w:r>
        <w:lastRenderedPageBreak/>
        <w:t xml:space="preserve">Smlouvaje dodáním dle bodu 3.1. takto považována za splněnou a kupující je povinen takovou dodávku předmětu plnění přijmout a uhradit cenu předmětu plnění odpovídající množství dodaného předmětu plnění. V případě stornování Smlouvy </w:t>
      </w:r>
      <w:r>
        <w:t>je kupující povinen uhradit prodávajícímu vyfakturované vzniklé náklady a škodu tím vzniklou.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04"/>
        </w:tabs>
        <w:ind w:left="780" w:hanging="340"/>
        <w:jc w:val="both"/>
      </w:pPr>
      <w:r>
        <w:t>Místem plnění je provozovna prodávajícího ve Vizovicích, pokud smlouva nestanoví jinak. Splněním dodávky předmětu plnění se rozumí okamžik splnění dle dodací dolo</w:t>
      </w:r>
      <w:r>
        <w:t xml:space="preserve">žky </w:t>
      </w:r>
      <w:r>
        <w:rPr>
          <w:lang w:val="en-US" w:eastAsia="en-US" w:bidi="en-US"/>
        </w:rPr>
        <w:t xml:space="preserve">INCOTERMS </w:t>
      </w:r>
      <w:r>
        <w:t xml:space="preserve">2000 EXW, pokud nebude smluvními stranami dohodnuto jinak. V případě, že kupující nepřevezme předmět plnění ve sjednaném termínu ani na pozdější písemnou, faxovou nebo e-mailovou výzvu prodávajícího, má se zato, že závazek prodávajícího byl </w:t>
      </w:r>
      <w:r>
        <w:t>splněn uplynutím desátého dne ode dne splnění výzvy.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04"/>
        </w:tabs>
        <w:ind w:left="780" w:hanging="340"/>
        <w:jc w:val="both"/>
      </w:pPr>
      <w:r>
        <w:t>Pokud není mezi stranami písemně dohodnuto jinak je prodávající povinen předmět plnění připravit pro kupujícího v sídle prodávajícího. Prodávající je oprávněn dodávat předmět plnění i v dílčích dodávkách</w:t>
      </w:r>
      <w:r>
        <w:t>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04"/>
        </w:tabs>
        <w:spacing w:line="257" w:lineRule="auto"/>
        <w:ind w:left="780" w:hanging="340"/>
        <w:jc w:val="both"/>
      </w:pPr>
      <w:r>
        <w:t xml:space="preserve">Přechod nebezpečí škody na předmětu plnění je dán předáním předmětu plnění kupujícímu, případně podle smlouvou potvrzených dodacích podmínek </w:t>
      </w:r>
      <w:r>
        <w:rPr>
          <w:lang w:val="en-US" w:eastAsia="en-US" w:bidi="en-US"/>
        </w:rPr>
        <w:t xml:space="preserve">INCOTERMS </w:t>
      </w:r>
      <w:r>
        <w:t>2010.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04"/>
        </w:tabs>
        <w:spacing w:after="480"/>
        <w:ind w:left="780" w:hanging="340"/>
        <w:jc w:val="both"/>
      </w:pPr>
      <w:r>
        <w:t xml:space="preserve">U zpoždění dodávek nebo výkonů na základě vyšší moci nebo podobných událostí, obzvláště v případě stávek, výluk atd. je KOMA </w:t>
      </w:r>
      <w:r>
        <w:rPr>
          <w:lang w:val="en-US" w:eastAsia="en-US" w:bidi="en-US"/>
        </w:rPr>
        <w:t xml:space="preserve">MODULAR </w:t>
      </w:r>
      <w:r>
        <w:t>s.r.o. oprávněna přesunout dodání o dobu trvání překážek včetně přiměřené doby náběhu výroby. Totéž platí při zpožděném dod</w:t>
      </w:r>
      <w:r>
        <w:t xml:space="preserve">ání zboží subdodavateli firmy KOMA </w:t>
      </w:r>
      <w:r>
        <w:rPr>
          <w:lang w:val="en-US" w:eastAsia="en-US" w:bidi="en-US"/>
        </w:rPr>
        <w:t>MODULAR.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480"/>
        <w:jc w:val="both"/>
      </w:pPr>
      <w:bookmarkStart w:id="7" w:name="bookmark6"/>
      <w:bookmarkStart w:id="8" w:name="bookmark7"/>
      <w:r>
        <w:t xml:space="preserve">Standardní výkony/dodávky firmy KOMA </w:t>
      </w:r>
      <w:r>
        <w:rPr>
          <w:lang w:val="en-US" w:eastAsia="en-US" w:bidi="en-US"/>
        </w:rPr>
        <w:t>MODULAR</w:t>
      </w:r>
      <w:bookmarkEnd w:id="7"/>
      <w:bookmarkEnd w:id="8"/>
    </w:p>
    <w:p w:rsidR="007027B3" w:rsidRDefault="00E3276A">
      <w:pPr>
        <w:pStyle w:val="Bodytext10"/>
        <w:shd w:val="clear" w:color="auto" w:fill="auto"/>
        <w:spacing w:after="0"/>
        <w:ind w:firstLine="560"/>
        <w:jc w:val="both"/>
      </w:pPr>
      <w:r>
        <w:rPr>
          <w:u w:val="single"/>
        </w:rPr>
        <w:t>Vždy: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left="880" w:hanging="320"/>
        <w:jc w:val="both"/>
      </w:pPr>
      <w:r>
        <w:t>schématický výkres půdorysu kontejneru nebo objektu (nenahrazuje stavební výkres půdorysu)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left="880" w:hanging="320"/>
        <w:jc w:val="both"/>
      </w:pPr>
      <w:r>
        <w:t>schématický výkres návrhu půdorysu základů bez statického výpočtu (sta</w:t>
      </w:r>
      <w:r>
        <w:t>tický výpočet základů bude zhotoven za příplatek).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560"/>
        <w:jc w:val="both"/>
      </w:pPr>
      <w:r>
        <w:t>návod na použití a údržbu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left="880" w:hanging="320"/>
        <w:jc w:val="both"/>
      </w:pPr>
      <w:r>
        <w:t xml:space="preserve">záruční listy a návody k použití na výrobky, které firma KOMA </w:t>
      </w:r>
      <w:r>
        <w:rPr>
          <w:lang w:val="en-US" w:eastAsia="en-US" w:bidi="en-US"/>
        </w:rPr>
        <w:t xml:space="preserve">MODULAR </w:t>
      </w:r>
      <w:r>
        <w:t>s.r.o. nakoupila od svých subdodavatelů.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868"/>
        </w:tabs>
        <w:ind w:left="880" w:hanging="320"/>
        <w:jc w:val="both"/>
      </w:pPr>
      <w:r>
        <w:t xml:space="preserve">Certifikát LGA Norimberk č. MB2602605 s malým svářečským průkazem </w:t>
      </w:r>
      <w:r>
        <w:t>podle DIN 18 800 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422"/>
        <w:gridCol w:w="1735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D65A66"/>
                <w:sz w:val="15"/>
                <w:szCs w:val="15"/>
              </w:rPr>
              <w:t>KOMA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VŠEOBECNÉ OBCHODNÍ PODMÍNKY 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O.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3 / 6</w:t>
            </w:r>
          </w:p>
        </w:tc>
      </w:tr>
    </w:tbl>
    <w:p w:rsidR="007027B3" w:rsidRDefault="007027B3">
      <w:pPr>
        <w:spacing w:after="259" w:line="1" w:lineRule="exact"/>
      </w:pPr>
    </w:p>
    <w:p w:rsidR="007027B3" w:rsidRDefault="00E3276A">
      <w:pPr>
        <w:pStyle w:val="Bodytext10"/>
        <w:shd w:val="clear" w:color="auto" w:fill="auto"/>
        <w:spacing w:after="0"/>
        <w:ind w:firstLine="680"/>
        <w:jc w:val="both"/>
      </w:pPr>
      <w:r>
        <w:rPr>
          <w:u w:val="single"/>
        </w:rPr>
        <w:t>Na vyžádání: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921"/>
        </w:tabs>
        <w:spacing w:after="0"/>
        <w:ind w:firstLine="680"/>
      </w:pPr>
      <w:r>
        <w:t>statický výpočet rámu standardního kontejneru bude dodán na vyžádání</w:t>
      </w:r>
    </w:p>
    <w:p w:rsidR="007027B3" w:rsidRDefault="00E3276A">
      <w:pPr>
        <w:pStyle w:val="Bodytext10"/>
        <w:numPr>
          <w:ilvl w:val="0"/>
          <w:numId w:val="2"/>
        </w:numPr>
        <w:shd w:val="clear" w:color="auto" w:fill="auto"/>
        <w:tabs>
          <w:tab w:val="left" w:pos="921"/>
        </w:tabs>
        <w:spacing w:after="0"/>
        <w:ind w:left="980" w:hanging="300"/>
      </w:pPr>
      <w:r>
        <w:t>tepelně technické posouzení konstrukce kontejneru dle ČSN 73 0540 bude dodáno na</w:t>
      </w:r>
      <w:r>
        <w:t xml:space="preserve"> vyžádání</w:t>
      </w:r>
    </w:p>
    <w:p w:rsidR="007027B3" w:rsidRDefault="00E3276A">
      <w:pPr>
        <w:pStyle w:val="Bodytext10"/>
        <w:shd w:val="clear" w:color="auto" w:fill="auto"/>
        <w:spacing w:after="0" w:line="300" w:lineRule="auto"/>
      </w:pPr>
      <w:r>
        <w:t xml:space="preserve">Výroba zboží dle platné smlouvy a specifikace potvrzené firmou KOMA </w:t>
      </w:r>
      <w:r>
        <w:rPr>
          <w:lang w:val="en-US" w:eastAsia="en-US" w:bidi="en-US"/>
        </w:rPr>
        <w:t xml:space="preserve">MODULAR </w:t>
      </w:r>
      <w:r>
        <w:t>s.r.o. Doprava do místa určení.</w:t>
      </w:r>
    </w:p>
    <w:p w:rsidR="007027B3" w:rsidRDefault="00E3276A">
      <w:pPr>
        <w:pStyle w:val="Bodytext10"/>
        <w:shd w:val="clear" w:color="auto" w:fill="auto"/>
        <w:spacing w:after="260" w:line="300" w:lineRule="auto"/>
      </w:pPr>
      <w:r>
        <w:t>Montáž kontejnerové sestavy v místě určení. Rozsah montáže musí být specifikován ve smlouvě.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480"/>
      </w:pPr>
      <w:bookmarkStart w:id="9" w:name="bookmark8"/>
      <w:bookmarkStart w:id="10" w:name="bookmark9"/>
      <w:r>
        <w:t>Standardní výkony na náklady kupujícího</w:t>
      </w:r>
      <w:bookmarkEnd w:id="9"/>
      <w:bookmarkEnd w:id="10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17"/>
        </w:tabs>
        <w:spacing w:line="240" w:lineRule="auto"/>
        <w:ind w:left="740" w:hanging="280"/>
        <w:jc w:val="both"/>
      </w:pPr>
      <w:r>
        <w:t>Vyřízení stavebního povolení. Kupující je povinen také informovat o všech platných stavebních předpisech pro danou oblast.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17"/>
        </w:tabs>
        <w:ind w:left="740" w:hanging="280"/>
        <w:jc w:val="both"/>
      </w:pPr>
      <w:r>
        <w:lastRenderedPageBreak/>
        <w:t xml:space="preserve">Vyřízení pracovního povolení pro montážní skupinu firmy KOMA </w:t>
      </w:r>
      <w:r>
        <w:rPr>
          <w:lang w:val="en-US" w:eastAsia="en-US" w:bidi="en-US"/>
        </w:rPr>
        <w:t xml:space="preserve">MODULAR </w:t>
      </w:r>
      <w:r>
        <w:t>s.r.o., případně předání nutných podkladů k vyřízení. V zahranič</w:t>
      </w:r>
      <w:r>
        <w:t xml:space="preserve">í kupující spolupracuje na oznamovací povinnosti pracovníků firmy KOMA </w:t>
      </w:r>
      <w:r>
        <w:rPr>
          <w:lang w:val="en-US" w:eastAsia="en-US" w:bidi="en-US"/>
        </w:rPr>
        <w:t xml:space="preserve">MODULAR </w:t>
      </w:r>
      <w:r>
        <w:t>vůči kompetentním úřadům.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17"/>
        </w:tabs>
        <w:spacing w:line="240" w:lineRule="auto"/>
        <w:ind w:left="740" w:hanging="280"/>
        <w:jc w:val="both"/>
      </w:pPr>
      <w:r>
        <w:t>Stavební příprava: základy a připojení vody, elektrické energie, plynu a kanalizace na vlastní náklady, včetně nutných provozních revizních zkoušek. Pr</w:t>
      </w:r>
      <w:r>
        <w:t xml:space="preserve">ovedení základů musí odpovídat požadavkům firmy KOMA </w:t>
      </w:r>
      <w:r>
        <w:rPr>
          <w:lang w:val="en-US" w:eastAsia="en-US" w:bidi="en-US"/>
        </w:rPr>
        <w:t>MODULAR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17"/>
        </w:tabs>
        <w:ind w:left="740" w:hanging="280"/>
        <w:jc w:val="both"/>
      </w:pPr>
      <w:r>
        <w:t xml:space="preserve">Základy pod moduly musí být zhotoveny podle základového plánu navrženého nebo odsouhlaseného projektantem firmy KOMA </w:t>
      </w:r>
      <w:r>
        <w:rPr>
          <w:lang w:val="en-US" w:eastAsia="en-US" w:bidi="en-US"/>
        </w:rPr>
        <w:t xml:space="preserve">MODULAR. </w:t>
      </w:r>
      <w:r>
        <w:t>Pokud kupující provede montáž modulů na základy neodpovídající výše u</w:t>
      </w:r>
      <w:r>
        <w:t xml:space="preserve">vedeným požadavkům, firma KOMA </w:t>
      </w:r>
      <w:r>
        <w:rPr>
          <w:lang w:val="en-US" w:eastAsia="en-US" w:bidi="en-US"/>
        </w:rPr>
        <w:t xml:space="preserve">MODULAR </w:t>
      </w:r>
      <w:r>
        <w:t xml:space="preserve">neodpovídá za případné škody, které v souvislosti s touto závadou vzniknou. Pokud provedení základu neodpovídá požadavkům firmy KOMA </w:t>
      </w:r>
      <w:r>
        <w:rPr>
          <w:lang w:val="en-US" w:eastAsia="en-US" w:bidi="en-US"/>
        </w:rPr>
        <w:t xml:space="preserve">MODULAR, </w:t>
      </w:r>
      <w:r>
        <w:t>má tato právo odmítnout provedení montáže až do odstranění závad. Tímto vzn</w:t>
      </w:r>
      <w:r>
        <w:t>iklé vícenáklady budou poté uplatňovány po kupujícím. Kupující je dále odpovědný za to, že provedené základy jsou zhotoveny přesně dle požadavků platných norem pro spodní základové stavby.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17"/>
        </w:tabs>
        <w:ind w:left="740" w:hanging="280"/>
        <w:jc w:val="both"/>
      </w:pPr>
      <w:r>
        <w:t>V případě, že kupující neodebere zboží ve stanoveném termínu, např.</w:t>
      </w:r>
      <w:r>
        <w:t xml:space="preserve"> stavební připravenost, za kterou byl zodpovědný, není provedena dle smluvně stanoveného termínu, zavazuje se uhradit dodatečné náklady na straně prodávajícího za manipulaci, transport ve výši I 700 Kč / ks a skladování jednotlivých modulů ve výši 35 Kč / </w:t>
      </w:r>
      <w:r>
        <w:t>ks za každý den až do data odběru zboží nové stavební připravenosti. V takovémto případě je nový termín nástupu na montáž stanoven prodávajícím dle nově vzniklých podmínek, přičemž kupující je povinen jej akceptovat.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76"/>
        </w:tabs>
        <w:ind w:left="740" w:hanging="360"/>
        <w:jc w:val="both"/>
      </w:pPr>
      <w:r>
        <w:t>Vzhledem k charakteru stavby musí být d</w:t>
      </w:r>
      <w:r>
        <w:t>ále ze strany kupujícího zajištěno dostatečné zaizolování prostoru mezi základovým segmentem a podlahou stavby a rovnoměrné odvětrání prostoru mezi základem a podlahou stavby. Dále musí být dešťová voda, která do tohoto prostoru teče, svedena mimo segmenty</w:t>
      </w:r>
      <w:r>
        <w:t xml:space="preserve"> do kanalizace.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76"/>
        </w:tabs>
        <w:ind w:left="740" w:hanging="360"/>
        <w:jc w:val="both"/>
      </w:pPr>
      <w:r>
        <w:t>Zajištění/přistavení: jeřábu o potřebné nosnosti, volného příjezdu a přístupu po celou dobu montáže včetně sobot a nedělí, odpadních kontejnerů a jejich odvozu, přívodu elektrické energie pro montáž, WC, popř. sociálního zařízení po celou d</w:t>
      </w:r>
      <w:r>
        <w:t>obu montáže. 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394"/>
        <w:gridCol w:w="1728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D65A66"/>
                <w:sz w:val="15"/>
                <w:szCs w:val="15"/>
              </w:rPr>
              <w:t>KOMA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VŠEOBECNÉ OBCHODNÍ PODMÍNKY 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4/6</w:t>
            </w:r>
          </w:p>
        </w:tc>
      </w:tr>
    </w:tbl>
    <w:p w:rsidR="007027B3" w:rsidRDefault="007027B3">
      <w:pPr>
        <w:spacing w:after="239" w:line="1" w:lineRule="exact"/>
      </w:pPr>
    </w:p>
    <w:p w:rsidR="007027B3" w:rsidRDefault="00E3276A">
      <w:pPr>
        <w:pStyle w:val="Bodytext10"/>
        <w:shd w:val="clear" w:color="auto" w:fill="auto"/>
        <w:ind w:left="860" w:firstLine="20"/>
        <w:jc w:val="both"/>
      </w:pPr>
      <w:r>
        <w:t xml:space="preserve">připravenosti spodní stavby včetně stavebních přípojek a příjezdové zpevněné komunikace musí kupující informovat zodpovědného pracovníka firmy KOMA </w:t>
      </w:r>
      <w:r>
        <w:rPr>
          <w:lang w:val="en-US" w:eastAsia="en-US" w:bidi="en-US"/>
        </w:rPr>
        <w:t xml:space="preserve">MODULAR </w:t>
      </w:r>
      <w:r>
        <w:t>(bude uveden</w:t>
      </w:r>
      <w:r>
        <w:t xml:space="preserve"> ve smlouvě) nejpozději 3 dny před zahájením dodávky.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spacing w:line="240" w:lineRule="auto"/>
        <w:ind w:left="860" w:hanging="380"/>
        <w:jc w:val="both"/>
      </w:pPr>
      <w:r>
        <w:t xml:space="preserve">Pokud budou práce firmě KOMA </w:t>
      </w:r>
      <w:r>
        <w:rPr>
          <w:lang w:val="en-US" w:eastAsia="en-US" w:bidi="en-US"/>
        </w:rPr>
        <w:t xml:space="preserve">MODULAR </w:t>
      </w:r>
      <w:r>
        <w:t>znemožněny pracemi jiných firem, bude zhotoven protokol o stavu výkonů, aby mohly být případné škody způsobené ze strany jiných firem uplatňovány na kupujícím.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spacing w:after="480"/>
        <w:ind w:left="860" w:hanging="380"/>
        <w:jc w:val="both"/>
      </w:pPr>
      <w:r>
        <w:t>Kupuj</w:t>
      </w:r>
      <w:r>
        <w:t xml:space="preserve">ící zajistí převzetí předmětu dodávky od dopravce a potvrdí předávací protokol dopravci, v zahraničí potvrdí CMR a </w:t>
      </w:r>
      <w:proofErr w:type="spellStart"/>
      <w:r>
        <w:t>Lieferschein</w:t>
      </w:r>
      <w:proofErr w:type="spellEnd"/>
      <w:r>
        <w:t xml:space="preserve"> (dodací </w:t>
      </w:r>
      <w:r>
        <w:rPr>
          <w:lang w:val="en-US" w:eastAsia="en-US" w:bidi="en-US"/>
        </w:rPr>
        <w:t xml:space="preserve">list). </w:t>
      </w:r>
      <w:r>
        <w:t>V těchto dokladech budou vyznačeny případné zjevné vady.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</w:pPr>
      <w:bookmarkStart w:id="11" w:name="bookmark10"/>
      <w:bookmarkStart w:id="12" w:name="bookmark11"/>
      <w:r>
        <w:t xml:space="preserve">Platební podmínky (v případě, že nebylo ve smlouvě </w:t>
      </w:r>
      <w:r>
        <w:t>uvedeno jinak)</w:t>
      </w:r>
      <w:bookmarkEnd w:id="11"/>
      <w:bookmarkEnd w:id="12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860" w:hanging="380"/>
      </w:pPr>
      <w:r>
        <w:t xml:space="preserve">Vydání zboží kupujícímu ze závodu firmy KOMA </w:t>
      </w:r>
      <w:r>
        <w:rPr>
          <w:lang w:val="en-US" w:eastAsia="en-US" w:bidi="en-US"/>
        </w:rPr>
        <w:t xml:space="preserve">MODULAR </w:t>
      </w:r>
      <w:r>
        <w:t xml:space="preserve">následuje teprve po zaplacení zálohy ve výši </w:t>
      </w:r>
      <w:proofErr w:type="gramStart"/>
      <w:r>
        <w:t>90%</w:t>
      </w:r>
      <w:proofErr w:type="gramEnd"/>
      <w:r>
        <w:t xml:space="preserve"> ceny zboží následujícím způsobem:</w:t>
      </w:r>
    </w:p>
    <w:p w:rsidR="007027B3" w:rsidRDefault="00E3276A">
      <w:pPr>
        <w:pStyle w:val="Bodytext10"/>
        <w:shd w:val="clear" w:color="auto" w:fill="auto"/>
        <w:spacing w:after="0"/>
        <w:ind w:left="1340"/>
        <w:jc w:val="both"/>
      </w:pPr>
      <w:r>
        <w:t>60% záloha při objednávce</w:t>
      </w:r>
    </w:p>
    <w:p w:rsidR="007027B3" w:rsidRDefault="00E3276A">
      <w:pPr>
        <w:pStyle w:val="Bodytext10"/>
        <w:shd w:val="clear" w:color="auto" w:fill="auto"/>
        <w:spacing w:after="0"/>
        <w:ind w:left="1340"/>
        <w:jc w:val="both"/>
      </w:pPr>
      <w:r>
        <w:t>30% záloha před vydodáním</w:t>
      </w:r>
    </w:p>
    <w:p w:rsidR="007027B3" w:rsidRDefault="00E3276A">
      <w:pPr>
        <w:pStyle w:val="Bodytext10"/>
        <w:shd w:val="clear" w:color="auto" w:fill="auto"/>
        <w:spacing w:after="40"/>
        <w:ind w:left="1340"/>
      </w:pPr>
      <w:proofErr w:type="gramStart"/>
      <w:r>
        <w:lastRenderedPageBreak/>
        <w:t>10%</w:t>
      </w:r>
      <w:proofErr w:type="gramEnd"/>
      <w:r>
        <w:t xml:space="preserve"> doplatek se splatností 10 dnů od data dodání nebo</w:t>
      </w:r>
      <w:r>
        <w:t xml:space="preserve"> dle smlouvy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760" w:hanging="280"/>
        <w:jc w:val="both"/>
      </w:pPr>
      <w:r>
        <w:t xml:space="preserve">Při opoždění platby kupujícím je firma KOMA </w:t>
      </w:r>
      <w:r>
        <w:rPr>
          <w:lang w:val="en-US" w:eastAsia="en-US" w:bidi="en-US"/>
        </w:rPr>
        <w:t xml:space="preserve">MODULAR </w:t>
      </w:r>
      <w:r>
        <w:t>oprávněna požadovat úroky z prodlení dle platné právní normy.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760" w:hanging="280"/>
        <w:jc w:val="both"/>
      </w:pPr>
      <w:r>
        <w:t xml:space="preserve">Vlastníkem zboží je firma KOMA </w:t>
      </w:r>
      <w:r>
        <w:rPr>
          <w:lang w:val="en-US" w:eastAsia="en-US" w:bidi="en-US"/>
        </w:rPr>
        <w:t xml:space="preserve">MODULAR </w:t>
      </w:r>
      <w:r>
        <w:t>až do splnění všech ustanovení Smlouvy, zvláště dokud nebude uhrazena celá cena zboží. Kup</w:t>
      </w:r>
      <w:r>
        <w:t xml:space="preserve">ující není oprávněn majetek firmy KOMA </w:t>
      </w:r>
      <w:r>
        <w:rPr>
          <w:lang w:val="en-US" w:eastAsia="en-US" w:bidi="en-US"/>
        </w:rPr>
        <w:t xml:space="preserve">MODULAR </w:t>
      </w:r>
      <w:r>
        <w:t xml:space="preserve">do zaplacení kupní ceny prodat nebo jím bez písemného svolení prodávajícího disponovat. Firma KOMA </w:t>
      </w:r>
      <w:r>
        <w:rPr>
          <w:lang w:val="en-US" w:eastAsia="en-US" w:bidi="en-US"/>
        </w:rPr>
        <w:t xml:space="preserve">MODULAR </w:t>
      </w:r>
      <w:r>
        <w:t>je oprávněna při opoždění plateb kupujícím přesahujícím 20 dnů od splatnosti faktury svůj majetek odvé</w:t>
      </w:r>
      <w:r>
        <w:t>zt zpět a kupující je povinen mu toto umožnit.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</w:pPr>
      <w:bookmarkStart w:id="13" w:name="bookmark12"/>
      <w:bookmarkStart w:id="14" w:name="bookmark13"/>
      <w:r>
        <w:t>Vady předmětu plnění, oznámení vad</w:t>
      </w:r>
      <w:bookmarkEnd w:id="13"/>
      <w:bookmarkEnd w:id="14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760" w:hanging="280"/>
        <w:jc w:val="both"/>
      </w:pPr>
      <w:r>
        <w:t>Kupující je povinen předmět plnění prohlédnout s dostatečnou péčí, a to co nejdříve po přechodu nebezpečí škody na předmětu plnění. Vady, které mohl kupující zjistit při této</w:t>
      </w:r>
      <w:r>
        <w:t xml:space="preserve"> prohlídce při vynaložení odborné péče, musí oznámit prodávajícímu nejpozději do pěti pracovních dnů ode dne dodání předmětu plnění, jinak nároky z těchto vad zanikají.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61"/>
        </w:tabs>
        <w:ind w:left="760" w:hanging="360"/>
        <w:jc w:val="both"/>
      </w:pPr>
      <w:r>
        <w:t>Právo kupujícího ze skrytých vad předmětu plnění musí být oznámeno prodávajícímu písemn</w:t>
      </w:r>
      <w:r>
        <w:t>ě včas a bez zbytečného odkladu poté, co je kupující mohl při dostatečné péči zjistit. Ustanovení § 2108 občanského zákoníku se nepoužije.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61"/>
        </w:tabs>
        <w:spacing w:line="240" w:lineRule="auto"/>
        <w:ind w:left="760" w:hanging="360"/>
        <w:jc w:val="both"/>
      </w:pPr>
      <w:r>
        <w:t xml:space="preserve">Kupující nemá práva z vad, jestliže byly vady způsobeny opotřebením, vnějšími událostmi, třetími osobami, bez </w:t>
      </w:r>
      <w:r>
        <w:t xml:space="preserve">zavinění prodávajícího, zejména neodbornými zásahy, neodbornou manipulací, použitím pro jiné </w:t>
      </w:r>
      <w:proofErr w:type="gramStart"/>
      <w:r>
        <w:t>účely</w:t>
      </w:r>
      <w:proofErr w:type="gramEnd"/>
      <w:r>
        <w:t xml:space="preserve"> než pro které je předmět plnění určen, mechanickým poškozením při manipulaci, nevhodným použitím, násilnými zásahy, úpravami, nesprávným skladováním apod.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</w:pPr>
      <w:bookmarkStart w:id="15" w:name="bookmark14"/>
      <w:bookmarkStart w:id="16" w:name="bookmark15"/>
      <w:r>
        <w:t>Zá</w:t>
      </w:r>
      <w:r>
        <w:t>ruka</w:t>
      </w:r>
      <w:bookmarkEnd w:id="15"/>
      <w:bookmarkEnd w:id="16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861"/>
        </w:tabs>
        <w:spacing w:line="240" w:lineRule="auto"/>
        <w:ind w:left="760" w:hanging="360"/>
      </w:pPr>
      <w:r>
        <w:t xml:space="preserve">Na konstrukci a provedení modulů poskytuje firma KOMA </w:t>
      </w:r>
      <w:r>
        <w:rPr>
          <w:lang w:val="en-US" w:eastAsia="en-US" w:bidi="en-US"/>
        </w:rPr>
        <w:t xml:space="preserve">MODULAR </w:t>
      </w:r>
      <w:r>
        <w:t>záruční dobu 24 měsíců po řádném předání zboží.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422"/>
        <w:gridCol w:w="1750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D65A66"/>
                <w:sz w:val="15"/>
                <w:szCs w:val="15"/>
              </w:rPr>
              <w:t>KOMA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VŠEOBECNÉ OBCHODNÍ PODMÍNKY 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5/6</w:t>
            </w:r>
          </w:p>
        </w:tc>
      </w:tr>
    </w:tbl>
    <w:p w:rsidR="007027B3" w:rsidRDefault="007027B3">
      <w:pPr>
        <w:spacing w:after="239" w:line="1" w:lineRule="exact"/>
      </w:pP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spacing w:after="480"/>
        <w:ind w:left="800" w:hanging="320"/>
        <w:jc w:val="both"/>
      </w:pPr>
      <w:r>
        <w:t xml:space="preserve">Na elektrozařízení a další speciální součásti vybavení, které firma KOMA </w:t>
      </w:r>
      <w:r>
        <w:rPr>
          <w:lang w:val="en-US" w:eastAsia="en-US" w:bidi="en-US"/>
        </w:rPr>
        <w:t xml:space="preserve">MODULAR </w:t>
      </w:r>
      <w:r>
        <w:t xml:space="preserve">nakupuje u svých subdodavatelů a které mají své vlastní záruční listy, poskytuje firma KOMA </w:t>
      </w:r>
      <w:r>
        <w:rPr>
          <w:lang w:val="en-US" w:eastAsia="en-US" w:bidi="en-US"/>
        </w:rPr>
        <w:t xml:space="preserve">MODULAR </w:t>
      </w:r>
      <w:r>
        <w:t>s.r.o. záruční dobu dle záruky svých subdodavatelů. Případné reklamace upla</w:t>
      </w:r>
      <w:r>
        <w:t>tňuje kupující samostatně přímo u servisních středisek výrobce dle pokynů v předaných záručních listech.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800" w:hanging="320"/>
        <w:jc w:val="both"/>
      </w:pPr>
      <w:r>
        <w:t xml:space="preserve">Výrobce firma KOMA </w:t>
      </w:r>
      <w:r>
        <w:rPr>
          <w:lang w:val="en-US" w:eastAsia="en-US" w:bidi="en-US"/>
        </w:rPr>
        <w:t xml:space="preserve">MODULAR </w:t>
      </w:r>
      <w:r>
        <w:t>neručí za vady a škody, které způsobí uživatel neodbornou manipulací, nevhodným ošetřováním a údržbou, a které vzniknou vand</w:t>
      </w:r>
      <w:r>
        <w:t>alismem a vyšší mocí. Kupující je povinen zboží používat dle návodu k použití.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ind w:left="800" w:hanging="320"/>
        <w:jc w:val="both"/>
      </w:pPr>
      <w:r>
        <w:t xml:space="preserve">Prodávající firma KOMA </w:t>
      </w:r>
      <w:r>
        <w:rPr>
          <w:lang w:val="en-US" w:eastAsia="en-US" w:bidi="en-US"/>
        </w:rPr>
        <w:t xml:space="preserve">MODULAR </w:t>
      </w:r>
      <w:r>
        <w:t>je povinen písemně uplatněné a oprávněné reklamace odstranit v souladu s platným občanským zákoníkem.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37"/>
        </w:tabs>
        <w:spacing w:after="380"/>
        <w:ind w:left="800" w:hanging="320"/>
        <w:jc w:val="both"/>
      </w:pPr>
      <w:r>
        <w:t>Prodávající neodpovídá rovněž za vady a škod</w:t>
      </w:r>
      <w:r>
        <w:t xml:space="preserve">y, které vznikly později kvůli nedostatečnému provedení základů pro stavby, které neodpovídají požadavkům firmy KOMA </w:t>
      </w:r>
      <w:r>
        <w:rPr>
          <w:lang w:val="en-US" w:eastAsia="en-US" w:bidi="en-US"/>
        </w:rPr>
        <w:t xml:space="preserve">MODULAR </w:t>
      </w:r>
      <w:r>
        <w:t>(především škody kvůli nedostatečnému větrání základů a zvýšené vlhkosti pod ocelovou konstrukcí).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</w:pPr>
      <w:bookmarkStart w:id="17" w:name="bookmark16"/>
      <w:bookmarkStart w:id="18" w:name="bookmark17"/>
      <w:r>
        <w:t>Zachování tajemství</w:t>
      </w:r>
      <w:bookmarkEnd w:id="17"/>
      <w:bookmarkEnd w:id="18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44"/>
        </w:tabs>
        <w:spacing w:after="380"/>
        <w:ind w:left="800" w:hanging="320"/>
        <w:jc w:val="both"/>
      </w:pPr>
      <w:r>
        <w:t xml:space="preserve">Na výkresy, výpočty a jiné předané podklady k provedení zakázky si KOMA </w:t>
      </w:r>
      <w:r>
        <w:rPr>
          <w:lang w:val="en-US" w:eastAsia="en-US" w:bidi="en-US"/>
        </w:rPr>
        <w:t xml:space="preserve">MODULAR </w:t>
      </w:r>
      <w:r>
        <w:t xml:space="preserve">vyhrazuje právo vlastnictví a autorské právo. Kupující se zavazuje všechny převzaté důvěrné </w:t>
      </w:r>
      <w:r>
        <w:lastRenderedPageBreak/>
        <w:t xml:space="preserve">informace utajit a nepředávat třetím osobám, pokud to nebude firmou KOMA </w:t>
      </w:r>
      <w:r>
        <w:rPr>
          <w:lang w:val="en-US" w:eastAsia="en-US" w:bidi="en-US"/>
        </w:rPr>
        <w:t xml:space="preserve">MODULAR </w:t>
      </w:r>
      <w:r>
        <w:t>výs</w:t>
      </w:r>
      <w:r>
        <w:t>lovně povoleno. Zákazník nesmí používat důvěrné informace mimo smluvní vztah nebo pro vlastní účely.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19" w:name="bookmark18"/>
      <w:bookmarkStart w:id="20" w:name="bookmark19"/>
      <w:r>
        <w:t>Odchylná ujednání</w:t>
      </w:r>
      <w:bookmarkEnd w:id="19"/>
      <w:bookmarkEnd w:id="20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1030"/>
        </w:tabs>
        <w:ind w:left="720" w:hanging="240"/>
        <w:jc w:val="both"/>
      </w:pPr>
      <w:r>
        <w:t xml:space="preserve">S výjimkou osob zapsaných v obchodním rejstříku nebo s oprávněním k jednání o Smlouvách není žádný z pracovníků firmy KOMA </w:t>
      </w:r>
      <w:r>
        <w:rPr>
          <w:lang w:val="en-US" w:eastAsia="en-US" w:bidi="en-US"/>
        </w:rPr>
        <w:t xml:space="preserve">MODULAR </w:t>
      </w:r>
      <w:r>
        <w:t>oprávn</w:t>
      </w:r>
      <w:r>
        <w:t>ěn uzavírat ústní vedlejší dohody, které by se týkaly obsahu písemné smlouvy a těchto Všeobecných obchodních podmínek.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</w:pPr>
      <w:bookmarkStart w:id="21" w:name="bookmark20"/>
      <w:bookmarkStart w:id="22" w:name="bookmark21"/>
      <w:r>
        <w:t>Ochrana osobních údajů</w:t>
      </w:r>
      <w:bookmarkEnd w:id="21"/>
      <w:bookmarkEnd w:id="22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50"/>
        </w:tabs>
        <w:ind w:left="720" w:hanging="320"/>
        <w:jc w:val="both"/>
      </w:pPr>
      <w:r>
        <w:t>Informace o kupujícím jsou uchovávány v souladu s právními předpisy ČR, zejména zák. č. 101/2000 Sb. o ochraně oso</w:t>
      </w:r>
      <w:r>
        <w:t>bních údajů. Kupující uzavřením Smlouvy souhlasí se zpracováním a shromažďováním svých osobních údajů v databázi prodávajícího i po splnění smlouvy.</w:t>
      </w:r>
    </w:p>
    <w:p w:rsidR="007027B3" w:rsidRDefault="00E3276A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</w:pPr>
      <w:bookmarkStart w:id="23" w:name="bookmark22"/>
      <w:bookmarkStart w:id="24" w:name="bookmark23"/>
      <w:r>
        <w:t>Závěrečná ustanovení</w:t>
      </w:r>
      <w:bookmarkEnd w:id="23"/>
      <w:bookmarkEnd w:id="24"/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50"/>
        </w:tabs>
        <w:ind w:left="720" w:hanging="320"/>
        <w:jc w:val="both"/>
      </w:pPr>
      <w:r>
        <w:t xml:space="preserve">Právní vztahy vyplývající z uzavřené Smlouvy se řídí těmito obchodními podmínkami a v </w:t>
      </w:r>
      <w:r>
        <w:t xml:space="preserve">otázkách neupravených těmito podmínkami pak zněním samotné Smlouvy, případně ustanoveními zákona č. 89/2012 </w:t>
      </w:r>
      <w:proofErr w:type="spellStart"/>
      <w:r>
        <w:t>Sb</w:t>
      </w:r>
      <w:proofErr w:type="spellEnd"/>
      <w:r>
        <w:t>, občanský zákoník, v platném znění a právními předpisy souvisejícími.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50"/>
        </w:tabs>
        <w:ind w:left="720" w:hanging="320"/>
        <w:jc w:val="both"/>
      </w:pPr>
      <w:r>
        <w:t>Pro právní vztahy vznikající mezi kupujícím a prodávajícím ze Smlouvy a v s</w:t>
      </w:r>
      <w:r>
        <w:t>ouvislosti s ní je rozhodné právo České republiky.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401"/>
        <w:gridCol w:w="1728"/>
      </w:tblGrid>
      <w:tr w:rsidR="007027B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mallCaps/>
                <w:color w:val="D65A66"/>
                <w:sz w:val="19"/>
                <w:szCs w:val="19"/>
              </w:rPr>
              <w:t>koma</w:t>
            </w:r>
            <w:proofErr w:type="spellEnd"/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VŠEOBECNÉ OBCHODNÍ PODMÍNKY KOMA </w:t>
            </w:r>
            <w:r>
              <w:rPr>
                <w:rFonts w:ascii="Arial" w:eastAsia="Arial" w:hAnsi="Arial" w:cs="Arial"/>
                <w:b/>
                <w:bCs/>
                <w:lang w:val="en-US" w:eastAsia="en-US" w:bidi="en-US"/>
              </w:rPr>
              <w:t xml:space="preserve">MODULAR </w:t>
            </w:r>
            <w:r>
              <w:rPr>
                <w:rFonts w:ascii="Arial" w:eastAsia="Arial" w:hAnsi="Arial" w:cs="Arial"/>
                <w:b/>
                <w:bCs/>
              </w:rPr>
              <w:t>S. R. 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7027B3">
            <w:pPr>
              <w:rPr>
                <w:sz w:val="10"/>
                <w:szCs w:val="10"/>
              </w:rPr>
            </w:pPr>
          </w:p>
        </w:tc>
      </w:tr>
      <w:tr w:rsidR="007027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64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B3" w:rsidRDefault="007027B3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B3" w:rsidRDefault="00E3276A">
            <w:pPr>
              <w:pStyle w:val="Other1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Strana: 6/6</w:t>
            </w:r>
          </w:p>
        </w:tc>
      </w:tr>
    </w:tbl>
    <w:p w:rsidR="007027B3" w:rsidRDefault="007027B3">
      <w:pPr>
        <w:spacing w:after="239" w:line="1" w:lineRule="exact"/>
      </w:pP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90"/>
        </w:tabs>
        <w:ind w:left="780" w:hanging="340"/>
      </w:pPr>
      <w:r>
        <w:t xml:space="preserve">Jestliže některé ustanovení těchto obchodních podmínek je, nebo se stane neúčinné, zůstávají ostatní ustanovení těchto obchodních </w:t>
      </w:r>
      <w:r>
        <w:t>podmínek účinná. V části, která obsahuje neúčinné ustanovení, se bude vztah smluvních stran řídit obecnými ustanoveními příslušných právních předpisů.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90"/>
        </w:tabs>
        <w:spacing w:line="240" w:lineRule="auto"/>
        <w:ind w:left="780" w:hanging="340"/>
      </w:pPr>
      <w:r>
        <w:t>Všechny spory vzniklé ze Smluv nebo v souvislosti s nimi včetně otázky jejich platnosti budou pro případ,</w:t>
      </w:r>
      <w:r>
        <w:t xml:space="preserve"> že nedojde mezi stranami k dohodě o předmětu sporu, rozhodovány s konečnou platností Rozhodčím soudem při Hospodářské komoře České Republiky a Agrární komoře České republiky podle jeho Řádu a Pravidel třemi rozhodci.</w:t>
      </w:r>
    </w:p>
    <w:p w:rsidR="007027B3" w:rsidRDefault="00E3276A">
      <w:pPr>
        <w:pStyle w:val="Bodytext10"/>
        <w:numPr>
          <w:ilvl w:val="1"/>
          <w:numId w:val="1"/>
        </w:numPr>
        <w:shd w:val="clear" w:color="auto" w:fill="auto"/>
        <w:tabs>
          <w:tab w:val="left" w:pos="990"/>
        </w:tabs>
        <w:spacing w:after="480"/>
        <w:ind w:left="780" w:hanging="340"/>
      </w:pPr>
      <w:r>
        <w:t>Tyto VOP jsou nedílnou součástí Smlouv</w:t>
      </w:r>
      <w:r>
        <w:t>y a dokumentů na tyto VOP se odvolávající a podpisem Smlouvy kupující prohlašuje, že je s těmito VOP seznámen a souhlasí s nimi.</w:t>
      </w:r>
    </w:p>
    <w:p w:rsidR="007027B3" w:rsidRDefault="00E3276A">
      <w:pPr>
        <w:pStyle w:val="Bodytext10"/>
        <w:shd w:val="clear" w:color="auto" w:fill="auto"/>
        <w:spacing w:after="180" w:line="240" w:lineRule="auto"/>
        <w:ind w:firstLine="400"/>
      </w:pPr>
      <w:r>
        <w:t>Ve Vizovicích dne 24.2.2016</w:t>
      </w:r>
    </w:p>
    <w:sectPr w:rsidR="007027B3">
      <w:footerReference w:type="default" r:id="rId7"/>
      <w:pgSz w:w="11900" w:h="16840"/>
      <w:pgMar w:top="813" w:right="898" w:bottom="2464" w:left="1620" w:header="3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6A" w:rsidRDefault="00E3276A">
      <w:r>
        <w:separator/>
      </w:r>
    </w:p>
  </w:endnote>
  <w:endnote w:type="continuationSeparator" w:id="0">
    <w:p w:rsidR="00E3276A" w:rsidRDefault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B3" w:rsidRDefault="00E3276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9450070</wp:posOffset>
              </wp:positionV>
              <wp:extent cx="140843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4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27B3" w:rsidRDefault="00E3276A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F-09-01-008-01/24.2.2016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99999999999994pt;margin-top:744.10000000000002pt;width:110.9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F-09-01-008-01/24.2.2016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6A" w:rsidRDefault="00E3276A"/>
  </w:footnote>
  <w:footnote w:type="continuationSeparator" w:id="0">
    <w:p w:rsidR="00E3276A" w:rsidRDefault="00E327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FEC"/>
    <w:multiLevelType w:val="multilevel"/>
    <w:tmpl w:val="5C6E6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80D44"/>
    <w:multiLevelType w:val="multilevel"/>
    <w:tmpl w:val="369A3A6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B3"/>
    <w:rsid w:val="007027B3"/>
    <w:rsid w:val="00B61C11"/>
    <w:rsid w:val="00E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7F5A-78A9-4EDA-996D-CB1C627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100" w:line="252" w:lineRule="auto"/>
    </w:pPr>
    <w:rPr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 w:line="252" w:lineRule="auto"/>
      <w:outlineLvl w:val="0"/>
    </w:pPr>
    <w:rPr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 w:line="252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c224e_KHS_zapad5p_BN-20200709071318</vt:lpstr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c224e_KHS_zapad5p_BN-20200709071318</dc:title>
  <dc:subject/>
  <dc:creator>Gabriela Vinklerová</dc:creator>
  <cp:keywords/>
  <cp:lastModifiedBy>Vinklerová Gabriela</cp:lastModifiedBy>
  <cp:revision>2</cp:revision>
  <dcterms:created xsi:type="dcterms:W3CDTF">2020-07-09T08:04:00Z</dcterms:created>
  <dcterms:modified xsi:type="dcterms:W3CDTF">2020-07-09T08:04:00Z</dcterms:modified>
</cp:coreProperties>
</file>