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5" w:lineRule="exact" w:before="70"/>
        <w:ind w:left="1652" w:right="1543"/>
        <w:jc w:val="center"/>
      </w:pPr>
      <w:r>
        <w:rPr>
          <w:w w:val="105"/>
        </w:rPr>
        <w:t>Rámcová smlouva o zajištění pohřebních</w:t>
      </w:r>
      <w:r>
        <w:rPr>
          <w:spacing w:val="54"/>
          <w:w w:val="105"/>
        </w:rPr>
        <w:t> </w:t>
      </w:r>
      <w:r>
        <w:rPr>
          <w:w w:val="105"/>
        </w:rPr>
        <w:t>služeb</w:t>
      </w:r>
    </w:p>
    <w:p>
      <w:pPr>
        <w:pStyle w:val="BodyText"/>
        <w:spacing w:line="275" w:lineRule="exact"/>
        <w:ind w:left="1653" w:right="1543"/>
        <w:jc w:val="center"/>
      </w:pPr>
      <w:r>
        <w:rPr/>
        <w:t>dle§ 1746 odst. 2 zákona č. 89/2012 Sb., občanského  zákoníku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226" w:val="left" w:leader="none"/>
        </w:tabs>
        <w:spacing w:line="240" w:lineRule="auto" w:before="1" w:after="0"/>
        <w:ind w:left="4225" w:right="0" w:hanging="346"/>
        <w:jc w:val="left"/>
        <w:rPr>
          <w:sz w:val="24"/>
        </w:rPr>
      </w:pPr>
      <w:r>
        <w:rPr>
          <w:w w:val="105"/>
          <w:sz w:val="24"/>
        </w:rPr>
        <w:t>Smluvní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strany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26" w:val="left" w:leader="none"/>
          <w:tab w:pos="2945" w:val="left" w:leader="none"/>
        </w:tabs>
        <w:spacing w:line="240" w:lineRule="auto" w:before="0" w:after="0"/>
        <w:ind w:left="325" w:right="0" w:hanging="222"/>
        <w:jc w:val="left"/>
        <w:rPr>
          <w:b/>
          <w:sz w:val="21"/>
        </w:rPr>
      </w:pPr>
      <w:r>
        <w:rPr>
          <w:b/>
          <w:sz w:val="22"/>
        </w:rPr>
        <w:t>Objednatel:</w:t>
        <w:tab/>
        <w:t>Město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Jeseník</w:t>
      </w:r>
    </w:p>
    <w:p>
      <w:pPr>
        <w:tabs>
          <w:tab w:pos="2941" w:val="left" w:leader="none"/>
        </w:tabs>
        <w:spacing w:before="1"/>
        <w:ind w:left="102" w:right="0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sídlem:</w:t>
        <w:tab/>
        <w:t>Masarykovo nám. 167/1, 790 01</w:t>
      </w:r>
      <w:r>
        <w:rPr>
          <w:spacing w:val="1"/>
          <w:sz w:val="22"/>
        </w:rPr>
        <w:t> </w:t>
      </w:r>
      <w:r>
        <w:rPr>
          <w:sz w:val="22"/>
        </w:rPr>
        <w:t>Jeseník</w:t>
      </w:r>
    </w:p>
    <w:p>
      <w:pPr>
        <w:tabs>
          <w:tab w:pos="2945" w:val="left" w:leader="none"/>
        </w:tabs>
        <w:spacing w:line="240" w:lineRule="exact" w:before="14"/>
        <w:ind w:left="106" w:right="2678" w:hanging="2"/>
        <w:jc w:val="left"/>
        <w:rPr>
          <w:sz w:val="22"/>
        </w:rPr>
      </w:pPr>
      <w:r>
        <w:rPr>
          <w:sz w:val="22"/>
        </w:rPr>
        <w:t>Zastoupený:</w:t>
        <w:tab/>
      </w:r>
      <w:r>
        <w:rPr>
          <w:b/>
          <w:sz w:val="22"/>
        </w:rPr>
        <w:t>Mgr. Bc. Zdeňka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Blišťanová-</w:t>
      </w:r>
      <w:r>
        <w:rPr>
          <w:b/>
          <w:spacing w:val="27"/>
          <w:sz w:val="22"/>
        </w:rPr>
        <w:t> </w:t>
      </w:r>
      <w:r>
        <w:rPr>
          <w:sz w:val="22"/>
        </w:rPr>
        <w:t>starostka</w:t>
      </w:r>
      <w:r>
        <w:rPr>
          <w:w w:val="99"/>
          <w:sz w:val="22"/>
        </w:rPr>
        <w:t> </w:t>
      </w:r>
      <w:r>
        <w:rPr>
          <w:sz w:val="22"/>
        </w:rPr>
        <w:t>není zapsán v obchodním</w:t>
      </w:r>
      <w:r>
        <w:rPr>
          <w:spacing w:val="-8"/>
          <w:sz w:val="22"/>
        </w:rPr>
        <w:t> </w:t>
      </w:r>
      <w:r>
        <w:rPr>
          <w:sz w:val="22"/>
        </w:rPr>
        <w:t>rejstříku</w:t>
      </w:r>
    </w:p>
    <w:p>
      <w:pPr>
        <w:pStyle w:val="BodyText"/>
        <w:tabs>
          <w:tab w:pos="2933" w:val="left" w:leader="none"/>
        </w:tabs>
        <w:spacing w:before="1"/>
        <w:ind w:left="100"/>
      </w:pPr>
      <w:r>
        <w:rPr/>
        <w:t>Zástupce</w:t>
      </w:r>
      <w:r>
        <w:rPr>
          <w:spacing w:val="7"/>
        </w:rPr>
        <w:t> </w:t>
      </w:r>
      <w:r>
        <w:rPr/>
        <w:t>ve</w:t>
      </w:r>
      <w:r>
        <w:rPr>
          <w:spacing w:val="-9"/>
        </w:rPr>
        <w:t> </w:t>
      </w:r>
      <w:r>
        <w:rPr/>
        <w:t>věci:</w:t>
        <w:tab/>
        <w:t>Ing. Petr Vyhlídal, vedoucí oddělení vnitřní</w:t>
      </w:r>
      <w:r>
        <w:rPr>
          <w:spacing w:val="9"/>
        </w:rPr>
        <w:t> </w:t>
      </w:r>
      <w:r>
        <w:rPr/>
        <w:t>správy</w:t>
      </w:r>
    </w:p>
    <w:p>
      <w:pPr>
        <w:pStyle w:val="BodyText"/>
        <w:tabs>
          <w:tab w:pos="2945" w:val="left" w:leader="none"/>
        </w:tabs>
        <w:spacing w:line="274" w:lineRule="exact" w:before="7"/>
        <w:ind w:left="103" w:right="1635" w:firstLine="2843"/>
      </w:pPr>
      <w:r>
        <w:rPr/>
        <w:t>tel: 584 498 401, e-mail: </w:t>
      </w:r>
      <w:hyperlink r:id="rId5">
        <w:r>
          <w:rPr/>
          <w:t>petr.vyhlidal@mujes.cz</w:t>
        </w:r>
      </w:hyperlink>
      <w:r>
        <w:rPr/>
        <w:t> Bankovní</w:t>
      </w:r>
      <w:r>
        <w:rPr>
          <w:spacing w:val="1"/>
        </w:rPr>
        <w:t> </w:t>
      </w:r>
      <w:r>
        <w:rPr/>
        <w:t>spojení:</w:t>
        <w:tab/>
        <w:t>Komerční banka Šumperk a.s., exp.</w:t>
      </w:r>
      <w:r>
        <w:rPr>
          <w:spacing w:val="11"/>
        </w:rPr>
        <w:t> </w:t>
      </w:r>
      <w:r>
        <w:rPr/>
        <w:t>Jeseník,</w:t>
      </w:r>
    </w:p>
    <w:p>
      <w:pPr>
        <w:pStyle w:val="BodyText"/>
        <w:spacing w:line="270" w:lineRule="exact"/>
        <w:ind w:left="2946"/>
      </w:pPr>
      <w:r>
        <w:rPr/>
        <w:t>č.ú.: 1520841/0100</w:t>
      </w:r>
    </w:p>
    <w:p>
      <w:pPr>
        <w:pStyle w:val="BodyText"/>
        <w:tabs>
          <w:tab w:pos="2947" w:val="left" w:leader="none"/>
        </w:tabs>
        <w:spacing w:line="275" w:lineRule="exact"/>
        <w:ind w:left="100"/>
      </w:pPr>
      <w:r>
        <w:rPr/>
        <w:t>Tel.:</w:t>
        <w:tab/>
        <w:t>584 498</w:t>
      </w:r>
      <w:r>
        <w:rPr>
          <w:spacing w:val="5"/>
        </w:rPr>
        <w:t> </w:t>
      </w:r>
      <w:r>
        <w:rPr/>
        <w:t>111</w:t>
      </w:r>
    </w:p>
    <w:p>
      <w:pPr>
        <w:spacing w:after="0" w:line="275" w:lineRule="exact"/>
        <w:sectPr>
          <w:type w:val="continuous"/>
          <w:pgSz w:w="11910" w:h="16840"/>
          <w:pgMar w:top="1420" w:bottom="280" w:left="1260" w:right="1320"/>
        </w:sectPr>
      </w:pPr>
    </w:p>
    <w:p>
      <w:pPr>
        <w:pStyle w:val="BodyText"/>
        <w:spacing w:line="268" w:lineRule="exact"/>
        <w:ind w:left="102"/>
      </w:pPr>
      <w:r>
        <w:rPr/>
        <w:t>ID datové schránky:</w:t>
      </w:r>
    </w:p>
    <w:p>
      <w:pPr>
        <w:spacing w:line="256" w:lineRule="auto" w:before="6"/>
        <w:ind w:left="104" w:right="1268" w:hanging="2"/>
        <w:jc w:val="left"/>
        <w:rPr>
          <w:sz w:val="21"/>
        </w:rPr>
      </w:pPr>
      <w:r>
        <w:rPr>
          <w:sz w:val="21"/>
        </w:rPr>
        <w:t>IČO: DIČ:</w:t>
      </w:r>
    </w:p>
    <w:p>
      <w:pPr>
        <w:spacing w:line="262" w:lineRule="exact" w:before="0"/>
        <w:ind w:left="103" w:right="0" w:firstLine="0"/>
        <w:jc w:val="left"/>
        <w:rPr>
          <w:b/>
          <w:sz w:val="23"/>
        </w:rPr>
      </w:pPr>
      <w:r>
        <w:rPr>
          <w:w w:val="105"/>
          <w:sz w:val="23"/>
        </w:rPr>
        <w:t>(</w:t>
      </w:r>
      <w:r>
        <w:rPr>
          <w:b/>
          <w:w w:val="105"/>
          <w:sz w:val="23"/>
        </w:rPr>
        <w:t>dále jen</w:t>
      </w:r>
      <w:r>
        <w:rPr>
          <w:b/>
          <w:spacing w:val="-36"/>
          <w:w w:val="105"/>
          <w:sz w:val="23"/>
        </w:rPr>
        <w:t> </w:t>
      </w:r>
      <w:r>
        <w:rPr>
          <w:b/>
          <w:w w:val="105"/>
          <w:sz w:val="23"/>
        </w:rPr>
        <w:t>objednatel)</w:t>
      </w:r>
    </w:p>
    <w:p>
      <w:pPr>
        <w:spacing w:line="254" w:lineRule="exact" w:before="23"/>
        <w:ind w:left="105" w:right="4514" w:hanging="4"/>
        <w:jc w:val="left"/>
        <w:rPr>
          <w:sz w:val="22"/>
        </w:rPr>
      </w:pPr>
      <w:r>
        <w:rPr/>
        <w:br w:type="column"/>
      </w:r>
      <w:r>
        <w:rPr>
          <w:sz w:val="24"/>
        </w:rPr>
        <w:t>vhwbwm9 </w:t>
      </w:r>
      <w:r>
        <w:rPr>
          <w:sz w:val="22"/>
        </w:rPr>
        <w:t>00302724 </w:t>
      </w:r>
      <w:r>
        <w:rPr>
          <w:w w:val="95"/>
          <w:sz w:val="22"/>
        </w:rPr>
        <w:t>CZ00302724</w:t>
      </w:r>
    </w:p>
    <w:p>
      <w:pPr>
        <w:spacing w:after="0" w:line="254" w:lineRule="exact"/>
        <w:jc w:val="left"/>
        <w:rPr>
          <w:sz w:val="22"/>
        </w:rPr>
        <w:sectPr>
          <w:type w:val="continuous"/>
          <w:pgSz w:w="11910" w:h="16840"/>
          <w:pgMar w:top="1420" w:bottom="280" w:left="1260" w:right="1320"/>
          <w:cols w:num="2" w:equalWidth="0">
            <w:col w:w="2190" w:space="651"/>
            <w:col w:w="6489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spacing w:before="93"/>
        <w:ind w:left="105" w:right="0" w:firstLine="0"/>
        <w:jc w:val="left"/>
        <w:rPr>
          <w:rFonts w:ascii="Arial"/>
          <w:sz w:val="20"/>
        </w:rPr>
      </w:pPr>
      <w:r>
        <w:rPr>
          <w:rFonts w:ascii="Arial"/>
          <w:w w:val="107"/>
          <w:sz w:val="20"/>
        </w:rPr>
        <w:t>a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  <w:tab w:pos="2947" w:val="left" w:leader="none"/>
        </w:tabs>
        <w:spacing w:line="249" w:lineRule="exact" w:before="0" w:after="0"/>
        <w:ind w:left="318" w:right="0" w:hanging="216"/>
        <w:jc w:val="left"/>
        <w:rPr>
          <w:b/>
          <w:sz w:val="22"/>
        </w:rPr>
      </w:pPr>
      <w:r>
        <w:rPr>
          <w:b/>
          <w:sz w:val="22"/>
        </w:rPr>
        <w:t>Poskytovatel:</w:t>
        <w:tab/>
        <w:t>Jesenická pohřební služba,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s.r.o.</w:t>
      </w:r>
    </w:p>
    <w:p>
      <w:pPr>
        <w:tabs>
          <w:tab w:pos="2940" w:val="left" w:leader="none"/>
        </w:tabs>
        <w:spacing w:line="24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sídlem:</w:t>
        <w:tab/>
        <w:t>Rejvízská 374, 790 01</w:t>
      </w:r>
      <w:r>
        <w:rPr>
          <w:spacing w:val="2"/>
          <w:sz w:val="22"/>
        </w:rPr>
        <w:t> </w:t>
      </w:r>
      <w:r>
        <w:rPr>
          <w:sz w:val="22"/>
        </w:rPr>
        <w:t>Jeseník</w:t>
      </w:r>
    </w:p>
    <w:p>
      <w:pPr>
        <w:tabs>
          <w:tab w:pos="2944" w:val="left" w:leader="none"/>
        </w:tabs>
        <w:spacing w:before="2"/>
        <w:ind w:left="105" w:right="0" w:firstLine="0"/>
        <w:jc w:val="left"/>
        <w:rPr>
          <w:sz w:val="22"/>
        </w:rPr>
      </w:pPr>
      <w:r>
        <w:rPr>
          <w:sz w:val="22"/>
        </w:rPr>
        <w:t>Zastoupený:</w:t>
        <w:tab/>
        <w:t>Ing. Růžena Lukáčová -</w:t>
      </w:r>
      <w:r>
        <w:rPr>
          <w:spacing w:val="1"/>
          <w:sz w:val="22"/>
        </w:rPr>
        <w:t> </w:t>
      </w:r>
      <w:r>
        <w:rPr>
          <w:sz w:val="22"/>
        </w:rPr>
        <w:t>jednatel</w:t>
      </w:r>
    </w:p>
    <w:p>
      <w:pPr>
        <w:spacing w:line="244" w:lineRule="exact" w:before="1"/>
        <w:ind w:left="105" w:right="0" w:firstLine="0"/>
        <w:jc w:val="left"/>
        <w:rPr>
          <w:sz w:val="22"/>
        </w:rPr>
      </w:pPr>
      <w:r>
        <w:rPr>
          <w:sz w:val="22"/>
        </w:rPr>
        <w:t>Zapsán v obchodním rejstříku vedeném Krajským soudem v Ostravě, oddíl C vložka 67498</w:t>
      </w:r>
    </w:p>
    <w:p>
      <w:pPr>
        <w:pStyle w:val="BodyText"/>
        <w:tabs>
          <w:tab w:pos="2952" w:val="left" w:leader="none"/>
        </w:tabs>
        <w:spacing w:line="267" w:lineRule="exact"/>
        <w:ind w:left="104"/>
      </w:pPr>
      <w:r>
        <w:rPr/>
        <w:t>Zástupci</w:t>
      </w:r>
      <w:r>
        <w:rPr>
          <w:spacing w:val="4"/>
        </w:rPr>
        <w:t> </w:t>
      </w:r>
      <w:r>
        <w:rPr/>
        <w:t>ve</w:t>
      </w:r>
      <w:r>
        <w:rPr>
          <w:spacing w:val="-10"/>
        </w:rPr>
        <w:t> </w:t>
      </w:r>
      <w:r>
        <w:rPr/>
        <w:t>věci:</w:t>
        <w:tab/>
        <w:t>Antoš</w:t>
      </w:r>
      <w:r>
        <w:rPr>
          <w:spacing w:val="-7"/>
        </w:rPr>
        <w:t> </w:t>
      </w:r>
      <w:r>
        <w:rPr/>
        <w:t>Marcel</w:t>
      </w:r>
    </w:p>
    <w:p>
      <w:pPr>
        <w:pStyle w:val="BodyText"/>
        <w:spacing w:line="270" w:lineRule="exact" w:before="12"/>
        <w:ind w:left="2947"/>
      </w:pPr>
      <w:r>
        <w:rPr/>
        <w:t>tel: 584 401 273, e-mail: </w:t>
      </w:r>
      <w:hyperlink r:id="rId6">
        <w:r>
          <w:rPr/>
          <w:t>pohrebnictvi@tsje.cz</w:t>
        </w:r>
      </w:hyperlink>
    </w:p>
    <w:p>
      <w:pPr>
        <w:pStyle w:val="BodyText"/>
        <w:tabs>
          <w:tab w:pos="2950" w:val="left" w:leader="none"/>
        </w:tabs>
        <w:spacing w:line="242" w:lineRule="auto"/>
        <w:ind w:left="2946" w:right="4053" w:hanging="2843"/>
      </w:pPr>
      <w:r>
        <w:rPr/>
        <w:t>Bankovní</w:t>
      </w:r>
      <w:r>
        <w:rPr>
          <w:spacing w:val="3"/>
        </w:rPr>
        <w:t> </w:t>
      </w:r>
      <w:r>
        <w:rPr/>
        <w:t>spojení:</w:t>
        <w:tab/>
        <w:tab/>
        <w:t>ČSOB,</w:t>
      </w:r>
      <w:r>
        <w:rPr>
          <w:spacing w:val="-6"/>
        </w:rPr>
        <w:t> </w:t>
      </w:r>
      <w:r>
        <w:rPr/>
        <w:t>pobočka</w:t>
      </w:r>
      <w:r>
        <w:rPr>
          <w:spacing w:val="-5"/>
        </w:rPr>
        <w:t> </w:t>
      </w:r>
      <w:r>
        <w:rPr/>
        <w:t>Jeseník</w:t>
      </w:r>
      <w:r>
        <w:rPr>
          <w:w w:val="97"/>
        </w:rPr>
        <w:t> </w:t>
      </w:r>
      <w:r>
        <w:rPr/>
        <w:t>č.ú.:</w:t>
      </w:r>
      <w:r>
        <w:rPr>
          <w:spacing w:val="20"/>
        </w:rPr>
        <w:t> </w:t>
      </w:r>
      <w:r>
        <w:rPr/>
        <w:t>276011966/0300</w:t>
      </w:r>
    </w:p>
    <w:p>
      <w:pPr>
        <w:pStyle w:val="BodyText"/>
        <w:tabs>
          <w:tab w:pos="2947" w:val="left" w:leader="none"/>
        </w:tabs>
        <w:spacing w:line="271" w:lineRule="exact" w:before="6"/>
        <w:ind w:left="105"/>
      </w:pPr>
      <w:r>
        <w:rPr/>
        <w:t>Tel.:</w:t>
        <w:tab/>
        <w:t>584 401</w:t>
      </w:r>
      <w:r>
        <w:rPr>
          <w:spacing w:val="5"/>
        </w:rPr>
        <w:t> </w:t>
      </w:r>
      <w:r>
        <w:rPr/>
        <w:t>273</w:t>
      </w:r>
    </w:p>
    <w:p>
      <w:pPr>
        <w:spacing w:after="0" w:line="271" w:lineRule="exact"/>
        <w:sectPr>
          <w:type w:val="continuous"/>
          <w:pgSz w:w="11910" w:h="16840"/>
          <w:pgMar w:top="1420" w:bottom="280" w:left="1260" w:right="1320"/>
        </w:sectPr>
      </w:pPr>
    </w:p>
    <w:p>
      <w:pPr>
        <w:pStyle w:val="BodyText"/>
        <w:spacing w:line="268" w:lineRule="exact"/>
        <w:ind w:left="102"/>
      </w:pPr>
      <w:r>
        <w:rPr/>
        <w:t>ID datové schránky:</w:t>
      </w:r>
    </w:p>
    <w:p>
      <w:pPr>
        <w:spacing w:line="252" w:lineRule="auto" w:before="11"/>
        <w:ind w:left="104" w:right="1483" w:hanging="2"/>
        <w:jc w:val="left"/>
        <w:rPr>
          <w:sz w:val="21"/>
        </w:rPr>
      </w:pPr>
      <w:r>
        <w:rPr>
          <w:sz w:val="21"/>
        </w:rPr>
        <w:t>IČO: DIČ:</w:t>
      </w:r>
    </w:p>
    <w:p>
      <w:pPr>
        <w:spacing w:before="1"/>
        <w:ind w:left="108" w:right="0" w:firstLine="0"/>
        <w:jc w:val="left"/>
        <w:rPr>
          <w:b/>
          <w:sz w:val="23"/>
        </w:rPr>
      </w:pPr>
      <w:r>
        <w:rPr>
          <w:sz w:val="23"/>
        </w:rPr>
        <w:t>(</w:t>
      </w:r>
      <w:r>
        <w:rPr>
          <w:b/>
          <w:sz w:val="23"/>
        </w:rPr>
        <w:t>dále  jen poskytovatel)</w:t>
      </w:r>
    </w:p>
    <w:p>
      <w:pPr>
        <w:spacing w:before="2"/>
        <w:ind w:left="102" w:right="4726" w:hanging="1"/>
        <w:jc w:val="left"/>
        <w:rPr>
          <w:sz w:val="22"/>
        </w:rPr>
      </w:pPr>
      <w:r>
        <w:rPr/>
        <w:br w:type="column"/>
      </w:r>
      <w:r>
        <w:rPr>
          <w:sz w:val="24"/>
        </w:rPr>
        <w:t>7tw3rx9 </w:t>
      </w:r>
      <w:r>
        <w:rPr>
          <w:sz w:val="22"/>
        </w:rPr>
        <w:t>05426278 </w:t>
      </w:r>
      <w:r>
        <w:rPr>
          <w:w w:val="95"/>
          <w:sz w:val="22"/>
        </w:rPr>
        <w:t>CZ05426278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420" w:bottom="280" w:left="1260" w:right="1320"/>
          <w:cols w:num="2" w:equalWidth="0">
            <w:col w:w="2405" w:space="438"/>
            <w:col w:w="648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259988pt;margin-top:-.125pt;width:596pt;height:842.3pt;mso-position-horizontal-relative:page;mso-position-vertical-relative:page;z-index:-6040" coordorigin="-5,-3" coordsize="11920,16846">
            <v:line style="position:absolute" from="11902,1675" to="11902,0" stroked="true" strokeweight=".24pt" strokecolor="#000000">
              <v:stroke dashstyle="solid"/>
            </v:line>
            <v:line style="position:absolute" from="11897,16838" to="11897,1061" stroked="true" strokeweight=".48pt" strokecolor="#000000">
              <v:stroke dashstyle="solid"/>
            </v:line>
            <v:line style="position:absolute" from="5,14" to="11904,14" stroked="true" strokeweight=".96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362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H. Úvodní 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40" w:lineRule="auto" w:before="0" w:after="0"/>
        <w:ind w:left="533" w:right="114" w:hanging="281"/>
        <w:jc w:val="both"/>
        <w:rPr>
          <w:sz w:val="24"/>
        </w:rPr>
      </w:pPr>
      <w:r>
        <w:rPr>
          <w:sz w:val="24"/>
        </w:rPr>
        <w:t>Nesjedná-li ve lhůtě 96 hodin od oznámení úmrtí podle zvláštního právního předpisu žádná fyzická nebo právnická osoba pohřbení nebo nebyla-li zjištěna totožnost mrtvého do 1 týdne od zjištění úmrtí a žádné zdravotnické zařízení v souladu s podmínkami stanovenými zvláštním právním předpisem neprojevilo zájem o využití lidských pozůstatků pro potřeby lékařské vědy a výzkumu nebo k výukovým účelům, je povinna zajistit pohřbení obec, na jejímž území k úmrtí došlo nebo byly lidské pozůstatky nalezeny, případně vyloženy z dopravního prostředku. Lidské pozůstatky osob, u nichž nebyla zjištěna totožnost, mohou být pohřbeny pouze uložením do hrobu nebo</w:t>
      </w:r>
      <w:r>
        <w:rPr>
          <w:spacing w:val="4"/>
          <w:sz w:val="24"/>
        </w:rPr>
        <w:t> </w:t>
      </w:r>
      <w:r>
        <w:rPr>
          <w:sz w:val="24"/>
        </w:rPr>
        <w:t>hrobky.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420" w:bottom="280" w:left="1260" w:right="1320"/>
        </w:sectPr>
      </w:pPr>
    </w:p>
    <w:p>
      <w:pPr>
        <w:pStyle w:val="BodyText"/>
        <w:spacing w:line="24" w:lineRule="exact"/>
        <w:ind w:left="1417"/>
        <w:rPr>
          <w:sz w:val="2"/>
        </w:rPr>
      </w:pPr>
      <w:r>
        <w:rPr>
          <w:sz w:val="2"/>
        </w:rPr>
        <w:pict>
          <v:group style="width:489.5pt;height:1.2pt;mso-position-horizontal-relative:char;mso-position-vertical-relative:line" coordorigin="0,0" coordsize="9790,24">
            <v:line style="position:absolute" from="12,12" to="9777,12" stroked="true" strokeweight="1.1647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7281671</wp:posOffset>
            </wp:positionH>
            <wp:positionV relativeFrom="paragraph">
              <wp:posOffset>104140</wp:posOffset>
            </wp:positionV>
            <wp:extent cx="85343" cy="560831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235" w:lineRule="auto" w:before="94" w:after="0"/>
        <w:ind w:left="1282" w:right="2076" w:hanging="278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120" from=".0pt,-59.344677pt" to="59.341071pt,-59.344677pt" stroked="true" strokeweight="2.096595pt" strokecolor="#000000">
            <v:stroke dashstyle="solid"/>
            <w10:wrap type="none"/>
          </v:line>
        </w:pict>
      </w:r>
      <w:r>
        <w:rPr>
          <w:sz w:val="24"/>
        </w:rPr>
        <w:t>Právnická nebo fyzická osoba, u které jsou lidské pozůstatky uloženy, je povinna neprodleně informovat příslušnou obec, že nastaly skutečnosti podle odstavce I. Je-li prokázáno, že se jedná o lidské pozůstatky státního příslušníka cizího státu, může obec sjednat jeho pohřbení až po obdržení souhlasu příslušného státu s pohřbením na území České</w:t>
      </w:r>
      <w:r>
        <w:rPr>
          <w:spacing w:val="-8"/>
          <w:sz w:val="24"/>
        </w:rPr>
        <w:t> </w:t>
      </w:r>
      <w:r>
        <w:rPr>
          <w:sz w:val="24"/>
        </w:rPr>
        <w:t>republiky;</w:t>
      </w:r>
      <w:r>
        <w:rPr>
          <w:spacing w:val="-10"/>
          <w:sz w:val="24"/>
        </w:rPr>
        <w:t> </w:t>
      </w:r>
      <w:r>
        <w:rPr>
          <w:sz w:val="24"/>
        </w:rPr>
        <w:t>pokud</w:t>
      </w:r>
      <w:r>
        <w:rPr>
          <w:spacing w:val="-1"/>
          <w:sz w:val="24"/>
        </w:rPr>
        <w:t> </w:t>
      </w:r>
      <w:r>
        <w:rPr>
          <w:sz w:val="24"/>
        </w:rPr>
        <w:t>obec</w:t>
      </w:r>
      <w:r>
        <w:rPr>
          <w:spacing w:val="-8"/>
          <w:sz w:val="24"/>
        </w:rPr>
        <w:t> </w:t>
      </w:r>
      <w:r>
        <w:rPr>
          <w:sz w:val="24"/>
        </w:rPr>
        <w:t>tento</w:t>
      </w:r>
      <w:r>
        <w:rPr>
          <w:spacing w:val="-11"/>
          <w:sz w:val="24"/>
        </w:rPr>
        <w:t> </w:t>
      </w:r>
      <w:r>
        <w:rPr>
          <w:sz w:val="24"/>
        </w:rPr>
        <w:t>souhlas</w:t>
      </w:r>
      <w:r>
        <w:rPr>
          <w:spacing w:val="-10"/>
          <w:sz w:val="24"/>
        </w:rPr>
        <w:t> </w:t>
      </w:r>
      <w:r>
        <w:rPr>
          <w:sz w:val="24"/>
        </w:rPr>
        <w:t>neobdrží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měsíce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10"/>
          <w:sz w:val="24"/>
        </w:rPr>
        <w:t> </w:t>
      </w:r>
      <w:r>
        <w:rPr>
          <w:sz w:val="24"/>
        </w:rPr>
        <w:t>zjištění</w:t>
      </w:r>
      <w:r>
        <w:rPr>
          <w:spacing w:val="-3"/>
          <w:sz w:val="24"/>
        </w:rPr>
        <w:t> </w:t>
      </w:r>
      <w:r>
        <w:rPr>
          <w:sz w:val="24"/>
        </w:rPr>
        <w:t>úmrtí,</w:t>
      </w:r>
      <w:r>
        <w:rPr>
          <w:spacing w:val="-11"/>
          <w:sz w:val="24"/>
        </w:rPr>
        <w:t> </w:t>
      </w:r>
      <w:r>
        <w:rPr>
          <w:sz w:val="24"/>
        </w:rPr>
        <w:t>může zajistit pohřbení těchto lidských pozůstatků, avšak pouze uložením do hrobu nebo hrobky.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690" w:val="left" w:leader="none"/>
        </w:tabs>
        <w:spacing w:line="240" w:lineRule="auto" w:before="0" w:after="0"/>
        <w:ind w:left="4689" w:right="0" w:hanging="387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7269480</wp:posOffset>
            </wp:positionH>
            <wp:positionV relativeFrom="paragraph">
              <wp:posOffset>-55544</wp:posOffset>
            </wp:positionV>
            <wp:extent cx="146304" cy="70713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Předmět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smlouvy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70" w:lineRule="exact" w:before="226" w:after="0"/>
        <w:ind w:left="1291" w:right="2056" w:hanging="272"/>
        <w:jc w:val="both"/>
        <w:rPr>
          <w:sz w:val="24"/>
        </w:rPr>
      </w:pPr>
      <w:r>
        <w:rPr>
          <w:sz w:val="24"/>
        </w:rPr>
        <w:t>Předmětem</w:t>
      </w:r>
      <w:r>
        <w:rPr>
          <w:spacing w:val="-13"/>
          <w:sz w:val="24"/>
        </w:rPr>
        <w:t> </w:t>
      </w:r>
      <w:r>
        <w:rPr>
          <w:sz w:val="24"/>
        </w:rPr>
        <w:t>rámcové</w:t>
      </w:r>
      <w:r>
        <w:rPr>
          <w:spacing w:val="-17"/>
          <w:sz w:val="24"/>
        </w:rPr>
        <w:t> </w:t>
      </w:r>
      <w:r>
        <w:rPr>
          <w:sz w:val="24"/>
        </w:rPr>
        <w:t>smlouvy</w:t>
      </w:r>
      <w:r>
        <w:rPr>
          <w:spacing w:val="-19"/>
          <w:sz w:val="24"/>
        </w:rPr>
        <w:t> </w:t>
      </w:r>
      <w:r>
        <w:rPr>
          <w:sz w:val="24"/>
        </w:rPr>
        <w:t>je</w:t>
      </w:r>
      <w:r>
        <w:rPr>
          <w:spacing w:val="-24"/>
          <w:sz w:val="24"/>
        </w:rPr>
        <w:t> </w:t>
      </w:r>
      <w:r>
        <w:rPr>
          <w:sz w:val="24"/>
        </w:rPr>
        <w:t>stanovení</w:t>
      </w:r>
      <w:r>
        <w:rPr>
          <w:spacing w:val="-16"/>
          <w:sz w:val="24"/>
        </w:rPr>
        <w:t> </w:t>
      </w:r>
      <w:r>
        <w:rPr>
          <w:sz w:val="24"/>
        </w:rPr>
        <w:t>podmínek</w:t>
      </w:r>
      <w:r>
        <w:rPr>
          <w:spacing w:val="-12"/>
          <w:sz w:val="24"/>
        </w:rPr>
        <w:t> </w:t>
      </w:r>
      <w:r>
        <w:rPr>
          <w:sz w:val="24"/>
        </w:rPr>
        <w:t>poskytovatelům</w:t>
      </w:r>
      <w:r>
        <w:rPr>
          <w:spacing w:val="-25"/>
          <w:sz w:val="24"/>
        </w:rPr>
        <w:t> </w:t>
      </w:r>
      <w:r>
        <w:rPr>
          <w:sz w:val="24"/>
        </w:rPr>
        <w:t>za</w:t>
      </w:r>
      <w:r>
        <w:rPr>
          <w:spacing w:val="-23"/>
          <w:sz w:val="24"/>
        </w:rPr>
        <w:t> </w:t>
      </w:r>
      <w:r>
        <w:rPr>
          <w:sz w:val="24"/>
        </w:rPr>
        <w:t>účelem</w:t>
      </w:r>
      <w:r>
        <w:rPr>
          <w:spacing w:val="-16"/>
          <w:sz w:val="24"/>
        </w:rPr>
        <w:t> </w:t>
      </w:r>
      <w:r>
        <w:rPr>
          <w:sz w:val="24"/>
        </w:rPr>
        <w:t>zajištění kompletních</w:t>
      </w:r>
      <w:r>
        <w:rPr>
          <w:spacing w:val="-10"/>
          <w:sz w:val="24"/>
        </w:rPr>
        <w:t> </w:t>
      </w:r>
      <w:r>
        <w:rPr>
          <w:sz w:val="24"/>
        </w:rPr>
        <w:t>pohřebních</w:t>
      </w:r>
      <w:r>
        <w:rPr>
          <w:spacing w:val="-12"/>
          <w:sz w:val="24"/>
        </w:rPr>
        <w:t> </w:t>
      </w:r>
      <w:r>
        <w:rPr>
          <w:sz w:val="24"/>
        </w:rPr>
        <w:t>služeb</w:t>
      </w:r>
      <w:r>
        <w:rPr>
          <w:spacing w:val="-21"/>
          <w:sz w:val="24"/>
        </w:rPr>
        <w:t> </w:t>
      </w:r>
      <w:r>
        <w:rPr>
          <w:sz w:val="24"/>
        </w:rPr>
        <w:t>u</w:t>
      </w:r>
      <w:r>
        <w:rPr>
          <w:spacing w:val="-27"/>
          <w:sz w:val="24"/>
        </w:rPr>
        <w:t> </w:t>
      </w:r>
      <w:r>
        <w:rPr>
          <w:sz w:val="24"/>
        </w:rPr>
        <w:t>sociálních</w:t>
      </w:r>
      <w:r>
        <w:rPr>
          <w:spacing w:val="-18"/>
          <w:sz w:val="24"/>
        </w:rPr>
        <w:t> </w:t>
      </w:r>
      <w:r>
        <w:rPr>
          <w:sz w:val="24"/>
        </w:rPr>
        <w:t>pohřbů</w:t>
      </w:r>
      <w:r>
        <w:rPr>
          <w:spacing w:val="-22"/>
          <w:sz w:val="24"/>
        </w:rPr>
        <w:t> </w:t>
      </w:r>
      <w:r>
        <w:rPr>
          <w:sz w:val="24"/>
        </w:rPr>
        <w:t>vypravovaných</w:t>
      </w:r>
      <w:r>
        <w:rPr>
          <w:spacing w:val="-8"/>
          <w:sz w:val="24"/>
        </w:rPr>
        <w:t> </w:t>
      </w:r>
      <w:r>
        <w:rPr>
          <w:sz w:val="24"/>
        </w:rPr>
        <w:t>městem</w:t>
      </w:r>
      <w:r>
        <w:rPr>
          <w:spacing w:val="-18"/>
          <w:sz w:val="24"/>
        </w:rPr>
        <w:t> </w:t>
      </w:r>
      <w:r>
        <w:rPr>
          <w:sz w:val="24"/>
        </w:rPr>
        <w:t>Jeseník</w:t>
      </w:r>
      <w:r>
        <w:rPr>
          <w:spacing w:val="-22"/>
          <w:sz w:val="24"/>
        </w:rPr>
        <w:t> </w:t>
      </w:r>
      <w:r>
        <w:rPr>
          <w:sz w:val="24"/>
        </w:rPr>
        <w:t>dle</w:t>
      </w:r>
      <w:r>
        <w:rPr>
          <w:spacing w:val="-24"/>
          <w:sz w:val="24"/>
        </w:rPr>
        <w:t> </w:t>
      </w:r>
      <w:r>
        <w:rPr>
          <w:sz w:val="23"/>
        </w:rPr>
        <w:t>§ </w:t>
      </w:r>
      <w:r>
        <w:rPr>
          <w:sz w:val="24"/>
        </w:rPr>
        <w:t>5</w:t>
      </w:r>
      <w:r>
        <w:rPr>
          <w:spacing w:val="-23"/>
          <w:sz w:val="24"/>
        </w:rPr>
        <w:t> </w:t>
      </w:r>
      <w:r>
        <w:rPr>
          <w:sz w:val="24"/>
        </w:rPr>
        <w:t>zákona</w:t>
      </w:r>
      <w:r>
        <w:rPr>
          <w:spacing w:val="-21"/>
          <w:sz w:val="24"/>
        </w:rPr>
        <w:t> </w:t>
      </w:r>
      <w:r>
        <w:rPr>
          <w:sz w:val="24"/>
        </w:rPr>
        <w:t>č.</w:t>
      </w:r>
      <w:r>
        <w:rPr>
          <w:spacing w:val="-27"/>
          <w:sz w:val="24"/>
        </w:rPr>
        <w:t> </w:t>
      </w:r>
      <w:r>
        <w:rPr>
          <w:sz w:val="24"/>
        </w:rPr>
        <w:t>256/2001</w:t>
      </w:r>
      <w:r>
        <w:rPr>
          <w:spacing w:val="-15"/>
          <w:sz w:val="24"/>
        </w:rPr>
        <w:t> </w:t>
      </w:r>
      <w:r>
        <w:rPr>
          <w:sz w:val="24"/>
        </w:rPr>
        <w:t>Sb.,</w:t>
      </w:r>
      <w:r>
        <w:rPr>
          <w:spacing w:val="-26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pohřebnictví,</w:t>
      </w:r>
      <w:r>
        <w:rPr>
          <w:spacing w:val="-11"/>
          <w:sz w:val="24"/>
        </w:rPr>
        <w:t> </w:t>
      </w:r>
      <w:r>
        <w:rPr>
          <w:sz w:val="24"/>
        </w:rPr>
        <w:t>ve</w:t>
      </w:r>
      <w:r>
        <w:rPr>
          <w:spacing w:val="-22"/>
          <w:sz w:val="24"/>
        </w:rPr>
        <w:t> </w:t>
      </w:r>
      <w:r>
        <w:rPr>
          <w:sz w:val="24"/>
        </w:rPr>
        <w:t>znění</w:t>
      </w:r>
      <w:r>
        <w:rPr>
          <w:spacing w:val="-17"/>
          <w:sz w:val="24"/>
        </w:rPr>
        <w:t> </w:t>
      </w:r>
      <w:r>
        <w:rPr>
          <w:sz w:val="24"/>
        </w:rPr>
        <w:t>pozdějších</w:t>
      </w:r>
      <w:r>
        <w:rPr>
          <w:spacing w:val="-15"/>
          <w:sz w:val="24"/>
        </w:rPr>
        <w:t> </w:t>
      </w:r>
      <w:r>
        <w:rPr>
          <w:sz w:val="24"/>
        </w:rPr>
        <w:t>předpisů.</w:t>
      </w:r>
    </w:p>
    <w:p>
      <w:pPr>
        <w:pStyle w:val="ListParagraph"/>
        <w:numPr>
          <w:ilvl w:val="0"/>
          <w:numId w:val="3"/>
        </w:numPr>
        <w:tabs>
          <w:tab w:pos="1298" w:val="left" w:leader="none"/>
        </w:tabs>
        <w:spacing w:line="235" w:lineRule="auto" w:before="118" w:after="0"/>
        <w:ind w:left="1291" w:right="2057" w:hanging="273"/>
        <w:jc w:val="both"/>
        <w:rPr>
          <w:sz w:val="24"/>
        </w:rPr>
      </w:pPr>
      <w:r>
        <w:rPr>
          <w:sz w:val="24"/>
        </w:rPr>
        <w:t>Sociální pohřeb bude realizován v souladu s touto rámcovou smlouvou a na základě samostatné písemné objednávky objednatele, která bude obsahovat jméno a příjmení zemřelého, datum narození a datum úmrtí, místo trvalého bydliště a zařízení, kde se nachází tělo či lidské pozůstatky. V případě, že nebyla zjištěna totožnost zemřelého či lidských pozůstatků, budou uvedeny v objednávce pouze údaje, které jsou objednateli známy.</w:t>
      </w:r>
      <w:r>
        <w:rPr>
          <w:spacing w:val="-14"/>
          <w:sz w:val="24"/>
        </w:rPr>
        <w:t> </w:t>
      </w:r>
      <w:r>
        <w:rPr>
          <w:sz w:val="24"/>
        </w:rPr>
        <w:t>Poskytovatel</w:t>
      </w:r>
      <w:r>
        <w:rPr>
          <w:spacing w:val="-5"/>
          <w:sz w:val="24"/>
        </w:rPr>
        <w:t> </w:t>
      </w:r>
      <w:r>
        <w:rPr>
          <w:sz w:val="24"/>
        </w:rPr>
        <w:t>započne</w:t>
      </w:r>
      <w:r>
        <w:rPr>
          <w:spacing w:val="-19"/>
          <w:sz w:val="24"/>
        </w:rPr>
        <w:t> </w:t>
      </w:r>
      <w:r>
        <w:rPr>
          <w:sz w:val="24"/>
        </w:rPr>
        <w:t>s</w:t>
      </w:r>
      <w:r>
        <w:rPr>
          <w:spacing w:val="-26"/>
          <w:sz w:val="24"/>
        </w:rPr>
        <w:t> </w:t>
      </w:r>
      <w:r>
        <w:rPr>
          <w:sz w:val="24"/>
        </w:rPr>
        <w:t>prováděním</w:t>
      </w:r>
      <w:r>
        <w:rPr>
          <w:spacing w:val="-9"/>
          <w:sz w:val="24"/>
        </w:rPr>
        <w:t> </w:t>
      </w:r>
      <w:r>
        <w:rPr>
          <w:sz w:val="24"/>
        </w:rPr>
        <w:t>sociálního</w:t>
      </w:r>
      <w:r>
        <w:rPr>
          <w:spacing w:val="-8"/>
          <w:sz w:val="24"/>
        </w:rPr>
        <w:t> </w:t>
      </w:r>
      <w:r>
        <w:rPr>
          <w:sz w:val="24"/>
        </w:rPr>
        <w:t>pohřbu</w:t>
      </w:r>
      <w:r>
        <w:rPr>
          <w:spacing w:val="-18"/>
          <w:sz w:val="24"/>
        </w:rPr>
        <w:t> </w:t>
      </w:r>
      <w:r>
        <w:rPr>
          <w:sz w:val="24"/>
        </w:rPr>
        <w:t>do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spacing w:val="-23"/>
          <w:sz w:val="24"/>
        </w:rPr>
        <w:t> </w:t>
      </w:r>
      <w:r>
        <w:rPr>
          <w:sz w:val="24"/>
        </w:rPr>
        <w:t>dnů</w:t>
      </w:r>
      <w:r>
        <w:rPr>
          <w:spacing w:val="-19"/>
          <w:sz w:val="24"/>
        </w:rPr>
        <w:t> </w:t>
      </w:r>
      <w:r>
        <w:rPr>
          <w:sz w:val="24"/>
        </w:rPr>
        <w:t>ode</w:t>
      </w:r>
      <w:r>
        <w:rPr>
          <w:spacing w:val="-19"/>
          <w:sz w:val="24"/>
        </w:rPr>
        <w:t> </w:t>
      </w:r>
      <w:r>
        <w:rPr>
          <w:sz w:val="24"/>
        </w:rPr>
        <w:t>dne</w:t>
      </w:r>
      <w:r>
        <w:rPr>
          <w:spacing w:val="-20"/>
          <w:sz w:val="24"/>
        </w:rPr>
        <w:t> </w:t>
      </w:r>
      <w:r>
        <w:rPr>
          <w:sz w:val="24"/>
        </w:rPr>
        <w:t>doručení objednávky objednatele, vyjma případů, kdy z objektivních důvodů nebo z důvodů daných</w:t>
      </w:r>
      <w:r>
        <w:rPr>
          <w:spacing w:val="-20"/>
          <w:sz w:val="24"/>
        </w:rPr>
        <w:t> </w:t>
      </w:r>
      <w:r>
        <w:rPr>
          <w:sz w:val="24"/>
        </w:rPr>
        <w:t>příslušnými</w:t>
      </w:r>
      <w:r>
        <w:rPr>
          <w:spacing w:val="-14"/>
          <w:sz w:val="24"/>
        </w:rPr>
        <w:t> </w:t>
      </w:r>
      <w:r>
        <w:rPr>
          <w:sz w:val="24"/>
        </w:rPr>
        <w:t>právními</w:t>
      </w:r>
      <w:r>
        <w:rPr>
          <w:spacing w:val="-21"/>
          <w:sz w:val="24"/>
        </w:rPr>
        <w:t> </w:t>
      </w:r>
      <w:r>
        <w:rPr>
          <w:sz w:val="24"/>
        </w:rPr>
        <w:t>předpisy</w:t>
      </w:r>
      <w:r>
        <w:rPr>
          <w:spacing w:val="-20"/>
          <w:sz w:val="24"/>
        </w:rPr>
        <w:t> </w:t>
      </w:r>
      <w:r>
        <w:rPr>
          <w:sz w:val="24"/>
        </w:rPr>
        <w:t>v</w:t>
      </w:r>
      <w:r>
        <w:rPr>
          <w:spacing w:val="-28"/>
          <w:sz w:val="24"/>
        </w:rPr>
        <w:t> </w:t>
      </w:r>
      <w:r>
        <w:rPr>
          <w:sz w:val="24"/>
        </w:rPr>
        <w:t>této</w:t>
      </w:r>
      <w:r>
        <w:rPr>
          <w:spacing w:val="-26"/>
          <w:sz w:val="24"/>
        </w:rPr>
        <w:t> </w:t>
      </w:r>
      <w:r>
        <w:rPr>
          <w:sz w:val="24"/>
        </w:rPr>
        <w:t>lhůtě</w:t>
      </w:r>
      <w:r>
        <w:rPr>
          <w:spacing w:val="-21"/>
          <w:sz w:val="24"/>
        </w:rPr>
        <w:t> </w:t>
      </w:r>
      <w:r>
        <w:rPr>
          <w:sz w:val="24"/>
        </w:rPr>
        <w:t>nelze</w:t>
      </w:r>
      <w:r>
        <w:rPr>
          <w:spacing w:val="-20"/>
          <w:sz w:val="24"/>
        </w:rPr>
        <w:t> </w:t>
      </w:r>
      <w:r>
        <w:rPr>
          <w:sz w:val="24"/>
        </w:rPr>
        <w:t>započít</w:t>
      </w:r>
      <w:r>
        <w:rPr>
          <w:spacing w:val="-23"/>
          <w:sz w:val="24"/>
        </w:rPr>
        <w:t> </w:t>
      </w:r>
      <w:r>
        <w:rPr>
          <w:sz w:val="24"/>
        </w:rPr>
        <w:t>s</w:t>
      </w:r>
      <w:r>
        <w:rPr>
          <w:spacing w:val="-31"/>
          <w:sz w:val="24"/>
        </w:rPr>
        <w:t> </w:t>
      </w:r>
      <w:r>
        <w:rPr>
          <w:sz w:val="24"/>
        </w:rPr>
        <w:t>prováděním</w:t>
      </w:r>
      <w:r>
        <w:rPr>
          <w:spacing w:val="-11"/>
          <w:sz w:val="24"/>
        </w:rPr>
        <w:t> </w:t>
      </w:r>
      <w:r>
        <w:rPr>
          <w:sz w:val="24"/>
        </w:rPr>
        <w:t>pohřbu.</w:t>
      </w:r>
    </w:p>
    <w:p>
      <w:pPr>
        <w:pStyle w:val="ListParagraph"/>
        <w:numPr>
          <w:ilvl w:val="0"/>
          <w:numId w:val="3"/>
        </w:numPr>
        <w:tabs>
          <w:tab w:pos="1303" w:val="left" w:leader="none"/>
        </w:tabs>
        <w:spacing w:line="270" w:lineRule="exact" w:before="124" w:after="0"/>
        <w:ind w:left="1305" w:right="2056" w:hanging="282"/>
        <w:jc w:val="both"/>
        <w:rPr>
          <w:sz w:val="24"/>
        </w:rPr>
      </w:pPr>
      <w:r>
        <w:rPr>
          <w:sz w:val="24"/>
        </w:rPr>
        <w:t>Sociálním pohřbem se rozumí jednoduchý bezobřadový pohřeb kremací. Pokud</w:t>
      </w:r>
      <w:r>
        <w:rPr>
          <w:spacing w:val="-24"/>
          <w:sz w:val="24"/>
        </w:rPr>
        <w:t> </w:t>
      </w:r>
      <w:r>
        <w:rPr>
          <w:sz w:val="24"/>
        </w:rPr>
        <w:t>nastane nutnost pohřbení lidských pozůstatků uložením do hrobu, bude tento požadavek vždy </w:t>
      </w:r>
      <w:r>
        <w:rPr>
          <w:w w:val="95"/>
          <w:sz w:val="24"/>
        </w:rPr>
        <w:t>specifikován  v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objednávce.</w:t>
      </w:r>
    </w:p>
    <w:p>
      <w:pPr>
        <w:pStyle w:val="ListParagraph"/>
        <w:numPr>
          <w:ilvl w:val="0"/>
          <w:numId w:val="3"/>
        </w:numPr>
        <w:tabs>
          <w:tab w:pos="1305" w:val="left" w:leader="none"/>
        </w:tabs>
        <w:spacing w:line="235" w:lineRule="auto" w:before="108" w:after="0"/>
        <w:ind w:left="1305" w:right="2051" w:hanging="276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-13"/>
          <w:sz w:val="24"/>
        </w:rPr>
        <w:t> </w:t>
      </w:r>
      <w:r>
        <w:rPr>
          <w:sz w:val="24"/>
        </w:rPr>
        <w:t>kompletních</w:t>
      </w:r>
      <w:r>
        <w:rPr>
          <w:spacing w:val="-13"/>
          <w:sz w:val="24"/>
        </w:rPr>
        <w:t> </w:t>
      </w:r>
      <w:r>
        <w:rPr>
          <w:sz w:val="24"/>
        </w:rPr>
        <w:t>pohřebních</w:t>
      </w:r>
      <w:r>
        <w:rPr>
          <w:spacing w:val="-14"/>
          <w:sz w:val="24"/>
        </w:rPr>
        <w:t> </w:t>
      </w:r>
      <w:r>
        <w:rPr>
          <w:sz w:val="24"/>
        </w:rPr>
        <w:t>služeb</w:t>
      </w:r>
      <w:r>
        <w:rPr>
          <w:spacing w:val="-18"/>
          <w:sz w:val="24"/>
        </w:rPr>
        <w:t> </w:t>
      </w:r>
      <w:r>
        <w:rPr>
          <w:sz w:val="24"/>
        </w:rPr>
        <w:t>zpopelněním</w:t>
      </w:r>
      <w:r>
        <w:rPr>
          <w:spacing w:val="-7"/>
          <w:sz w:val="24"/>
        </w:rPr>
        <w:t> </w:t>
      </w:r>
      <w:r>
        <w:rPr>
          <w:sz w:val="24"/>
        </w:rPr>
        <w:t>zahrnuje</w:t>
      </w:r>
      <w:r>
        <w:rPr>
          <w:spacing w:val="-12"/>
          <w:sz w:val="24"/>
        </w:rPr>
        <w:t> </w:t>
      </w:r>
      <w:r>
        <w:rPr>
          <w:sz w:val="24"/>
        </w:rPr>
        <w:t>poskytnutí</w:t>
      </w:r>
      <w:r>
        <w:rPr>
          <w:spacing w:val="-11"/>
          <w:sz w:val="24"/>
        </w:rPr>
        <w:t> </w:t>
      </w:r>
      <w:r>
        <w:rPr>
          <w:sz w:val="24"/>
        </w:rPr>
        <w:t>následujících věcí a úkonů: rakev bezobřadová, souprava bezobřadová, převoz zesnulého do krematoria, zpopelnění lidských pozůstatků v krematoriu, uložení urny do neidentifikovatelného</w:t>
      </w:r>
      <w:r>
        <w:rPr>
          <w:spacing w:val="-17"/>
          <w:sz w:val="24"/>
        </w:rPr>
        <w:t> </w:t>
      </w:r>
      <w:r>
        <w:rPr>
          <w:sz w:val="24"/>
        </w:rPr>
        <w:t>hrobu,</w:t>
      </w:r>
      <w:r>
        <w:rPr>
          <w:spacing w:val="-6"/>
          <w:sz w:val="24"/>
        </w:rPr>
        <w:t> </w:t>
      </w:r>
      <w:r>
        <w:rPr>
          <w:sz w:val="24"/>
        </w:rPr>
        <w:t>administrativní</w:t>
      </w:r>
      <w:r>
        <w:rPr>
          <w:spacing w:val="-14"/>
          <w:sz w:val="24"/>
        </w:rPr>
        <w:t> </w:t>
      </w:r>
      <w:r>
        <w:rPr>
          <w:sz w:val="24"/>
        </w:rPr>
        <w:t>náklady</w:t>
      </w:r>
      <w:r>
        <w:rPr>
          <w:spacing w:val="-6"/>
          <w:sz w:val="24"/>
        </w:rPr>
        <w:t> </w:t>
      </w:r>
      <w:r>
        <w:rPr>
          <w:sz w:val="24"/>
        </w:rPr>
        <w:t>provozovny,</w:t>
      </w:r>
      <w:r>
        <w:rPr>
          <w:spacing w:val="5"/>
          <w:sz w:val="24"/>
        </w:rPr>
        <w:t> </w:t>
      </w:r>
      <w:r>
        <w:rPr>
          <w:sz w:val="24"/>
        </w:rPr>
        <w:t>manipulace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uložení těla</w:t>
      </w:r>
      <w:r>
        <w:rPr>
          <w:spacing w:val="-26"/>
          <w:sz w:val="24"/>
        </w:rPr>
        <w:t> </w:t>
      </w:r>
      <w:r>
        <w:rPr>
          <w:sz w:val="24"/>
        </w:rPr>
        <w:t>do</w:t>
      </w:r>
      <w:r>
        <w:rPr>
          <w:spacing w:val="-21"/>
          <w:sz w:val="24"/>
        </w:rPr>
        <w:t> </w:t>
      </w:r>
      <w:r>
        <w:rPr>
          <w:sz w:val="24"/>
        </w:rPr>
        <w:t>konečné</w:t>
      </w:r>
      <w:r>
        <w:rPr>
          <w:spacing w:val="-9"/>
          <w:sz w:val="24"/>
        </w:rPr>
        <w:t> </w:t>
      </w:r>
      <w:r>
        <w:rPr>
          <w:sz w:val="24"/>
        </w:rPr>
        <w:t>rakve</w:t>
      </w:r>
      <w:r>
        <w:rPr>
          <w:spacing w:val="-14"/>
          <w:sz w:val="24"/>
        </w:rPr>
        <w:t> </w:t>
      </w:r>
      <w:r>
        <w:rPr>
          <w:sz w:val="24"/>
        </w:rPr>
        <w:t>vč.</w:t>
      </w:r>
      <w:r>
        <w:rPr>
          <w:spacing w:val="-12"/>
          <w:sz w:val="24"/>
        </w:rPr>
        <w:t> </w:t>
      </w:r>
      <w:r>
        <w:rPr>
          <w:sz w:val="24"/>
        </w:rPr>
        <w:t>úpravy</w:t>
      </w:r>
      <w:r>
        <w:rPr>
          <w:spacing w:val="-13"/>
          <w:sz w:val="24"/>
        </w:rPr>
        <w:t> </w:t>
      </w:r>
      <w:r>
        <w:rPr>
          <w:sz w:val="24"/>
        </w:rPr>
        <w:t>těla.</w:t>
      </w: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70" w:lineRule="exact" w:before="124" w:after="0"/>
        <w:ind w:left="1312" w:right="2055" w:hanging="277"/>
        <w:jc w:val="both"/>
        <w:rPr>
          <w:sz w:val="24"/>
        </w:rPr>
      </w:pPr>
      <w:r>
        <w:rPr>
          <w:sz w:val="24"/>
        </w:rPr>
        <w:t>Zajištění kompletních pohřebních služeb uložením do hrobu zahrnuje poskytnutí následujících věcí a úkonů: rakev bezobřadová, souprava bezobřadová, vak na</w:t>
      </w:r>
      <w:r>
        <w:rPr>
          <w:spacing w:val="-31"/>
          <w:sz w:val="24"/>
        </w:rPr>
        <w:t> </w:t>
      </w:r>
      <w:r>
        <w:rPr>
          <w:sz w:val="24"/>
        </w:rPr>
        <w:t>přepravu zemřelých,</w:t>
      </w:r>
      <w:r>
        <w:rPr>
          <w:spacing w:val="-33"/>
          <w:sz w:val="24"/>
        </w:rPr>
        <w:t> </w:t>
      </w:r>
      <w:r>
        <w:rPr>
          <w:sz w:val="24"/>
        </w:rPr>
        <w:t>převoz</w:t>
      </w:r>
      <w:r>
        <w:rPr>
          <w:spacing w:val="-38"/>
          <w:sz w:val="24"/>
        </w:rPr>
        <w:t> </w:t>
      </w:r>
      <w:r>
        <w:rPr>
          <w:sz w:val="24"/>
        </w:rPr>
        <w:t>zesnulého,</w:t>
      </w:r>
      <w:r>
        <w:rPr>
          <w:spacing w:val="-37"/>
          <w:sz w:val="24"/>
        </w:rPr>
        <w:t> </w:t>
      </w:r>
      <w:r>
        <w:rPr>
          <w:sz w:val="24"/>
        </w:rPr>
        <w:t>administrativní</w:t>
      </w:r>
      <w:r>
        <w:rPr>
          <w:spacing w:val="-40"/>
          <w:sz w:val="24"/>
        </w:rPr>
        <w:t> </w:t>
      </w:r>
      <w:r>
        <w:rPr>
          <w:sz w:val="24"/>
        </w:rPr>
        <w:t>náklady</w:t>
      </w:r>
      <w:r>
        <w:rPr>
          <w:spacing w:val="-36"/>
          <w:sz w:val="24"/>
        </w:rPr>
        <w:t> </w:t>
      </w:r>
      <w:r>
        <w:rPr>
          <w:sz w:val="24"/>
        </w:rPr>
        <w:t>provozovny.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35" w:lineRule="auto" w:before="108" w:after="0"/>
        <w:ind w:left="1313" w:right="2047" w:hanging="277"/>
        <w:jc w:val="both"/>
        <w:rPr>
          <w:sz w:val="24"/>
        </w:rPr>
      </w:pPr>
      <w:r>
        <w:rPr>
          <w:sz w:val="24"/>
        </w:rPr>
        <w:t>Výkop hrobového místa zajišťuje pro tyto účely objednatel prostřednictvím sjednaného provozovatele pohřebišť. Náklady na výkop hrobového místa nejsou zahrnuty v ceně pohřbu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30"/>
          <w:sz w:val="24"/>
        </w:rPr>
        <w:t> </w:t>
      </w:r>
      <w:r>
        <w:rPr>
          <w:sz w:val="24"/>
        </w:rPr>
        <w:t>tyto</w:t>
      </w:r>
      <w:r>
        <w:rPr>
          <w:spacing w:val="-21"/>
          <w:sz w:val="24"/>
        </w:rPr>
        <w:t> </w:t>
      </w:r>
      <w:r>
        <w:rPr>
          <w:sz w:val="24"/>
        </w:rPr>
        <w:t>náklady</w:t>
      </w:r>
      <w:r>
        <w:rPr>
          <w:spacing w:val="-21"/>
          <w:sz w:val="24"/>
        </w:rPr>
        <w:t> </w:t>
      </w:r>
      <w:r>
        <w:rPr>
          <w:sz w:val="24"/>
        </w:rPr>
        <w:t>hradí</w:t>
      </w:r>
      <w:r>
        <w:rPr>
          <w:spacing w:val="-23"/>
          <w:sz w:val="24"/>
        </w:rPr>
        <w:t> </w:t>
      </w:r>
      <w:r>
        <w:rPr>
          <w:sz w:val="24"/>
        </w:rPr>
        <w:t>objednatel.</w: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70" w:lineRule="exact" w:before="125" w:after="0"/>
        <w:ind w:left="1320" w:right="2032" w:hanging="278"/>
        <w:jc w:val="both"/>
        <w:rPr>
          <w:sz w:val="24"/>
        </w:rPr>
      </w:pPr>
      <w:r>
        <w:rPr>
          <w:sz w:val="24"/>
        </w:rPr>
        <w:t>Objednatel má pro účel pohřbení do hrobu (zajištění pohřebních služeb uložením do hrobu)</w:t>
      </w:r>
      <w:r>
        <w:rPr>
          <w:spacing w:val="-12"/>
          <w:sz w:val="24"/>
        </w:rPr>
        <w:t> </w:t>
      </w:r>
      <w:r>
        <w:rPr>
          <w:sz w:val="24"/>
        </w:rPr>
        <w:t>lidských</w:t>
      </w:r>
      <w:r>
        <w:rPr>
          <w:spacing w:val="-15"/>
          <w:sz w:val="24"/>
        </w:rPr>
        <w:t> </w:t>
      </w:r>
      <w:r>
        <w:rPr>
          <w:sz w:val="24"/>
        </w:rPr>
        <w:t>pozůstatků</w:t>
      </w:r>
      <w:r>
        <w:rPr>
          <w:spacing w:val="-2"/>
          <w:sz w:val="24"/>
        </w:rPr>
        <w:t> </w:t>
      </w:r>
      <w:r>
        <w:rPr>
          <w:sz w:val="24"/>
        </w:rPr>
        <w:t>neznámé</w:t>
      </w:r>
      <w:r>
        <w:rPr>
          <w:spacing w:val="-8"/>
          <w:sz w:val="24"/>
        </w:rPr>
        <w:t> </w:t>
      </w:r>
      <w:r>
        <w:rPr>
          <w:sz w:val="24"/>
        </w:rPr>
        <w:t>totožnosti</w:t>
      </w:r>
      <w:r>
        <w:rPr>
          <w:spacing w:val="-9"/>
          <w:sz w:val="24"/>
        </w:rPr>
        <w:t> </w:t>
      </w:r>
      <w:r>
        <w:rPr>
          <w:sz w:val="23"/>
        </w:rPr>
        <w:t>či</w:t>
      </w:r>
      <w:r>
        <w:rPr>
          <w:spacing w:val="-16"/>
          <w:sz w:val="23"/>
        </w:rPr>
        <w:t> </w:t>
      </w:r>
      <w:r>
        <w:rPr>
          <w:sz w:val="24"/>
        </w:rPr>
        <w:t>osob</w:t>
      </w:r>
      <w:r>
        <w:rPr>
          <w:spacing w:val="-13"/>
          <w:sz w:val="24"/>
        </w:rPr>
        <w:t> </w:t>
      </w:r>
      <w:r>
        <w:rPr>
          <w:sz w:val="24"/>
        </w:rPr>
        <w:t>cizí</w:t>
      </w:r>
      <w:r>
        <w:rPr>
          <w:spacing w:val="-10"/>
          <w:sz w:val="24"/>
        </w:rPr>
        <w:t> </w:t>
      </w:r>
      <w:r>
        <w:rPr>
          <w:sz w:val="24"/>
        </w:rPr>
        <w:t>státní</w:t>
      </w:r>
      <w:r>
        <w:rPr>
          <w:spacing w:val="-10"/>
          <w:sz w:val="24"/>
        </w:rPr>
        <w:t> </w:t>
      </w:r>
      <w:r>
        <w:rPr>
          <w:sz w:val="24"/>
        </w:rPr>
        <w:t>příslušnosti</w:t>
      </w:r>
      <w:r>
        <w:rPr>
          <w:spacing w:val="-8"/>
          <w:sz w:val="24"/>
        </w:rPr>
        <w:t> </w:t>
      </w:r>
      <w:r>
        <w:rPr>
          <w:sz w:val="24"/>
        </w:rPr>
        <w:t>k</w:t>
      </w:r>
      <w:r>
        <w:rPr>
          <w:spacing w:val="-23"/>
          <w:sz w:val="24"/>
        </w:rPr>
        <w:t> </w:t>
      </w:r>
      <w:r>
        <w:rPr>
          <w:sz w:val="24"/>
        </w:rPr>
        <w:t>dispozici hrobová místa na hřbitově na Husově ulici v Jeseníku a na Rejvízské ulici v Jeseníku - Bukovicích a vede evidenci lidských pozůstatků neznámé totožnosti či osob cizí státní příslušnosti,</w:t>
      </w:r>
      <w:r>
        <w:rPr>
          <w:spacing w:val="-19"/>
          <w:sz w:val="24"/>
        </w:rPr>
        <w:t> </w:t>
      </w:r>
      <w:r>
        <w:rPr>
          <w:sz w:val="24"/>
        </w:rPr>
        <w:t>které</w:t>
      </w:r>
      <w:r>
        <w:rPr>
          <w:spacing w:val="-28"/>
          <w:sz w:val="24"/>
        </w:rPr>
        <w:t> </w:t>
      </w:r>
      <w:r>
        <w:rPr>
          <w:sz w:val="24"/>
        </w:rPr>
        <w:t>jsou</w:t>
      </w:r>
      <w:r>
        <w:rPr>
          <w:spacing w:val="-27"/>
          <w:sz w:val="24"/>
        </w:rPr>
        <w:t> </w:t>
      </w:r>
      <w:r>
        <w:rPr>
          <w:sz w:val="24"/>
        </w:rPr>
        <w:t>zde</w:t>
      </w:r>
      <w:r>
        <w:rPr>
          <w:spacing w:val="-27"/>
          <w:sz w:val="24"/>
        </w:rPr>
        <w:t> </w:t>
      </w:r>
      <w:r>
        <w:rPr>
          <w:sz w:val="24"/>
        </w:rPr>
        <w:t>uloženy.</w:t>
      </w:r>
    </w:p>
    <w:p>
      <w:pPr>
        <w:pStyle w:val="ListParagraph"/>
        <w:numPr>
          <w:ilvl w:val="0"/>
          <w:numId w:val="3"/>
        </w:numPr>
        <w:tabs>
          <w:tab w:pos="1325" w:val="left" w:leader="none"/>
        </w:tabs>
        <w:spacing w:line="235" w:lineRule="auto" w:before="118" w:after="0"/>
        <w:ind w:left="1326" w:right="2036" w:hanging="280"/>
        <w:jc w:val="both"/>
        <w:rPr>
          <w:sz w:val="24"/>
        </w:rPr>
      </w:pPr>
      <w:r>
        <w:rPr>
          <w:sz w:val="24"/>
        </w:rPr>
        <w:t>V případě zajištění pohřebních služeb zpopelněním jsou urny s lidskými pozůstatky poskytovatelem uloženy po vykonání kremace v sídle poskytovatele na ulici Rejvízská 374, 790 01 Jeseník. Jejich další trvalé uložení na veřejném pohřebišti se řídí Řádem veřejného</w:t>
      </w:r>
      <w:r>
        <w:rPr>
          <w:spacing w:val="-34"/>
          <w:sz w:val="24"/>
        </w:rPr>
        <w:t> </w:t>
      </w:r>
      <w:r>
        <w:rPr>
          <w:sz w:val="24"/>
        </w:rPr>
        <w:t>pohřebiště</w:t>
      </w:r>
      <w:r>
        <w:rPr>
          <w:spacing w:val="-33"/>
          <w:sz w:val="24"/>
        </w:rPr>
        <w:t> </w:t>
      </w:r>
      <w:r>
        <w:rPr>
          <w:sz w:val="24"/>
        </w:rPr>
        <w:t>Města</w:t>
      </w:r>
      <w:r>
        <w:rPr>
          <w:spacing w:val="-36"/>
          <w:sz w:val="24"/>
        </w:rPr>
        <w:t> </w:t>
      </w:r>
      <w:r>
        <w:rPr>
          <w:sz w:val="24"/>
        </w:rPr>
        <w:t>Jeseníku.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</w:tabs>
        <w:spacing w:line="235" w:lineRule="auto" w:before="116" w:after="0"/>
        <w:ind w:left="1322" w:right="2048" w:hanging="266"/>
        <w:jc w:val="both"/>
        <w:rPr>
          <w:sz w:val="24"/>
        </w:rPr>
      </w:pPr>
      <w:r>
        <w:rPr>
          <w:sz w:val="24"/>
        </w:rPr>
        <w:t>Za poskytnutí pohřebních služeb dle objednávky vyhotovuje poskytovatel objednateli fakturu. Objednatel se zavazuje hradit své závazky na základě objednávky a podmínek faktury</w:t>
      </w:r>
      <w:r>
        <w:rPr>
          <w:spacing w:val="-14"/>
          <w:sz w:val="24"/>
        </w:rPr>
        <w:t> </w:t>
      </w:r>
      <w:r>
        <w:rPr>
          <w:sz w:val="24"/>
        </w:rPr>
        <w:t>řádně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včas.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top="120" w:bottom="280" w:left="0" w:right="1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8.490555pt;margin-top:-.375pt;width:504pt;height:836.95pt;mso-position-horizontal-relative:page;mso-position-vertical-relative:page;z-index:-5920" coordorigin="1570,-8" coordsize="10080,16739">
            <v:line style="position:absolute" from="11641,16724" to="11641,0" stroked="true" strokeweight=".710263pt" strokecolor="#000000">
              <v:stroke dashstyle="solid"/>
            </v:line>
            <v:line style="position:absolute" from="1579,48" to="11580,48" stroked="true" strokeweight=".947017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2" w:lineRule="exact" w:before="97"/>
        <w:ind w:left="1404" w:right="192" w:hanging="356"/>
        <w:jc w:val="both"/>
      </w:pPr>
      <w:r>
        <w:rPr/>
        <w:pict>
          <v:line style="position:absolute;mso-position-horizontal-relative:page;mso-position-vertical-relative:paragraph;z-index:1168" from=".0pt,-61.144081pt" to="67.601353pt,-61.144081pt" stroked="true" strokeweight="2.130788pt" strokecolor="#000000">
            <v:stroke dashstyle="solid"/>
            <w10:wrap type="none"/>
          </v:line>
        </w:pict>
      </w:r>
      <w:r>
        <w:rPr/>
        <w:t>1O. Tato smlouva se uzavírá na dobu 1 roku s maximální hodnotou plnění do 100 000,- Kč bez DPH.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237" w:lineRule="auto" w:before="110" w:after="0"/>
        <w:ind w:left="1401" w:right="183" w:hanging="352"/>
        <w:jc w:val="both"/>
        <w:rPr>
          <w:sz w:val="24"/>
        </w:rPr>
      </w:pPr>
      <w:r>
        <w:rPr>
          <w:sz w:val="24"/>
        </w:rPr>
        <w:t>Základní cena sociálního pohřbu je stanovena na 7 000 Kč bez DPH, slovy: (sedmtisíc korun českých bez DPH). V případě uložení těla v chladícím zařízení jiné osoby, než je poskytovatel, je základní cena navýšena o částku, uhrazenou poskytovatelem předmětnému zařízení, a je vždy podložena kopií dokladu o úhradě vystavené osobou, u níž</w:t>
      </w:r>
      <w:r>
        <w:rPr>
          <w:spacing w:val="-8"/>
          <w:sz w:val="24"/>
        </w:rPr>
        <w:t> </w:t>
      </w:r>
      <w:r>
        <w:rPr>
          <w:sz w:val="24"/>
        </w:rPr>
        <w:t>bylo</w:t>
      </w:r>
      <w:r>
        <w:rPr>
          <w:spacing w:val="-14"/>
          <w:sz w:val="24"/>
        </w:rPr>
        <w:t> </w:t>
      </w:r>
      <w:r>
        <w:rPr>
          <w:sz w:val="24"/>
        </w:rPr>
        <w:t>tělo</w:t>
      </w:r>
      <w:r>
        <w:rPr>
          <w:spacing w:val="-10"/>
          <w:sz w:val="24"/>
        </w:rPr>
        <w:t> </w:t>
      </w:r>
      <w:r>
        <w:rPr>
          <w:sz w:val="24"/>
        </w:rPr>
        <w:t>v</w:t>
      </w:r>
      <w:r>
        <w:rPr>
          <w:spacing w:val="-18"/>
          <w:sz w:val="24"/>
        </w:rPr>
        <w:t> </w:t>
      </w:r>
      <w:r>
        <w:rPr>
          <w:sz w:val="24"/>
        </w:rPr>
        <w:t>chladícím</w:t>
      </w:r>
      <w:r>
        <w:rPr>
          <w:spacing w:val="1"/>
          <w:sz w:val="24"/>
        </w:rPr>
        <w:t> </w:t>
      </w:r>
      <w:r>
        <w:rPr>
          <w:sz w:val="24"/>
        </w:rPr>
        <w:t>zařízení</w:t>
      </w:r>
      <w:r>
        <w:rPr>
          <w:spacing w:val="-6"/>
          <w:sz w:val="24"/>
        </w:rPr>
        <w:t> </w:t>
      </w:r>
      <w:r>
        <w:rPr>
          <w:sz w:val="24"/>
        </w:rPr>
        <w:t>uloženo.</w:t>
      </w:r>
    </w:p>
    <w:p>
      <w:pPr>
        <w:pStyle w:val="ListParagraph"/>
        <w:numPr>
          <w:ilvl w:val="0"/>
          <w:numId w:val="4"/>
        </w:numPr>
        <w:tabs>
          <w:tab w:pos="1412" w:val="left" w:leader="none"/>
        </w:tabs>
        <w:spacing w:line="237" w:lineRule="auto" w:before="117" w:after="0"/>
        <w:ind w:left="1409" w:right="191" w:hanging="355"/>
        <w:jc w:val="both"/>
        <w:rPr>
          <w:sz w:val="24"/>
        </w:rPr>
      </w:pPr>
      <w:r>
        <w:rPr>
          <w:sz w:val="24"/>
        </w:rPr>
        <w:t>Výše uvedená cena je cenou nejvýše přípustnou za sjednaný sociální pohřeb, lze však zohlednit změnu DPH. Dojde-li k navýšení ceny za sociální pohřeb, je poskytovatel povinen o této změně písemně informovat objednatele nejpozději do 7 dnů od okamžiku, kdy se o změně dozvěděl. Jestliže nebude nová cena objednatelem akceptována, může tento smlouvu</w:t>
      </w:r>
      <w:r>
        <w:rPr>
          <w:spacing w:val="-38"/>
          <w:sz w:val="24"/>
        </w:rPr>
        <w:t> </w:t>
      </w:r>
      <w:r>
        <w:rPr>
          <w:sz w:val="24"/>
        </w:rPr>
        <w:t>vypovědět.</w:t>
      </w:r>
    </w:p>
    <w:p>
      <w:pPr>
        <w:pStyle w:val="ListParagraph"/>
        <w:numPr>
          <w:ilvl w:val="0"/>
          <w:numId w:val="4"/>
        </w:numPr>
        <w:tabs>
          <w:tab w:pos="1418" w:val="left" w:leader="none"/>
        </w:tabs>
        <w:spacing w:line="240" w:lineRule="auto" w:before="114" w:after="0"/>
        <w:ind w:left="1417" w:right="0" w:hanging="354"/>
        <w:jc w:val="left"/>
        <w:rPr>
          <w:sz w:val="24"/>
        </w:rPr>
      </w:pPr>
      <w:r>
        <w:rPr>
          <w:sz w:val="24"/>
        </w:rPr>
        <w:t>Smlouvu</w:t>
      </w:r>
      <w:r>
        <w:rPr>
          <w:spacing w:val="-12"/>
          <w:sz w:val="24"/>
        </w:rPr>
        <w:t> </w:t>
      </w:r>
      <w:r>
        <w:rPr>
          <w:sz w:val="24"/>
        </w:rPr>
        <w:t>může</w:t>
      </w:r>
      <w:r>
        <w:rPr>
          <w:spacing w:val="-15"/>
          <w:sz w:val="24"/>
        </w:rPr>
        <w:t> </w:t>
      </w:r>
      <w:r>
        <w:rPr>
          <w:sz w:val="24"/>
        </w:rPr>
        <w:t>objednatel</w:t>
      </w:r>
      <w:r>
        <w:rPr>
          <w:spacing w:val="1"/>
          <w:sz w:val="24"/>
        </w:rPr>
        <w:t> </w:t>
      </w:r>
      <w:r>
        <w:rPr>
          <w:sz w:val="24"/>
        </w:rPr>
        <w:t>vypovědět</w:t>
      </w:r>
      <w:r>
        <w:rPr>
          <w:spacing w:val="-7"/>
          <w:sz w:val="24"/>
        </w:rPr>
        <w:t> </w:t>
      </w:r>
      <w:r>
        <w:rPr>
          <w:sz w:val="24"/>
        </w:rPr>
        <w:t>rovněž</w:t>
      </w:r>
      <w:r>
        <w:rPr>
          <w:spacing w:val="-13"/>
          <w:sz w:val="24"/>
        </w:rPr>
        <w:t> </w:t>
      </w:r>
      <w:r>
        <w:rPr>
          <w:sz w:val="24"/>
        </w:rPr>
        <w:t>z</w:t>
      </w:r>
      <w:r>
        <w:rPr>
          <w:spacing w:val="-22"/>
          <w:sz w:val="24"/>
        </w:rPr>
        <w:t> </w:t>
      </w:r>
      <w:r>
        <w:rPr>
          <w:sz w:val="24"/>
        </w:rPr>
        <w:t>těchto</w:t>
      </w:r>
      <w:r>
        <w:rPr>
          <w:spacing w:val="-17"/>
          <w:sz w:val="24"/>
        </w:rPr>
        <w:t> </w:t>
      </w:r>
      <w:r>
        <w:rPr>
          <w:sz w:val="24"/>
        </w:rPr>
        <w:t>důvodů: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050" w:val="left" w:leader="none"/>
        </w:tabs>
        <w:spacing w:line="235" w:lineRule="auto" w:before="0" w:after="0"/>
        <w:ind w:left="2052" w:right="180" w:hanging="358"/>
        <w:jc w:val="both"/>
        <w:rPr>
          <w:sz w:val="24"/>
        </w:rPr>
      </w:pPr>
      <w:r>
        <w:rPr>
          <w:sz w:val="24"/>
        </w:rPr>
        <w:t>poskytovatel nezapočne s prováděním sociálního pohřbu ani do 2 dnů ode dne doručení objednávky objednatele, vyjma případů, kdy z objektivních důvodů nebo z důvodů  daných   příslušnými   právními   předpisy  v této  lhůtě  nelze   započít  s prováděním</w:t>
      </w:r>
      <w:r>
        <w:rPr>
          <w:spacing w:val="-28"/>
          <w:sz w:val="24"/>
        </w:rPr>
        <w:t> </w:t>
      </w:r>
      <w:r>
        <w:rPr>
          <w:sz w:val="24"/>
        </w:rPr>
        <w:t>pohřbu,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059" w:val="left" w:leader="none"/>
        </w:tabs>
        <w:spacing w:line="240" w:lineRule="auto" w:before="0" w:after="0"/>
        <w:ind w:left="2055" w:right="183" w:hanging="352"/>
        <w:jc w:val="both"/>
        <w:rPr>
          <w:sz w:val="24"/>
        </w:rPr>
      </w:pPr>
      <w:r>
        <w:rPr>
          <w:sz w:val="24"/>
        </w:rPr>
        <w:t>poskytovatel bude  své  služby  sjednané  touto  smlouvou  poskytovat  v rozporu  s ustanoveními této smlouvy, požadavky objednatele nebo s příslušnými právními předpisy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sz w:val="24"/>
        </w:rPr>
        <w:t>nezjedná</w:t>
      </w:r>
      <w:r>
        <w:rPr>
          <w:spacing w:val="-7"/>
          <w:sz w:val="24"/>
        </w:rPr>
        <w:t> </w:t>
      </w:r>
      <w:r>
        <w:rPr>
          <w:sz w:val="24"/>
        </w:rPr>
        <w:t>nápravu</w:t>
      </w:r>
      <w:r>
        <w:rPr>
          <w:spacing w:val="-14"/>
          <w:sz w:val="24"/>
        </w:rPr>
        <w:t> </w:t>
      </w:r>
      <w:r>
        <w:rPr>
          <w:sz w:val="24"/>
        </w:rPr>
        <w:t>ani</w:t>
      </w:r>
      <w:r>
        <w:rPr>
          <w:spacing w:val="-17"/>
          <w:sz w:val="24"/>
        </w:rPr>
        <w:t> </w:t>
      </w:r>
      <w:r>
        <w:rPr>
          <w:sz w:val="24"/>
        </w:rPr>
        <w:t>přes</w:t>
      </w:r>
      <w:r>
        <w:rPr>
          <w:spacing w:val="-11"/>
          <w:sz w:val="24"/>
        </w:rPr>
        <w:t> </w:t>
      </w:r>
      <w:r>
        <w:rPr>
          <w:sz w:val="24"/>
        </w:rPr>
        <w:t>výslovné</w:t>
      </w:r>
      <w:r>
        <w:rPr>
          <w:spacing w:val="-7"/>
          <w:sz w:val="24"/>
        </w:rPr>
        <w:t> </w:t>
      </w:r>
      <w:r>
        <w:rPr>
          <w:sz w:val="24"/>
        </w:rPr>
        <w:t>upozornění</w:t>
      </w:r>
      <w:r>
        <w:rPr>
          <w:spacing w:val="-3"/>
          <w:sz w:val="24"/>
        </w:rPr>
        <w:t> </w:t>
      </w:r>
      <w:r>
        <w:rPr>
          <w:sz w:val="24"/>
        </w:rPr>
        <w:t>objednatele.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428" w:val="left" w:leader="none"/>
        </w:tabs>
        <w:spacing w:line="235" w:lineRule="auto" w:before="0" w:after="0"/>
        <w:ind w:left="1423" w:right="172" w:hanging="350"/>
        <w:jc w:val="both"/>
        <w:rPr>
          <w:sz w:val="24"/>
        </w:rPr>
      </w:pPr>
      <w:r>
        <w:rPr>
          <w:sz w:val="24"/>
        </w:rPr>
        <w:t>Smlouvu může poskytovatel vypovědět, pokud objednatel neuhradí řádně vystavenou fakturu za řádně provedené a odsouhlasené práce do 30 dnů ode dne uplynutí její splatnosti.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431" w:val="left" w:leader="none"/>
        </w:tabs>
        <w:spacing w:line="240" w:lineRule="auto" w:before="0" w:after="0"/>
        <w:ind w:left="1433" w:right="187" w:hanging="356"/>
        <w:jc w:val="both"/>
        <w:rPr>
          <w:sz w:val="24"/>
        </w:rPr>
      </w:pPr>
      <w:r>
        <w:rPr>
          <w:sz w:val="24"/>
        </w:rPr>
        <w:t>Výpovědní lhůta činí 3 měsíce a počíná běžet </w:t>
      </w:r>
      <w:r>
        <w:rPr>
          <w:sz w:val="23"/>
        </w:rPr>
        <w:t>1. </w:t>
      </w:r>
      <w:r>
        <w:rPr>
          <w:sz w:val="24"/>
        </w:rPr>
        <w:t>dnem kalendářního měsíce následujícího po</w:t>
      </w:r>
      <w:r>
        <w:rPr>
          <w:spacing w:val="-15"/>
          <w:sz w:val="24"/>
        </w:rPr>
        <w:t> </w:t>
      </w:r>
      <w:r>
        <w:rPr>
          <w:sz w:val="24"/>
        </w:rPr>
        <w:t>měsíci,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16"/>
          <w:sz w:val="24"/>
        </w:rPr>
        <w:t> </w:t>
      </w:r>
      <w:r>
        <w:rPr>
          <w:sz w:val="24"/>
        </w:rPr>
        <w:t>němž</w:t>
      </w:r>
      <w:r>
        <w:rPr>
          <w:spacing w:val="-2"/>
          <w:sz w:val="24"/>
        </w:rPr>
        <w:t> </w:t>
      </w:r>
      <w:r>
        <w:rPr>
          <w:sz w:val="24"/>
        </w:rPr>
        <w:t>byla</w:t>
      </w:r>
      <w:r>
        <w:rPr>
          <w:spacing w:val="-15"/>
          <w:sz w:val="24"/>
        </w:rPr>
        <w:t> </w:t>
      </w:r>
      <w:r>
        <w:rPr>
          <w:sz w:val="24"/>
        </w:rPr>
        <w:t>písemná</w:t>
      </w:r>
      <w:r>
        <w:rPr>
          <w:spacing w:val="-1"/>
          <w:sz w:val="24"/>
        </w:rPr>
        <w:t> </w:t>
      </w:r>
      <w:r>
        <w:rPr>
          <w:sz w:val="24"/>
        </w:rPr>
        <w:t>výpověď</w:t>
      </w:r>
      <w:r>
        <w:rPr>
          <w:spacing w:val="-2"/>
          <w:sz w:val="24"/>
        </w:rPr>
        <w:t> </w:t>
      </w:r>
      <w:r>
        <w:rPr>
          <w:sz w:val="24"/>
        </w:rPr>
        <w:t>doručena</w:t>
      </w:r>
      <w:r>
        <w:rPr>
          <w:spacing w:val="-7"/>
          <w:sz w:val="24"/>
        </w:rPr>
        <w:t> </w:t>
      </w:r>
      <w:r>
        <w:rPr>
          <w:sz w:val="24"/>
        </w:rPr>
        <w:t>poskytovateli.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438" w:val="left" w:leader="none"/>
        </w:tabs>
        <w:spacing w:line="272" w:lineRule="exact" w:before="0" w:after="0"/>
        <w:ind w:left="1437" w:right="158" w:hanging="355"/>
        <w:jc w:val="both"/>
        <w:rPr>
          <w:sz w:val="24"/>
        </w:rPr>
      </w:pPr>
      <w:r>
        <w:rPr>
          <w:sz w:val="24"/>
        </w:rPr>
        <w:t>Cenu za služby v rámci jednotlivých objednávek zaplatí objednatel poskytovateli bankovními převody na bankovní účet poskytovatele uvedený v čl. I odst. 2 této rámcové smlouvy na základě daňových dokladů vystavených poskytovatelem ke dni uskutečnění zdanitelného plnění. Splatnost každého bezchybného daňového dokladuje 14 dnů ode dne jeho</w:t>
      </w:r>
      <w:r>
        <w:rPr>
          <w:spacing w:val="-47"/>
          <w:sz w:val="24"/>
        </w:rPr>
        <w:t> </w:t>
      </w:r>
      <w:r>
        <w:rPr>
          <w:sz w:val="24"/>
        </w:rPr>
        <w:t>doručení objednateli.</w:t>
      </w:r>
    </w:p>
    <w:p>
      <w:pPr>
        <w:pStyle w:val="ListParagraph"/>
        <w:numPr>
          <w:ilvl w:val="0"/>
          <w:numId w:val="4"/>
        </w:numPr>
        <w:tabs>
          <w:tab w:pos="1443" w:val="left" w:leader="none"/>
        </w:tabs>
        <w:spacing w:line="240" w:lineRule="auto" w:before="231" w:after="0"/>
        <w:ind w:left="1442" w:right="154" w:hanging="350"/>
        <w:jc w:val="both"/>
        <w:rPr>
          <w:sz w:val="24"/>
        </w:rPr>
      </w:pPr>
      <w:r>
        <w:rPr>
          <w:sz w:val="24"/>
        </w:rPr>
        <w:t>Každý daňový doklad musí obsahovat informaci o typu použité rakve, dále bude přílohou soupis všech úkonů a věcí, které poskytovatel dle této smlouvy provedl a použil a které fakturuje.</w:t>
      </w:r>
    </w:p>
    <w:p>
      <w:pPr>
        <w:pStyle w:val="ListParagraph"/>
        <w:numPr>
          <w:ilvl w:val="0"/>
          <w:numId w:val="4"/>
        </w:numPr>
        <w:tabs>
          <w:tab w:pos="1448" w:val="left" w:leader="none"/>
        </w:tabs>
        <w:spacing w:line="240" w:lineRule="auto" w:before="228" w:after="0"/>
        <w:ind w:left="1451" w:right="141" w:hanging="359"/>
        <w:jc w:val="both"/>
        <w:rPr>
          <w:sz w:val="24"/>
        </w:rPr>
      </w:pPr>
      <w:r>
        <w:rPr>
          <w:sz w:val="24"/>
        </w:rPr>
        <w:t>Každý účetní (resp. daňový) doklad musí obsahovat všechny povinné náležitosti podle zákona č. 563/1991 Sb., o účetnictví, ve znění pozdějších předpisů, (resp. zákona č. 235/2004 Sb., o dani z přidané hodnoty, ve znění pozdějších předpisů) a § 435 zákona č. 89/2012 Sb., občanského zákoníku, ve znění pozdějších předpisů. V případě, že daňový doklad tyto náležitosti nebude splňovat, bude objednatelem vrácen do dne splatnosti daňového dokladu k opravení bez jeho proplacení. V takovém případě lhůta splatnosti počíná běžet znovu ode dne doručení opraveného či nově vyhotoveného daňového dokladu.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0" w:bottom="280" w:left="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755" w:val="left" w:leader="none"/>
        </w:tabs>
        <w:spacing w:line="240" w:lineRule="auto" w:before="90" w:after="0"/>
        <w:ind w:left="4754" w:right="0" w:hanging="397"/>
        <w:jc w:val="left"/>
        <w:rPr>
          <w:b/>
          <w:color w:val="3B3B3D"/>
          <w:sz w:val="23"/>
        </w:rPr>
      </w:pPr>
      <w:r>
        <w:rPr/>
        <w:pict>
          <v:group style="position:absolute;margin-left:577.037903pt;margin-top:-89.612144pt;width:16.75pt;height:615pt;mso-position-horizontal-relative:page;mso-position-vertical-relative:paragraph;z-index:1240" coordorigin="11541,-1792" coordsize="335,12300">
            <v:shape style="position:absolute;left:11587;top:-1792;width:288;height:749" type="#_x0000_t75" stroked="false">
              <v:imagedata r:id="rId9" o:title=""/>
            </v:shape>
            <v:line style="position:absolute" from="11543,-11" to="11543,-1658" stroked="true" strokeweight=".238653pt" strokecolor="#d4d4d4">
              <v:stroke dashstyle="solid"/>
            </v:line>
            <v:line style="position:absolute" from="11679,353" to="11679,-1074" stroked="true" strokeweight=".715958pt" strokecolor="#cccccc">
              <v:stroke dashstyle="solid"/>
            </v:line>
            <v:shape style="position:absolute;left:11606;top:5773;width:269;height:2035" type="#_x0000_t75" stroked="false">
              <v:imagedata r:id="rId10" o:title=""/>
            </v:shape>
            <v:line style="position:absolute" from="11787,10488" to="11787,-1768" stroked="true" strokeweight="1.909222pt" strokecolor="#232828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312" from=".219804pt,-89.375214pt" to="363.210712pt,-89.375214pt" stroked="true" strokeweight=".954611pt" strokecolor="#3f4448">
            <v:stroke dashstyle="solid"/>
            <w10:wrap type="none"/>
          </v:line>
        </w:pict>
      </w:r>
      <w:r>
        <w:rPr>
          <w:b/>
          <w:color w:val="3B3B3D"/>
          <w:sz w:val="23"/>
        </w:rPr>
        <w:t>Závěrečná</w:t>
      </w:r>
      <w:r>
        <w:rPr>
          <w:b/>
          <w:color w:val="3B3B3D"/>
          <w:spacing w:val="54"/>
          <w:sz w:val="23"/>
        </w:rPr>
        <w:t> </w:t>
      </w:r>
      <w:r>
        <w:rPr>
          <w:b/>
          <w:color w:val="3B3B3D"/>
          <w:sz w:val="23"/>
        </w:rPr>
        <w:t>ustanovení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40" w:lineRule="auto" w:before="0" w:after="0"/>
        <w:ind w:left="1499" w:right="1796" w:hanging="287"/>
        <w:jc w:val="both"/>
        <w:rPr>
          <w:sz w:val="24"/>
        </w:rPr>
      </w:pPr>
      <w:r>
        <w:rPr>
          <w:color w:val="3B3B3D"/>
          <w:sz w:val="24"/>
        </w:rPr>
        <w:t>Rámcová smlouva je vyhotovena ve dvou stejnopisech, z nichž objednatel i poskytovatel obdrží po jednom</w:t>
      </w:r>
      <w:r>
        <w:rPr>
          <w:color w:val="3B3B3D"/>
          <w:spacing w:val="-21"/>
          <w:sz w:val="24"/>
        </w:rPr>
        <w:t> </w:t>
      </w:r>
      <w:r>
        <w:rPr>
          <w:color w:val="3B3B3D"/>
          <w:sz w:val="24"/>
        </w:rPr>
        <w:t>vyhotovení.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501" w:val="left" w:leader="none"/>
        </w:tabs>
        <w:spacing w:line="272" w:lineRule="exact" w:before="0" w:after="0"/>
        <w:ind w:left="1500" w:right="1770" w:hanging="279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288" from="584.919128pt,167.438291pt" to="584.919128pt,20.455391pt" stroked="true" strokeweight=".715958pt" strokecolor="#cccccc">
            <v:stroke dashstyle="solid"/>
            <w10:wrap type="none"/>
          </v:line>
        </w:pict>
      </w:r>
      <w:r>
        <w:rPr>
          <w:color w:val="3B3B3D"/>
          <w:sz w:val="24"/>
        </w:rPr>
        <w:t>Tato rámcová smlouva se stává </w:t>
      </w:r>
      <w:r>
        <w:rPr>
          <w:color w:val="AEAFAF"/>
          <w:sz w:val="24"/>
        </w:rPr>
        <w:t>·</w:t>
      </w:r>
      <w:r>
        <w:rPr>
          <w:color w:val="3B3B3D"/>
          <w:sz w:val="24"/>
        </w:rPr>
        <w:t>platnou a právně účinnou dnem podpisu oběma smluvními</w:t>
      </w:r>
      <w:r>
        <w:rPr>
          <w:color w:val="3B3B3D"/>
          <w:spacing w:val="-15"/>
          <w:sz w:val="24"/>
        </w:rPr>
        <w:t> </w:t>
      </w:r>
      <w:r>
        <w:rPr>
          <w:color w:val="3B3B3D"/>
          <w:sz w:val="24"/>
        </w:rPr>
        <w:t>stranami.</w:t>
      </w:r>
    </w:p>
    <w:p>
      <w:pPr>
        <w:pStyle w:val="ListParagraph"/>
        <w:numPr>
          <w:ilvl w:val="0"/>
          <w:numId w:val="5"/>
        </w:numPr>
        <w:tabs>
          <w:tab w:pos="1506" w:val="left" w:leader="none"/>
        </w:tabs>
        <w:spacing w:line="240" w:lineRule="auto" w:before="223" w:after="0"/>
        <w:ind w:left="1508" w:right="1778" w:hanging="287"/>
        <w:jc w:val="both"/>
        <w:rPr>
          <w:sz w:val="24"/>
        </w:rPr>
      </w:pPr>
      <w:r>
        <w:rPr>
          <w:color w:val="3B3B3D"/>
          <w:sz w:val="24"/>
        </w:rPr>
        <w:t>Tato rámcová smlouva může být změněna nebo doplněna jen oboustranně podepsaným písemným</w:t>
      </w:r>
      <w:r>
        <w:rPr>
          <w:color w:val="3B3B3D"/>
          <w:spacing w:val="-27"/>
          <w:sz w:val="24"/>
        </w:rPr>
        <w:t> </w:t>
      </w:r>
      <w:r>
        <w:rPr>
          <w:color w:val="3B3B3D"/>
          <w:sz w:val="24"/>
        </w:rPr>
        <w:t>dodatkem.</w:t>
      </w:r>
    </w:p>
    <w:p>
      <w:pPr>
        <w:pStyle w:val="ListParagraph"/>
        <w:numPr>
          <w:ilvl w:val="0"/>
          <w:numId w:val="5"/>
        </w:numPr>
        <w:tabs>
          <w:tab w:pos="1509" w:val="left" w:leader="none"/>
        </w:tabs>
        <w:spacing w:line="244" w:lineRule="auto" w:before="230" w:after="0"/>
        <w:ind w:left="1513" w:right="1777" w:hanging="286"/>
        <w:jc w:val="both"/>
        <w:rPr>
          <w:sz w:val="24"/>
        </w:rPr>
      </w:pPr>
      <w:r>
        <w:rPr>
          <w:color w:val="3B3B3D"/>
          <w:sz w:val="24"/>
        </w:rPr>
        <w:t>Právní vztahy plynoucí z této smlouvy se řídí výhradně právními normami </w:t>
      </w:r>
      <w:r>
        <w:rPr>
          <w:color w:val="4F4F52"/>
          <w:sz w:val="24"/>
        </w:rPr>
        <w:t>českého </w:t>
      </w:r>
      <w:r>
        <w:rPr>
          <w:color w:val="3B3B3D"/>
          <w:sz w:val="24"/>
        </w:rPr>
        <w:t>právního</w:t>
      </w:r>
      <w:r>
        <w:rPr>
          <w:color w:val="3B3B3D"/>
          <w:spacing w:val="-20"/>
          <w:sz w:val="24"/>
        </w:rPr>
        <w:t> </w:t>
      </w:r>
      <w:r>
        <w:rPr>
          <w:color w:val="3B3B3D"/>
          <w:sz w:val="24"/>
        </w:rPr>
        <w:t>řádu.</w:t>
      </w:r>
    </w:p>
    <w:p>
      <w:pPr>
        <w:pStyle w:val="ListParagraph"/>
        <w:numPr>
          <w:ilvl w:val="0"/>
          <w:numId w:val="5"/>
        </w:numPr>
        <w:tabs>
          <w:tab w:pos="1514" w:val="left" w:leader="none"/>
        </w:tabs>
        <w:spacing w:line="237" w:lineRule="auto" w:before="227" w:after="0"/>
        <w:ind w:left="1512" w:right="1753" w:hanging="283"/>
        <w:jc w:val="both"/>
        <w:rPr>
          <w:sz w:val="24"/>
        </w:rPr>
      </w:pPr>
      <w:r>
        <w:rPr>
          <w:color w:val="3B3B3D"/>
          <w:sz w:val="24"/>
        </w:rPr>
        <w:t>Poskytovatel   souhlasí  s tím,   že   obsah  této   smlouvy   není   obchodním   tajemstvím a objednatel jako územně samosprávný celek (veřejnoprávní korporace) jej může zveřejnit, zejména v rozsahu a za podmínek vyplývajících ze zákona č. 106</w:t>
      </w:r>
      <w:r>
        <w:rPr>
          <w:color w:val="232324"/>
          <w:sz w:val="24"/>
        </w:rPr>
        <w:t>/</w:t>
      </w:r>
      <w:r>
        <w:rPr>
          <w:color w:val="3B3B3D"/>
          <w:sz w:val="24"/>
        </w:rPr>
        <w:t>1999 Sb., o svobodném přístupu k informacím, ve znění pozdějších</w:t>
      </w:r>
      <w:r>
        <w:rPr>
          <w:color w:val="3B3B3D"/>
          <w:spacing w:val="-26"/>
          <w:sz w:val="24"/>
        </w:rPr>
        <w:t> </w:t>
      </w:r>
      <w:r>
        <w:rPr>
          <w:color w:val="3B3B3D"/>
          <w:sz w:val="24"/>
        </w:rPr>
        <w:t>přepisů.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575" w:val="left" w:leader="none"/>
        </w:tabs>
        <w:spacing w:line="240" w:lineRule="auto" w:before="1" w:after="0"/>
        <w:ind w:left="1522" w:right="1759" w:hanging="287"/>
        <w:jc w:val="both"/>
        <w:rPr>
          <w:sz w:val="24"/>
        </w:rPr>
      </w:pPr>
      <w:r>
        <w:rPr>
          <w:color w:val="3B3B3D"/>
          <w:sz w:val="24"/>
        </w:rPr>
        <w:t>Smluvní strany berou na vědomí, že tato smlouva bude v souladu se směrnicí rady města zveřejněna v registru smluv. Poskytovatel se zavazuje bez zbytečného odkladu zajistit uveřejnění v registru</w:t>
      </w:r>
      <w:r>
        <w:rPr>
          <w:color w:val="3B3B3D"/>
          <w:spacing w:val="-11"/>
          <w:sz w:val="24"/>
        </w:rPr>
        <w:t> </w:t>
      </w:r>
      <w:r>
        <w:rPr>
          <w:color w:val="3B3B3D"/>
          <w:sz w:val="24"/>
        </w:rPr>
        <w:t>smluv.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280" w:left="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line="65" w:lineRule="exact" w:before="200"/>
        <w:ind w:left="0" w:right="0" w:firstLine="0"/>
        <w:jc w:val="right"/>
        <w:rPr>
          <w:b/>
          <w:sz w:val="30"/>
        </w:rPr>
      </w:pPr>
      <w:r>
        <w:rPr/>
        <w:drawing>
          <wp:anchor distT="0" distB="0" distL="0" distR="0" allowOverlap="1" layoutInCell="1" locked="0" behindDoc="1" simplePos="0" relativeHeight="268429655">
            <wp:simplePos x="0" y="0"/>
            <wp:positionH relativeFrom="page">
              <wp:posOffset>2103120</wp:posOffset>
            </wp:positionH>
            <wp:positionV relativeFrom="paragraph">
              <wp:posOffset>-593888</wp:posOffset>
            </wp:positionV>
            <wp:extent cx="316991" cy="499872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5218pt;margin-top:-18.049051pt;width:361.85pt;height:13.55pt;mso-position-horizontal-relative:page;mso-position-vertical-relative:paragraph;z-index:-57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603" w:val="left" w:leader="none"/>
                    </w:tabs>
                    <w:spacing w:line="271" w:lineRule="exact"/>
                  </w:pPr>
                  <w:r>
                    <w:rPr>
                      <w:color w:val="3B3B3D"/>
                    </w:rPr>
                    <w:t>Za</w:t>
                  </w:r>
                  <w:r>
                    <w:rPr>
                      <w:color w:val="3B3B3D"/>
                      <w:spacing w:val="-14"/>
                    </w:rPr>
                    <w:t> </w:t>
                  </w:r>
                  <w:r>
                    <w:rPr>
                      <w:color w:val="3B3B3D"/>
                    </w:rPr>
                    <w:t>objednatele</w:t>
                    <w:tab/>
                    <w:t>Za</w:t>
                  </w:r>
                  <w:r>
                    <w:rPr>
                      <w:color w:val="3B3B3D"/>
                      <w:spacing w:val="-14"/>
                    </w:rPr>
                    <w:t> </w:t>
                  </w:r>
                  <w:r>
                    <w:rPr>
                      <w:color w:val="3B3B3D"/>
                    </w:rPr>
                    <w:t>poskytovatele</w:t>
                  </w:r>
                </w:p>
              </w:txbxContent>
            </v:textbox>
            <w10:wrap type="none"/>
          </v:shape>
        </w:pict>
      </w:r>
      <w:r>
        <w:rPr>
          <w:color w:val="7E7C83"/>
          <w:w w:val="80"/>
          <w:sz w:val="30"/>
        </w:rPr>
        <w:t>- </w:t>
      </w:r>
      <w:r>
        <w:rPr>
          <w:color w:val="69676B"/>
          <w:w w:val="80"/>
          <w:sz w:val="30"/>
        </w:rPr>
        <w:t>8</w:t>
      </w:r>
      <w:r>
        <w:rPr>
          <w:color w:val="919195"/>
          <w:w w:val="80"/>
          <w:sz w:val="30"/>
        </w:rPr>
        <w:t>. 07. </w:t>
      </w:r>
      <w:r>
        <w:rPr>
          <w:b/>
          <w:color w:val="7E7C83"/>
          <w:w w:val="80"/>
          <w:sz w:val="30"/>
        </w:rPr>
        <w:t>2020</w:t>
      </w:r>
    </w:p>
    <w:p>
      <w:pPr>
        <w:tabs>
          <w:tab w:pos="4663" w:val="left" w:leader="none"/>
        </w:tabs>
        <w:spacing w:line="782" w:lineRule="exact" w:before="219"/>
        <w:ind w:left="2649" w:right="0" w:firstLine="0"/>
        <w:jc w:val="left"/>
        <w:rPr>
          <w:i/>
          <w:sz w:val="75"/>
        </w:rPr>
      </w:pPr>
      <w:r>
        <w:rPr/>
        <w:br w:type="column"/>
      </w:r>
      <w:r>
        <w:rPr>
          <w:color w:val="627ED8"/>
          <w:w w:val="90"/>
          <w:position w:val="-11"/>
          <w:sz w:val="31"/>
        </w:rPr>
        <w:t>-</w:t>
        <w:tab/>
      </w:r>
      <w:r>
        <w:rPr>
          <w:i/>
          <w:color w:val="7777C8"/>
          <w:w w:val="85"/>
          <w:sz w:val="75"/>
        </w:rPr>
        <w:t>&lt;4/</w:t>
      </w:r>
    </w:p>
    <w:p>
      <w:pPr>
        <w:spacing w:after="0" w:line="782" w:lineRule="exact"/>
        <w:jc w:val="left"/>
        <w:rPr>
          <w:sz w:val="75"/>
        </w:rPr>
        <w:sectPr>
          <w:type w:val="continuous"/>
          <w:pgSz w:w="11910" w:h="16840"/>
          <w:pgMar w:top="1420" w:bottom="280" w:left="0" w:right="0"/>
          <w:cols w:num="2" w:equalWidth="0">
            <w:col w:w="4252" w:space="40"/>
            <w:col w:w="7618"/>
          </w:cols>
        </w:sectPr>
      </w:pPr>
    </w:p>
    <w:p>
      <w:pPr>
        <w:pStyle w:val="BodyText"/>
        <w:spacing w:before="158"/>
        <w:ind w:left="1247"/>
      </w:pPr>
      <w:r>
        <w:rPr>
          <w:color w:val="3B3B3D"/>
          <w:w w:val="105"/>
        </w:rPr>
        <w:t>V Jeseníku dne .........  </w:t>
      </w:r>
      <w:r>
        <w:rPr>
          <w:color w:val="232324"/>
          <w:w w:val="105"/>
        </w:rPr>
        <w:t>.</w:t>
      </w:r>
      <w:r>
        <w:rPr>
          <w:color w:val="3B3B3D"/>
          <w:w w:val="105"/>
        </w:rPr>
        <w:t>...........   ...... .</w:t>
      </w:r>
    </w:p>
    <w:p>
      <w:pPr>
        <w:tabs>
          <w:tab w:pos="1889" w:val="left" w:leader="none"/>
          <w:tab w:pos="2209" w:val="left" w:leader="none"/>
        </w:tabs>
        <w:spacing w:line="266" w:lineRule="exact" w:before="0"/>
        <w:ind w:left="1247" w:right="0" w:firstLine="0"/>
        <w:jc w:val="left"/>
        <w:rPr>
          <w:sz w:val="30"/>
        </w:rPr>
      </w:pPr>
      <w:r>
        <w:rPr/>
        <w:br w:type="column"/>
      </w:r>
      <w:r>
        <w:rPr>
          <w:color w:val="3B3B3D"/>
          <w:sz w:val="22"/>
        </w:rPr>
        <w:t>V</w:t>
        <w:tab/>
      </w:r>
      <w:r>
        <w:rPr>
          <w:color w:val="7E7C83"/>
          <w:sz w:val="22"/>
        </w:rPr>
        <w:t>-</w:t>
        <w:tab/>
      </w:r>
      <w:r>
        <w:rPr>
          <w:color w:val="69676B"/>
          <w:w w:val="70"/>
          <w:sz w:val="30"/>
        </w:rPr>
        <w:t>8. </w:t>
      </w:r>
      <w:r>
        <w:rPr>
          <w:color w:val="919195"/>
          <w:w w:val="70"/>
          <w:sz w:val="30"/>
        </w:rPr>
        <w:t>07.</w:t>
      </w:r>
      <w:r>
        <w:rPr>
          <w:color w:val="919195"/>
          <w:spacing w:val="1"/>
          <w:w w:val="70"/>
          <w:sz w:val="30"/>
        </w:rPr>
        <w:t> </w:t>
      </w:r>
      <w:r>
        <w:rPr>
          <w:color w:val="7E7C83"/>
          <w:w w:val="70"/>
          <w:sz w:val="30"/>
        </w:rPr>
        <w:t>2020</w:t>
      </w:r>
    </w:p>
    <w:p>
      <w:pPr>
        <w:spacing w:line="256" w:lineRule="exact" w:before="0"/>
        <w:ind w:left="1555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color w:val="3B3B3D"/>
          <w:sz w:val="28"/>
        </w:rPr>
        <w:t>·············</w:t>
      </w:r>
      <w:r>
        <w:rPr>
          <w:rFonts w:ascii="Arial" w:hAnsi="Arial"/>
          <w:color w:val="232324"/>
          <w:sz w:val="28"/>
        </w:rPr>
        <w:t>·</w:t>
      </w:r>
      <w:r>
        <w:rPr>
          <w:rFonts w:ascii="Arial" w:hAnsi="Arial"/>
          <w:color w:val="3B3B3D"/>
          <w:sz w:val="28"/>
        </w:rPr>
        <w:t>········</w:t>
      </w:r>
    </w:p>
    <w:p>
      <w:pPr>
        <w:spacing w:after="0" w:line="256" w:lineRule="exact"/>
        <w:jc w:val="left"/>
        <w:rPr>
          <w:rFonts w:ascii="Arial" w:hAnsi="Arial"/>
          <w:sz w:val="28"/>
        </w:rPr>
        <w:sectPr>
          <w:type w:val="continuous"/>
          <w:pgSz w:w="11910" w:h="16840"/>
          <w:pgMar w:top="1420" w:bottom="280" w:left="0" w:right="0"/>
          <w:cols w:num="2" w:equalWidth="0">
            <w:col w:w="4998" w:space="530"/>
            <w:col w:w="638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7"/>
        </w:rPr>
      </w:pPr>
    </w:p>
    <w:p>
      <w:pPr>
        <w:tabs>
          <w:tab w:pos="6994" w:val="left" w:leader="none"/>
        </w:tabs>
        <w:spacing w:line="240" w:lineRule="auto"/>
        <w:ind w:left="2371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862203" cy="826769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03" cy="82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50"/>
          <w:sz w:val="20"/>
        </w:rPr>
        <w:pict>
          <v:group style="width:127.85pt;height:47.3pt;mso-position-horizontal-relative:char;mso-position-vertical-relative:line" coordorigin="0,0" coordsize="2557,946">
            <v:line style="position:absolute" from="41,903" to="41,17" stroked="true" strokeweight="1.670569pt" strokecolor="#575757">
              <v:stroke dashstyle="solid"/>
            </v:line>
            <v:line style="position:absolute" from="2515,931" to="2515,46" stroked="true" strokeweight="1.431917pt" strokecolor="#5b5b5b">
              <v:stroke dashstyle="solid"/>
            </v:line>
            <v:line style="position:absolute" from="26,48" to="2542,48" stroked="true" strokeweight="1.431917pt" strokecolor="#5b5b5b">
              <v:stroke dashstyle="solid"/>
            </v:line>
            <v:line style="position:absolute" from="12,896" to="2527,896" stroked="true" strokeweight="1.193264pt" strokecolor="#575757">
              <v:stroke dashstyle="solid"/>
            </v:line>
            <v:shape style="position:absolute;left:41;top:48;width:2475;height:848" type="#_x0000_t202" filled="false" stroked="false">
              <v:textbox inset="0,0,0,0">
                <w:txbxContent>
                  <w:p>
                    <w:pPr>
                      <w:spacing w:before="68"/>
                      <w:ind w:left="67" w:right="44" w:firstLine="0"/>
                      <w:jc w:val="center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4F4F52"/>
                        <w:sz w:val="17"/>
                      </w:rPr>
                      <w:t>Jesenická pohřební </w:t>
                    </w:r>
                    <w:r>
                      <w:rPr>
                        <w:b/>
                        <w:i/>
                        <w:color w:val="3B3B3D"/>
                        <w:sz w:val="17"/>
                      </w:rPr>
                      <w:t>služba </w:t>
                    </w:r>
                    <w:r>
                      <w:rPr>
                        <w:b/>
                        <w:i/>
                        <w:color w:val="4F4F52"/>
                        <w:sz w:val="17"/>
                      </w:rPr>
                      <w:t>s. </w:t>
                    </w:r>
                    <w:r>
                      <w:rPr>
                        <w:rFonts w:ascii="Arial" w:hAnsi="Arial"/>
                        <w:b/>
                        <w:i/>
                        <w:color w:val="4F4F52"/>
                        <w:sz w:val="16"/>
                      </w:rPr>
                      <w:t>r. </w:t>
                    </w:r>
                    <w:r>
                      <w:rPr>
                        <w:b/>
                        <w:i/>
                        <w:color w:val="4F4F52"/>
                        <w:sz w:val="17"/>
                      </w:rPr>
                      <w:t>o.</w:t>
                    </w:r>
                  </w:p>
                  <w:p>
                    <w:pPr>
                      <w:spacing w:line="264" w:lineRule="auto" w:before="8"/>
                      <w:ind w:left="483" w:right="458" w:firstLine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F4F52"/>
                        <w:sz w:val="13"/>
                      </w:rPr>
                      <w:t>Rejví </w:t>
                    </w:r>
                    <w:r>
                      <w:rPr>
                        <w:rFonts w:ascii="Arial" w:hAnsi="Arial"/>
                        <w:color w:val="69676B"/>
                        <w:sz w:val="13"/>
                      </w:rPr>
                      <w:t>zs,</w:t>
                    </w:r>
                    <w:r>
                      <w:rPr>
                        <w:rFonts w:ascii="Arial" w:hAnsi="Arial"/>
                        <w:color w:val="3B3B3D"/>
                        <w:sz w:val="13"/>
                      </w:rPr>
                      <w:t>k </w:t>
                    </w:r>
                    <w:r>
                      <w:rPr>
                        <w:rFonts w:ascii="Arial" w:hAnsi="Arial"/>
                        <w:color w:val="4F4F52"/>
                        <w:sz w:val="13"/>
                      </w:rPr>
                      <w:t>í </w:t>
                    </w:r>
                    <w:r>
                      <w:rPr>
                        <w:rFonts w:ascii="Arial" w:hAnsi="Arial"/>
                        <w:color w:val="4F4F52"/>
                        <w:sz w:val="14"/>
                      </w:rPr>
                      <w:t>:lH </w:t>
                    </w:r>
                    <w:r>
                      <w:rPr>
                        <w:rFonts w:ascii="Arial" w:hAnsi="Arial"/>
                        <w:color w:val="232324"/>
                        <w:sz w:val="14"/>
                      </w:rPr>
                      <w:t>, </w:t>
                    </w:r>
                    <w:r>
                      <w:rPr>
                        <w:rFonts w:ascii="Arial" w:hAnsi="Arial"/>
                        <w:color w:val="4F4F52"/>
                        <w:sz w:val="13"/>
                      </w:rPr>
                      <w:t>Bukovi </w:t>
                    </w:r>
                    <w:r>
                      <w:rPr>
                        <w:rFonts w:ascii="Arial" w:hAnsi="Arial"/>
                        <w:color w:val="69676B"/>
                        <w:sz w:val="13"/>
                      </w:rPr>
                      <w:t>ce </w:t>
                    </w:r>
                    <w:r>
                      <w:rPr>
                        <w:rFonts w:ascii="Arial" w:hAnsi="Arial"/>
                        <w:color w:val="4F4F52"/>
                        <w:sz w:val="13"/>
                      </w:rPr>
                      <w:t>790 </w:t>
                    </w:r>
                    <w:r>
                      <w:rPr>
                        <w:color w:val="3B3B3D"/>
                        <w:sz w:val="14"/>
                      </w:rPr>
                      <w:t>01 </w:t>
                    </w:r>
                    <w:r>
                      <w:rPr>
                        <w:rFonts w:ascii="Arial" w:hAnsi="Arial"/>
                        <w:color w:val="3B3B3D"/>
                        <w:sz w:val="13"/>
                      </w:rPr>
                      <w:t>Jeseník</w:t>
                    </w:r>
                  </w:p>
                  <w:p>
                    <w:pPr>
                      <w:spacing w:before="9"/>
                      <w:ind w:left="39" w:right="44" w:firstLine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3B3B3D"/>
                        <w:sz w:val="13"/>
                      </w:rPr>
                      <w:t>!Č: 0542627</w:t>
                    </w:r>
                    <w:r>
                      <w:rPr>
                        <w:rFonts w:ascii="Arial" w:hAnsi="Arial"/>
                        <w:color w:val="69676B"/>
                        <w:sz w:val="13"/>
                      </w:rPr>
                      <w:t>8 </w:t>
                    </w:r>
                    <w:r>
                      <w:rPr>
                        <w:rFonts w:ascii="Arial" w:hAnsi="Arial"/>
                        <w:color w:val="3B3B3D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232324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color w:val="4F4F52"/>
                        <w:sz w:val="13"/>
                      </w:rPr>
                      <w:t>Č: CZ0 542 </w:t>
                    </w:r>
                    <w:r>
                      <w:rPr>
                        <w:rFonts w:ascii="Arial" w:hAnsi="Arial"/>
                        <w:color w:val="69676B"/>
                        <w:sz w:val="13"/>
                      </w:rPr>
                      <w:t>6</w:t>
                    </w:r>
                    <w:r>
                      <w:rPr>
                        <w:rFonts w:ascii="Arial" w:hAnsi="Arial"/>
                        <w:color w:val="4F4F52"/>
                        <w:sz w:val="13"/>
                      </w:rPr>
                      <w:t>278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50"/>
          <w:sz w:val="20"/>
        </w:rPr>
      </w:r>
    </w:p>
    <w:sectPr>
      <w:type w:val="continuous"/>
      <w:pgSz w:w="11910" w:h="16840"/>
      <w:pgMar w:top="14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499" w:hanging="287"/>
        <w:jc w:val="left"/>
      </w:pPr>
      <w:rPr>
        <w:rFonts w:hint="default" w:ascii="Times New Roman" w:hAnsi="Times New Roman" w:eastAsia="Times New Roman" w:cs="Times New Roman"/>
        <w:color w:val="3B3B3D"/>
        <w:spacing w:val="-5"/>
        <w:w w:val="104"/>
        <w:sz w:val="24"/>
        <w:szCs w:val="24"/>
      </w:rPr>
    </w:lvl>
    <w:lvl w:ilvl="1">
      <w:start w:val="0"/>
      <w:numFmt w:val="bullet"/>
      <w:lvlText w:val="•"/>
      <w:lvlJc w:val="left"/>
      <w:pPr>
        <w:ind w:left="2540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80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1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1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02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2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8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3" w:hanging="287"/>
      </w:pPr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lvlText w:val="%1."/>
      <w:lvlJc w:val="left"/>
      <w:pPr>
        <w:ind w:left="1401" w:hanging="352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left="2052" w:hanging="356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</w:rPr>
    </w:lvl>
    <w:lvl w:ilvl="2">
      <w:start w:val="0"/>
      <w:numFmt w:val="bullet"/>
      <w:lvlText w:val="•"/>
      <w:lvlJc w:val="left"/>
      <w:pPr>
        <w:ind w:left="2967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4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1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8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9" w:hanging="35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1" w:hanging="276"/>
        <w:jc w:val="left"/>
      </w:pPr>
      <w:rPr>
        <w:rFonts w:hint="default" w:ascii="Times New Roman" w:hAnsi="Times New Roman" w:eastAsia="Times New Roman" w:cs="Times New Roman"/>
        <w:w w:val="95"/>
        <w:sz w:val="24"/>
        <w:szCs w:val="24"/>
      </w:rPr>
    </w:lvl>
    <w:lvl w:ilvl="1">
      <w:start w:val="0"/>
      <w:numFmt w:val="bullet"/>
      <w:lvlText w:val="•"/>
      <w:lvlJc w:val="left"/>
      <w:pPr>
        <w:ind w:left="2348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5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93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2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90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8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87" w:hanging="27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5" w:hanging="222"/>
        <w:jc w:val="left"/>
      </w:pPr>
      <w:rPr>
        <w:rFonts w:hint="default"/>
        <w:b/>
        <w:bCs/>
        <w:w w:val="105"/>
      </w:rPr>
    </w:lvl>
    <w:lvl w:ilvl="1">
      <w:start w:val="1"/>
      <w:numFmt w:val="decimal"/>
      <w:lvlText w:val="%2."/>
      <w:lvlJc w:val="left"/>
      <w:pPr>
        <w:ind w:left="533" w:hanging="281"/>
        <w:jc w:val="right"/>
      </w:pPr>
      <w:rPr>
        <w:rFonts w:hint="default" w:ascii="Times New Roman" w:hAnsi="Times New Roman" w:eastAsia="Times New Roman" w:cs="Times New Roman"/>
        <w:w w:val="101"/>
        <w:sz w:val="24"/>
        <w:szCs w:val="24"/>
      </w:rPr>
    </w:lvl>
    <w:lvl w:ilvl="2">
      <w:start w:val="0"/>
      <w:numFmt w:val="bullet"/>
      <w:lvlText w:val="•"/>
      <w:lvlJc w:val="left"/>
      <w:pPr>
        <w:ind w:left="3920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5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1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6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2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7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5" w:hanging="3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3"/>
      <w:numFmt w:val="upperRoman"/>
      <w:lvlText w:val="%2."/>
      <w:lvlJc w:val="left"/>
      <w:pPr>
        <w:ind w:left="4689" w:hanging="388"/>
        <w:jc w:val="left"/>
      </w:pPr>
      <w:rPr>
        <w:rFonts w:hint="default"/>
        <w:w w:val="109"/>
      </w:rPr>
    </w:lvl>
    <w:lvl w:ilvl="2">
      <w:start w:val="0"/>
      <w:numFmt w:val="bullet"/>
      <w:lvlText w:val="•"/>
      <w:lvlJc w:val="left"/>
      <w:pPr>
        <w:ind w:left="5196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12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28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44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6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38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91" w:hanging="28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etr.vyhlidal@mujes.cz" TargetMode="External"/><Relationship Id="rId6" Type="http://schemas.openxmlformats.org/officeDocument/2006/relationships/hyperlink" Target="mailto:pohrebnictvi@tsje.cz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2020-07-09T09:58:42Z</dcterms:created>
  <dcterms:modified xsi:type="dcterms:W3CDTF">2020-07-09T09:58:42Z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2020-07-09T00:00:00Z</vt:filetime>
  </property>
</Properties>
</file>