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7"/>
        <w:gridCol w:w="1192"/>
        <w:gridCol w:w="2691"/>
        <w:gridCol w:w="2128"/>
      </w:tblGrid>
      <w:tr w:rsidR="00C56F52"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6F52" w:rsidRDefault="002A575D">
            <w:pPr>
              <w:rPr>
                <w:rFonts w:cs="Arial"/>
                <w:b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szCs w:val="18"/>
              </w:rPr>
              <w:t>Komerční banka, a.s.</w:t>
            </w:r>
          </w:p>
          <w:p w:rsidR="00C56F52" w:rsidRDefault="002A575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C56F52" w:rsidRDefault="002A575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C56F52" w:rsidRDefault="002A575D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C56F52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6F52" w:rsidRDefault="002A575D">
            <w:r>
              <w:rPr>
                <w:b/>
              </w:rPr>
              <w:t>Střední zdravotnická škola a Vyšší zdravotnická škola Kladno Havířská 1141</w:t>
            </w:r>
          </w:p>
          <w:p w:rsidR="00C56F52" w:rsidRDefault="002A575D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HAVÍŘSKÁ 1141, KLADNO, PSČ 272 01, ČR</w:t>
            </w:r>
          </w:p>
          <w:p w:rsidR="00C56F52" w:rsidRDefault="002A575D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00066729</w:t>
            </w:r>
          </w:p>
          <w:p w:rsidR="00C56F52" w:rsidRDefault="002A575D">
            <w:r>
              <w:t xml:space="preserve">Zápis v obchodním rejstříku či jiné evidenci: </w:t>
            </w:r>
            <w:r>
              <w:rPr>
                <w:b/>
              </w:rPr>
              <w:t>Jiný povolený doklad, číslo: Č.J.: 320-05-02-1996-52, Česká republika, krajský úřad Středočeského kraje</w:t>
            </w:r>
          </w:p>
        </w:tc>
      </w:tr>
      <w:tr w:rsidR="00C56F52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6F52" w:rsidRDefault="002A575D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C56F52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rPr>
                <w:rFonts w:cs="Arial"/>
                <w:szCs w:val="18"/>
              </w:rPr>
            </w:pPr>
          </w:p>
        </w:tc>
      </w:tr>
      <w:tr w:rsidR="00C56F52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F52" w:rsidRDefault="002A575D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Běžný účet</w:t>
            </w:r>
          </w:p>
        </w:tc>
      </w:tr>
      <w:tr w:rsidR="00C56F52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123-2137290247/0100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</w:pPr>
            <w:r>
              <w:rPr>
                <w:color w:val="000000"/>
                <w:szCs w:val="16"/>
              </w:rPr>
              <w:t>EUR</w:t>
            </w:r>
          </w:p>
        </w:tc>
        <w:tc>
          <w:tcPr>
            <w:tcW w:w="2128" w:type="dxa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bottom"/>
          </w:tcPr>
          <w:p w:rsidR="00C56F52" w:rsidRDefault="00C56F52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</w:pPr>
            <w:r>
              <w:rPr>
                <w:color w:val="000000"/>
                <w:szCs w:val="16"/>
              </w:rPr>
              <w:t>STŘEDNÍ ZDRAVOTNICKÁ ŠKOLA A VYŠŠÍ ZDRAV</w:t>
            </w: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</w:pPr>
            <w:r>
              <w:t>razítko s názvem RAZÍTKO</w:t>
            </w: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5"/>
            </w:tblGrid>
            <w:tr w:rsidR="00C56F52"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6F52" w:rsidRDefault="002A575D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jedna Oprávněná osoba</w:t>
                  </w:r>
                  <w:r>
                    <w:rPr>
                      <w:rFonts w:cs="Arial"/>
                      <w:color w:val="0070C0"/>
                    </w:rPr>
                    <w:t xml:space="preserve"> </w:t>
                  </w:r>
                  <w:r>
                    <w:rPr>
                      <w:rFonts w:cs="Arial"/>
                    </w:rPr>
                    <w:t>samostatně s jedním razítkem</w:t>
                  </w:r>
                  <w:r>
                    <w:rPr>
                      <w:szCs w:val="18"/>
                    </w:rPr>
                    <w:t>,</w:t>
                  </w:r>
                </w:p>
                <w:p w:rsidR="00C56F52" w:rsidRDefault="002A575D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</w:t>
                  </w:r>
                  <w:r>
                    <w:rPr>
                      <w:szCs w:val="18"/>
                    </w:rPr>
                    <w:t>,</w:t>
                  </w:r>
                </w:p>
                <w:p w:rsidR="00C56F52" w:rsidRDefault="002A575D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C56F52" w:rsidRDefault="00C56F52">
            <w:pPr>
              <w:spacing w:before="40" w:after="40"/>
              <w:jc w:val="both"/>
            </w:pPr>
          </w:p>
        </w:tc>
      </w:tr>
      <w:tr w:rsidR="00C56F52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sz w:val="10"/>
              </w:rPr>
            </w:pPr>
          </w:p>
        </w:tc>
      </w:tr>
      <w:tr w:rsidR="00C56F52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F52" w:rsidRDefault="002A575D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jc w:val="right"/>
              <w:rPr>
                <w:sz w:val="10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Všeobecné obchodní podmínky banky (dále jen „VOP“),</w:t>
            </w:r>
          </w:p>
          <w:p w:rsidR="00C56F52" w:rsidRDefault="002A575D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Oznámení o provádění platebního styku,</w:t>
            </w:r>
          </w:p>
          <w:p w:rsidR="00C56F52" w:rsidRDefault="002A575D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Sazebník (v rozsahu relevantním k této smlouvě).</w:t>
            </w:r>
          </w:p>
          <w:p w:rsidR="00C56F52" w:rsidRDefault="00C56F52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seznámili s obsahem a významem dokumentů, jež jsou součástí této smlouvy, a dalších dokumentů, na které se v nich odkazuje, a výslovně s jejich zněním souhlasíte,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před uzavřením smlouvy informovali o systému pojištění pohledávek z vkladů a o informačním přehledu, který je k dispozici na webových stránkách http://www.kb.cz/pojistenivkladu,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v případě, že smlouvu uzavíráte elektronicky, jste se seznámil s příslušnými informacemi ke smlouvám o finančních službách uzavíraných na dálku na našich internetových stránkách (</w:t>
            </w:r>
            <w:r>
              <w:rPr>
                <w:rStyle w:val="Hypertextovodkaz"/>
              </w:rPr>
              <w:t>www.kb.cz</w:t>
            </w:r>
            <w:r>
              <w:t>),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berete na vědomí, že nejen smlouva, ale i všechny výše uvedené dokumenty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C56F52" w:rsidRDefault="00C56F52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souhlas dle článku 28.3 VOP,  jste-li právnickou osobou, </w:t>
            </w:r>
          </w:p>
          <w:p w:rsidR="00C56F52" w:rsidRDefault="002A575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souhlas s tím, že jsme oprávněni započítávat své pohledávky za vámi v rozsahu a způsobem </w:t>
            </w:r>
            <w:r>
              <w:lastRenderedPageBreak/>
              <w:t>stanoveným ve VOP.</w:t>
            </w:r>
          </w:p>
          <w:p w:rsidR="00C56F52" w:rsidRDefault="00C56F52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56F52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lastRenderedPageBreak/>
              <w:t>Na náš smluvní vztah dle této smlouvy se vylučuje uplatnění ustanovení § 1799 a § 1800 občanského zákoníku o adhezních smlouvách.</w:t>
            </w:r>
          </w:p>
          <w:p w:rsidR="00C56F52" w:rsidRDefault="00C56F52">
            <w:pPr>
              <w:pStyle w:val="Odstavecseseznamem"/>
              <w:ind w:left="0"/>
              <w:jc w:val="both"/>
            </w:pPr>
          </w:p>
        </w:tc>
      </w:tr>
      <w:tr w:rsidR="00C56F52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2A575D">
            <w:pPr>
              <w:jc w:val="both"/>
            </w:pPr>
            <w:r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C56F52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sz w:val="10"/>
              </w:rPr>
            </w:pPr>
          </w:p>
        </w:tc>
      </w:tr>
      <w:tr w:rsidR="00C56F52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56F52" w:rsidRDefault="002A575D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jc w:val="right"/>
              <w:rPr>
                <w:sz w:val="10"/>
              </w:rPr>
            </w:pPr>
          </w:p>
        </w:tc>
      </w:tr>
      <w:tr w:rsidR="00C56F52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525ED" w:rsidRDefault="004525ED" w:rsidP="004525ED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Zavazujete se odeslat tuto smlouvu (včetně všech dokumentů, které tvoří její součást) k uveřejnění v registru smluv bez prodlení po jejím uzavření. Dále se zavazujete, že obdržíme potvrzení o uveřejnění v registru smluv zasílané správcem registru smluv na naši e-mailovou adresu </w:t>
            </w:r>
            <w:r w:rsidR="002A575D">
              <w:rPr>
                <w:shd w:val="clear" w:color="auto" w:fill="FFFFFF"/>
              </w:rPr>
              <w:t>XXXXXXXXXXXXXXXXXXXX</w:t>
            </w:r>
            <w:r>
              <w:rPr>
                <w:highlight w:val="white"/>
              </w:rPr>
              <w:t xml:space="preserve">. Za tím účelem vám zašleme znění této smlouvy (včetně všech dokumentů, které tvoří její součást  na e-mailovou adresu </w:t>
            </w:r>
            <w:r w:rsidR="002A575D">
              <w:rPr>
                <w:highlight w:val="white"/>
              </w:rPr>
              <w:t>XXXXXXXXXXXXXXXXXXXX</w:t>
            </w:r>
          </w:p>
          <w:p w:rsidR="00C56F52" w:rsidRDefault="002A575D">
            <w:pPr>
              <w:jc w:val="both"/>
            </w:pPr>
            <w:r>
              <w:rPr>
                <w:rFonts w:eastAsia="ArialMT" w:cs="Arial"/>
                <w:szCs w:val="18"/>
              </w:rPr>
              <w:t>.</w:t>
            </w: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sz w:val="10"/>
              </w:rPr>
            </w:pPr>
          </w:p>
        </w:tc>
      </w:tr>
      <w:tr w:rsidR="00C56F52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jc w:val="right"/>
              <w:rPr>
                <w:sz w:val="10"/>
              </w:rPr>
            </w:pPr>
          </w:p>
        </w:tc>
      </w:tr>
      <w:tr w:rsidR="00C56F52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6F52" w:rsidRDefault="002A575D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30.6.2020</w:t>
            </w:r>
          </w:p>
          <w:p w:rsidR="00C56F52" w:rsidRDefault="002A575D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56F52" w:rsidRDefault="002A575D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C56F52" w:rsidRDefault="002A575D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56F52" w:rsidRDefault="002A575D">
            <w:pPr>
              <w:keepNext/>
              <w:spacing w:after="60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XXXXXXXXXXXXX</w:t>
            </w:r>
          </w:p>
          <w:p w:rsidR="00C56F52" w:rsidRDefault="002A575D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bankovní poradce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56F52" w:rsidRDefault="00C56F52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C56F52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56F52" w:rsidRDefault="00C56F52">
            <w:pPr>
              <w:keepNext/>
              <w:jc w:val="right"/>
              <w:rPr>
                <w:szCs w:val="18"/>
              </w:rPr>
            </w:pPr>
          </w:p>
        </w:tc>
      </w:tr>
      <w:tr w:rsidR="00C56F52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C56F52" w:rsidRDefault="002A575D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30.6.2020</w:t>
            </w:r>
          </w:p>
          <w:p w:rsidR="00C56F52" w:rsidRDefault="002A575D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Střední zdravotnická škola a Vyšší zdravotnická škola Kladno Havířská 1141</w:t>
            </w:r>
          </w:p>
          <w:p w:rsidR="00C56F52" w:rsidRDefault="00C56F52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56F52" w:rsidRDefault="00C56F52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56F52" w:rsidRDefault="00C56F52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56F52" w:rsidRDefault="00C56F52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56F52" w:rsidRDefault="002A575D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C56F52" w:rsidRDefault="002A575D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56F52" w:rsidRDefault="002A575D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XXXXXXXXXXXXXXX</w:t>
            </w:r>
          </w:p>
          <w:p w:rsidR="00C56F52" w:rsidRDefault="002A575D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C56F52" w:rsidRDefault="00C56F52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9778C9" w:rsidRDefault="009778C9">
      <w:pPr>
        <w:sectPr w:rsidR="009778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C56F52" w:rsidRDefault="00C56F52">
      <w:pPr>
        <w:rPr>
          <w:vanish/>
          <w:color w:val="FF0000"/>
          <w:szCs w:val="6"/>
        </w:rPr>
      </w:pPr>
    </w:p>
    <w:sectPr w:rsidR="00C56F52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54" w:rsidRDefault="00126954">
      <w:r>
        <w:separator/>
      </w:r>
    </w:p>
  </w:endnote>
  <w:endnote w:type="continuationSeparator" w:id="0">
    <w:p w:rsidR="00126954" w:rsidRDefault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default"/>
  </w:font>
  <w:font w:name="PrecisionID C128 04">
    <w:altName w:val="DejaVu Sans Condensed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ED" w:rsidRDefault="004525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C93675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93675" w:rsidRDefault="002A575D">
          <w:pPr>
            <w:pStyle w:val="kbFixedtext"/>
            <w:spacing w:before="100"/>
          </w:pPr>
          <w:r>
            <w:t>Komerční banka, a. s., se sídlem:</w:t>
          </w:r>
        </w:p>
        <w:p w:rsidR="00C93675" w:rsidRDefault="002A575D">
          <w:pPr>
            <w:pStyle w:val="kbFixedtext"/>
          </w:pPr>
          <w:r>
            <w:t>Praha 1, Na Příkopě 33 čp. 969, PSČ 114 07, IČO: 45317054</w:t>
          </w:r>
        </w:p>
        <w:p w:rsidR="00C93675" w:rsidRDefault="002A575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93675" w:rsidRDefault="002A575D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E09D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E09D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C93675" w:rsidRDefault="002A575D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C93675" w:rsidRPr="004525ED" w:rsidRDefault="002A575D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10050123740654</w:t>
          </w:r>
        </w:p>
        <w:p w:rsidR="00C93675" w:rsidRDefault="002A575D">
          <w:pPr>
            <w:pStyle w:val="Registration"/>
            <w:jc w:val="right"/>
          </w:pPr>
          <w:r>
            <w:t>Datum účinnosti šablony  3. 7. 2017  tss_ckagreb.docM  30.06.2020  13:27:07</w:t>
          </w:r>
        </w:p>
      </w:tc>
    </w:tr>
  </w:tbl>
  <w:p w:rsidR="00C93675" w:rsidRDefault="00126954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C93675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93675" w:rsidRDefault="002A575D">
          <w:pPr>
            <w:pStyle w:val="kbFixedtext"/>
            <w:spacing w:before="100"/>
          </w:pPr>
          <w:r>
            <w:t>Komerční banka, a. s., se sídlem:</w:t>
          </w:r>
        </w:p>
        <w:p w:rsidR="00C93675" w:rsidRDefault="002A575D">
          <w:pPr>
            <w:pStyle w:val="kbFixedtext"/>
          </w:pPr>
          <w:r>
            <w:t>Praha 1, Na Příkopě 33 čp. 969, PSČ 114 07, IČO: 45317054</w:t>
          </w:r>
        </w:p>
        <w:p w:rsidR="00C93675" w:rsidRDefault="002A575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C93675" w:rsidRDefault="002A575D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E09D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E09D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C93675" w:rsidRDefault="002A575D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C93675" w:rsidRPr="004525ED" w:rsidRDefault="002A575D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10050123740654</w:t>
          </w:r>
        </w:p>
        <w:p w:rsidR="00C93675" w:rsidRDefault="002A575D">
          <w:pPr>
            <w:pStyle w:val="Registration"/>
            <w:jc w:val="right"/>
          </w:pPr>
          <w:r>
            <w:t>Datum účinnosti šablony  3. 7. 2015  tss_ckagreb.docM  30.06.2020  13:27:07</w:t>
          </w:r>
        </w:p>
      </w:tc>
    </w:tr>
  </w:tbl>
  <w:p w:rsidR="00C93675" w:rsidRDefault="00126954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54" w:rsidRDefault="00126954">
      <w:r>
        <w:rPr>
          <w:color w:val="000000"/>
        </w:rPr>
        <w:separator/>
      </w:r>
    </w:p>
  </w:footnote>
  <w:footnote w:type="continuationSeparator" w:id="0">
    <w:p w:rsidR="00126954" w:rsidRDefault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ED" w:rsidRDefault="004525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C93675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93675" w:rsidRDefault="002A575D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</w:tbl>
  <w:p w:rsidR="00C93675" w:rsidRDefault="001269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C93675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A575D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71600" cy="457200"/>
                <wp:effectExtent l="0" t="0" r="0" b="0"/>
                <wp:docPr id="1" name="obrázek 2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2A575D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  <w:tr w:rsidR="00C93675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Nadpis1"/>
          </w:pPr>
        </w:p>
      </w:tc>
    </w:tr>
    <w:tr w:rsidR="00C93675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93675" w:rsidRDefault="00126954">
          <w:pPr>
            <w:pStyle w:val="Nadpis1"/>
          </w:pPr>
        </w:p>
      </w:tc>
    </w:tr>
    <w:tr w:rsidR="00C93675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C93675" w:rsidRDefault="00126954">
          <w:pPr>
            <w:rPr>
              <w:rFonts w:cs="Arial"/>
              <w:szCs w:val="18"/>
            </w:rPr>
          </w:pPr>
        </w:p>
      </w:tc>
    </w:tr>
  </w:tbl>
  <w:p w:rsidR="00C93675" w:rsidRDefault="00126954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DBB"/>
    <w:multiLevelType w:val="multilevel"/>
    <w:tmpl w:val="AA086A16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6032CBC"/>
    <w:multiLevelType w:val="multilevel"/>
    <w:tmpl w:val="A40025EA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5B202E33"/>
    <w:multiLevelType w:val="multilevel"/>
    <w:tmpl w:val="2BC6BB1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6F52"/>
    <w:rsid w:val="00126954"/>
    <w:rsid w:val="002A575D"/>
    <w:rsid w:val="004525ED"/>
    <w:rsid w:val="004E09DA"/>
    <w:rsid w:val="009778C9"/>
    <w:rsid w:val="00C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běžné účty (FOP/PO)</vt:lpstr>
    </vt:vector>
  </TitlesOfParts>
  <Company>Komerční banka, a.s.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běžné účty (FOP/PO)</dc:title>
  <dc:creator>administrator</dc:creator>
  <cp:lastModifiedBy>dudova</cp:lastModifiedBy>
  <cp:revision>4</cp:revision>
  <cp:lastPrinted>2020-07-08T06:59:00Z</cp:lastPrinted>
  <dcterms:created xsi:type="dcterms:W3CDTF">2020-06-30T12:14:00Z</dcterms:created>
  <dcterms:modified xsi:type="dcterms:W3CDTF">2020-07-08T06:59:00Z</dcterms:modified>
</cp:coreProperties>
</file>