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E2" w:rsidRDefault="00571FE2" w:rsidP="00571FE2">
      <w:pPr>
        <w:pStyle w:val="Normlnweb"/>
        <w:tabs>
          <w:tab w:val="right" w:pos="9000"/>
        </w:tabs>
        <w:jc w:val="right"/>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p w:rsidR="00571FE2" w:rsidRDefault="00571FE2" w:rsidP="00571FE2">
      <w:pPr>
        <w:pStyle w:val="Normlnweb"/>
        <w:tabs>
          <w:tab w:val="right" w:pos="9000"/>
        </w:tabs>
        <w:jc w:val="right"/>
      </w:pPr>
      <w:r>
        <w:rPr>
          <w:rFonts w:ascii="Arial" w:hAnsi="Arial" w:cs="Arial Unicode MS"/>
          <w:sz w:val="22"/>
        </w:rPr>
        <w:t>Číslo dohody: PPK-817a/25/20</w:t>
      </w:r>
    </w:p>
    <w:p w:rsidR="00571FE2" w:rsidRDefault="00571FE2" w:rsidP="00571FE2">
      <w:pPr>
        <w:pStyle w:val="Normlnweb"/>
        <w:tabs>
          <w:tab w:val="right" w:pos="9000"/>
        </w:tabs>
        <w:jc w:val="right"/>
      </w:pPr>
      <w:r>
        <w:rPr>
          <w:rFonts w:ascii="Arial" w:hAnsi="Arial" w:cs="Arial Unicode MS"/>
          <w:sz w:val="22"/>
        </w:rPr>
        <w:t>Dotační titul: D</w:t>
      </w:r>
    </w:p>
    <w:p w:rsidR="00571FE2" w:rsidRDefault="00571FE2" w:rsidP="00571FE2">
      <w:pPr>
        <w:pStyle w:val="Nzev"/>
        <w:spacing w:before="0" w:beforeAutospacing="0" w:after="0" w:afterAutospacing="0"/>
      </w:pPr>
      <w:r>
        <w:t> </w:t>
      </w:r>
    </w:p>
    <w:p w:rsidR="00571FE2" w:rsidRDefault="00571FE2" w:rsidP="00571FE2">
      <w:pPr>
        <w:pStyle w:val="Nzev"/>
        <w:spacing w:before="0" w:beforeAutospacing="0" w:after="0" w:afterAutospacing="0"/>
      </w:pPr>
      <w:r>
        <w:t> </w:t>
      </w:r>
    </w:p>
    <w:p w:rsidR="00571FE2" w:rsidRDefault="00571FE2" w:rsidP="00571FE2">
      <w:pPr>
        <w:pStyle w:val="Nzev"/>
        <w:spacing w:before="0" w:beforeAutospacing="0" w:after="0" w:afterAutospacing="0"/>
        <w:jc w:val="center"/>
      </w:pPr>
      <w:r>
        <w:rPr>
          <w:rStyle w:val="Siln"/>
          <w:rFonts w:ascii="Arial" w:eastAsia="Arial Unicode MS" w:hAnsi="Arial" w:cs="Arial"/>
          <w:sz w:val="22"/>
        </w:rPr>
        <w:t xml:space="preserve">DOHODA O REALIZACI MANAGEMENTOVÝCH OPATŘENÍ </w:t>
      </w:r>
    </w:p>
    <w:p w:rsidR="00571FE2" w:rsidRDefault="00571FE2" w:rsidP="00571FE2">
      <w:pPr>
        <w:jc w:val="center"/>
      </w:pPr>
      <w:r>
        <w:rPr>
          <w:rFonts w:ascii="Arial" w:eastAsia="Arial Unicode MS" w:hAnsi="Arial" w:cs="Arial"/>
        </w:rPr>
        <w:t>dle ust. § 68 odst. 2 a § 69 odst. 3 zák. č. 114/1992 Sb., o ochraně přírody a krajiny (dále jen „Dohoda“),</w:t>
      </w:r>
    </w:p>
    <w:p w:rsidR="00571FE2" w:rsidRDefault="00571FE2" w:rsidP="00571FE2">
      <w:pPr>
        <w:jc w:val="both"/>
      </w:pPr>
      <w:r>
        <w:t> </w:t>
      </w:r>
    </w:p>
    <w:p w:rsidR="00571FE2" w:rsidRDefault="00571FE2" w:rsidP="00571FE2">
      <w:pPr>
        <w:jc w:val="both"/>
      </w:pPr>
      <w:r>
        <w:rPr>
          <w:rFonts w:ascii="Arial" w:eastAsia="Arial Unicode MS" w:hAnsi="Arial" w:cs="Arial"/>
        </w:rPr>
        <w:br/>
        <w:t>kterou uzavírají níže uvedeného dne, měsíce a roku tito účastníci</w:t>
      </w:r>
    </w:p>
    <w:p w:rsidR="00571FE2" w:rsidRDefault="00571FE2" w:rsidP="00E62317">
      <w:pPr>
        <w:jc w:val="both"/>
      </w:pPr>
      <w:r>
        <w:t>  </w:t>
      </w:r>
      <w:r>
        <w:rPr>
          <w:rFonts w:ascii="Arial" w:hAnsi="Arial" w:cs="Arial"/>
          <w:b/>
          <w:bCs/>
        </w:rPr>
        <w:br/>
      </w:r>
      <w:r>
        <w:rPr>
          <w:rStyle w:val="Siln"/>
          <w:rFonts w:ascii="Arial" w:hAnsi="Arial" w:cs="Arial"/>
        </w:rPr>
        <w:t xml:space="preserve">1. Česká republika – Agentura ochrany přírody a krajiny ČR, </w:t>
      </w:r>
    </w:p>
    <w:p w:rsidR="00571FE2" w:rsidRDefault="00571FE2" w:rsidP="00571FE2">
      <w:r>
        <w:rPr>
          <w:rStyle w:val="Siln"/>
          <w:rFonts w:ascii="Arial" w:hAnsi="Arial" w:cs="Arial"/>
        </w:rPr>
        <w:t>Regionální pracoviště: Regionální pracoviště Střední Čechy</w:t>
      </w:r>
    </w:p>
    <w:p w:rsidR="00571FE2" w:rsidRDefault="00571FE2" w:rsidP="00571FE2">
      <w:r>
        <w:rPr>
          <w:rFonts w:ascii="Arial" w:hAnsi="Arial" w:cs="Arial"/>
        </w:rPr>
        <w:t xml:space="preserve">Sídlo: </w:t>
      </w:r>
      <w:r w:rsidR="00E62317">
        <w:rPr>
          <w:rFonts w:ascii="Arial" w:hAnsi="Arial" w:cs="Arial"/>
        </w:rPr>
        <w:t>K</w:t>
      </w:r>
      <w:r>
        <w:rPr>
          <w:rFonts w:ascii="Arial" w:hAnsi="Arial" w:cs="Arial"/>
        </w:rPr>
        <w:t>aplanova 1931/1, 148 00, Praha 11 - Chodov</w:t>
      </w:r>
    </w:p>
    <w:p w:rsidR="00571FE2" w:rsidRDefault="00571FE2" w:rsidP="00571FE2">
      <w:r>
        <w:rPr>
          <w:rFonts w:ascii="Arial" w:hAnsi="Arial" w:cs="Arial"/>
        </w:rPr>
        <w:t>Kontaktní adresa: Podbabská 2582, 16000 Praha 6</w:t>
      </w:r>
    </w:p>
    <w:p w:rsidR="00571FE2" w:rsidRDefault="00571FE2" w:rsidP="00571FE2">
      <w:r>
        <w:rPr>
          <w:rFonts w:ascii="Arial" w:hAnsi="Arial" w:cs="Arial"/>
        </w:rPr>
        <w:t>IČ: 62933591</w:t>
      </w:r>
    </w:p>
    <w:p w:rsidR="00571FE2" w:rsidRDefault="00571FE2" w:rsidP="00571FE2">
      <w:r>
        <w:rPr>
          <w:rFonts w:ascii="Arial" w:hAnsi="Arial" w:cs="Arial"/>
        </w:rPr>
        <w:t xml:space="preserve">zastoupena: RNDr. Jaroslav Obermajer </w:t>
      </w:r>
      <w:r>
        <w:rPr>
          <w:rFonts w:ascii="Arial" w:hAnsi="Arial" w:cs="Arial"/>
        </w:rPr>
        <w:br/>
        <w:t>ředitel RP Střední Čechy</w:t>
      </w:r>
    </w:p>
    <w:p w:rsidR="00571FE2" w:rsidRDefault="00571FE2" w:rsidP="00571FE2">
      <w:r>
        <w:rPr>
          <w:rFonts w:ascii="Arial" w:hAnsi="Arial"/>
        </w:rPr>
        <w:t>V rozsahu této dohody osoba zmocněná k jednání s vlastníkem, k věcným úkonům a k provedení kontroly realizovaných managementových opatření: Ing. Jan Fechtner Ph.D.</w:t>
      </w:r>
    </w:p>
    <w:p w:rsidR="00571FE2" w:rsidRDefault="00571FE2" w:rsidP="00571FE2">
      <w:r>
        <w:t> </w:t>
      </w:r>
    </w:p>
    <w:p w:rsidR="00571FE2" w:rsidRDefault="00571FE2" w:rsidP="00571FE2">
      <w:r>
        <w:rPr>
          <w:rFonts w:ascii="Arial" w:hAnsi="Arial" w:cs="Arial"/>
        </w:rPr>
        <w:t>jakožto věcně a místně příslušný orgán ochrany přírody příslušný podle ustanovení </w:t>
      </w:r>
      <w:r>
        <w:rPr>
          <w:rFonts w:ascii="Arial" w:hAnsi="Arial" w:cs="Arial"/>
          <w:color w:val="000000"/>
        </w:rPr>
        <w:t>§ 75 odst. 1 písm. e) ve spojení s</w:t>
      </w:r>
      <w:r>
        <w:rPr>
          <w:rFonts w:ascii="Arial" w:hAnsi="Arial" w:cs="Arial"/>
        </w:rPr>
        <w:t xml:space="preserve"> § 78 odst. 1 zákona č. 114/1992 Sb., o ochraně přírody a krajiny, v platném znění.</w:t>
      </w:r>
    </w:p>
    <w:p w:rsidR="00571FE2" w:rsidRDefault="00571FE2" w:rsidP="00571FE2">
      <w:r>
        <w:rPr>
          <w:rStyle w:val="Siln"/>
          <w:rFonts w:ascii="Arial" w:hAnsi="Arial" w:cs="Arial"/>
          <w:bCs w:val="0"/>
          <w:iCs/>
        </w:rPr>
        <w:t>(dále jen „AOPK ČR“)</w:t>
      </w:r>
    </w:p>
    <w:p w:rsidR="00571FE2" w:rsidRDefault="00571FE2" w:rsidP="00571FE2">
      <w:pPr>
        <w:rPr>
          <w:rFonts w:ascii="Arial" w:hAnsi="Arial" w:cs="Arial"/>
        </w:rPr>
      </w:pPr>
      <w:r>
        <w:rPr>
          <w:rFonts w:ascii="Arial" w:hAnsi="Arial" w:cs="Arial"/>
        </w:rPr>
        <w:t>a</w:t>
      </w:r>
    </w:p>
    <w:p w:rsidR="00571FE2" w:rsidRDefault="00571FE2" w:rsidP="00571FE2">
      <w:pPr>
        <w:rPr>
          <w:rFonts w:ascii="Arial" w:hAnsi="Arial" w:cs="Arial"/>
        </w:rPr>
      </w:pPr>
      <w:r>
        <w:rPr>
          <w:rStyle w:val="Siln"/>
          <w:rFonts w:ascii="Arial" w:hAnsi="Arial" w:cs="Arial"/>
        </w:rPr>
        <w:t xml:space="preserve">2. Vlastník </w:t>
      </w:r>
    </w:p>
    <w:p w:rsidR="00E62317" w:rsidRDefault="00571FE2" w:rsidP="00E62317">
      <w:pPr>
        <w:spacing w:after="0"/>
        <w:rPr>
          <w:rFonts w:ascii="Arial" w:hAnsi="Arial" w:cs="Arial"/>
        </w:rPr>
      </w:pPr>
      <w:r>
        <w:rPr>
          <w:rFonts w:ascii="Arial" w:hAnsi="Arial" w:cs="Arial"/>
        </w:rPr>
        <w:t>Obec Bzová</w:t>
      </w:r>
      <w:r>
        <w:rPr>
          <w:rFonts w:ascii="Arial" w:hAnsi="Arial" w:cs="Arial"/>
        </w:rPr>
        <w:br/>
        <w:t>čp. 52</w:t>
      </w:r>
      <w:r>
        <w:rPr>
          <w:rFonts w:ascii="Arial" w:hAnsi="Arial" w:cs="Arial"/>
        </w:rPr>
        <w:br/>
        <w:t>267 43 Bzová</w:t>
      </w:r>
    </w:p>
    <w:p w:rsidR="00571FE2" w:rsidRDefault="00E62317" w:rsidP="00E62317">
      <w:pPr>
        <w:spacing w:after="0"/>
        <w:rPr>
          <w:rFonts w:ascii="Arial" w:hAnsi="Arial" w:cs="Arial"/>
        </w:rPr>
      </w:pPr>
      <w:r>
        <w:rPr>
          <w:rFonts w:ascii="Times New Roman" w:hAnsi="Times New Roman" w:cs="Times New Roman"/>
          <w:noProof w:val="0"/>
          <w:color w:val="000000"/>
        </w:rPr>
        <w:t>IČO: 00233188</w:t>
      </w:r>
      <w:r w:rsidR="00571FE2">
        <w:rPr>
          <w:rFonts w:ascii="Arial" w:hAnsi="Arial" w:cs="Arial"/>
        </w:rPr>
        <w:br/>
        <w:t>není plátcem DPH</w:t>
      </w:r>
      <w:r w:rsidR="00571FE2">
        <w:rPr>
          <w:rFonts w:ascii="Arial" w:hAnsi="Arial" w:cs="Arial"/>
        </w:rPr>
        <w:br/>
        <w:t>bankovní spojení</w:t>
      </w:r>
      <w:r>
        <w:rPr>
          <w:rFonts w:ascii="Arial" w:hAnsi="Arial" w:cs="Arial"/>
        </w:rPr>
        <w:t>:</w:t>
      </w:r>
      <w:r w:rsidRPr="00E62317">
        <w:rPr>
          <w:rFonts w:ascii="Times New Roman" w:hAnsi="Times New Roman" w:cs="Times New Roman"/>
          <w:noProof w:val="0"/>
          <w:color w:val="000000"/>
        </w:rPr>
        <w:t xml:space="preserve"> </w:t>
      </w:r>
      <w:proofErr w:type="gramStart"/>
      <w:r>
        <w:rPr>
          <w:rFonts w:ascii="Times New Roman" w:hAnsi="Times New Roman" w:cs="Times New Roman"/>
          <w:noProof w:val="0"/>
          <w:color w:val="000000"/>
        </w:rPr>
        <w:t>č.ú.:</w:t>
      </w:r>
      <w:proofErr w:type="gramEnd"/>
      <w:r>
        <w:rPr>
          <w:rFonts w:ascii="Times New Roman" w:hAnsi="Times New Roman" w:cs="Times New Roman"/>
          <w:noProof w:val="0"/>
          <w:color w:val="000000"/>
        </w:rPr>
        <w:t xml:space="preserve"> </w:t>
      </w:r>
      <w:r w:rsidR="00671EC4">
        <w:rPr>
          <w:rFonts w:ascii="Times New Roman" w:hAnsi="Times New Roman" w:cs="Times New Roman"/>
          <w:noProof w:val="0"/>
          <w:color w:val="000000"/>
        </w:rPr>
        <w:t>xxx</w:t>
      </w:r>
    </w:p>
    <w:p w:rsidR="00571FE2" w:rsidRDefault="00571FE2" w:rsidP="00571FE2">
      <w:pPr>
        <w:rPr>
          <w:rFonts w:ascii="Times New Roman" w:hAnsi="Times New Roman" w:cs="Times New Roman"/>
          <w:sz w:val="24"/>
          <w:szCs w:val="24"/>
        </w:rPr>
      </w:pPr>
      <w:r>
        <w:rPr>
          <w:rFonts w:ascii="Arial" w:hAnsi="Arial" w:cs="Arial"/>
        </w:rPr>
        <w:t xml:space="preserve">jakožto vlastník pozemků pozemek p.č. 1265/1 (vlastník) a dále 1267 a 1268 (nájemce) v k.ú. Bzová u Hořovic </w:t>
      </w:r>
    </w:p>
    <w:p w:rsidR="00571FE2" w:rsidRDefault="00571FE2" w:rsidP="00571FE2">
      <w:pPr>
        <w:spacing w:after="240"/>
      </w:pPr>
      <w:r>
        <w:rPr>
          <w:rStyle w:val="Siln"/>
          <w:rFonts w:ascii="Arial" w:hAnsi="Arial" w:cs="Arial Unicode MS"/>
        </w:rPr>
        <w:t>(dále jen ”vlastník”)</w:t>
      </w:r>
    </w:p>
    <w:p w:rsidR="00571FE2" w:rsidRDefault="00571FE2" w:rsidP="00671EC4">
      <w:pPr>
        <w:pStyle w:val="Normlnweb"/>
      </w:pPr>
      <w:r>
        <w:rPr>
          <w:b/>
          <w:bCs/>
          <w:i/>
          <w:iCs/>
        </w:rPr>
        <w:br w:type="page"/>
      </w:r>
      <w:r>
        <w:lastRenderedPageBreak/>
        <w:t>  </w:t>
      </w:r>
    </w:p>
    <w:p w:rsidR="00571FE2" w:rsidRDefault="00571FE2" w:rsidP="00571FE2">
      <w:pPr>
        <w:jc w:val="center"/>
      </w:pPr>
      <w:r>
        <w:rPr>
          <w:rStyle w:val="Siln"/>
          <w:rFonts w:ascii="Arial" w:eastAsia="Arial Unicode MS" w:hAnsi="Arial" w:cs="Arial"/>
          <w:bCs w:val="0"/>
        </w:rPr>
        <w:t>Čl. I.</w:t>
      </w:r>
    </w:p>
    <w:p w:rsidR="00571FE2" w:rsidRDefault="00571FE2" w:rsidP="00571FE2">
      <w:pPr>
        <w:jc w:val="center"/>
      </w:pPr>
      <w:r>
        <w:rPr>
          <w:rStyle w:val="Siln"/>
          <w:rFonts w:ascii="Arial" w:eastAsia="Arial Unicode MS" w:hAnsi="Arial" w:cs="Arial"/>
          <w:bCs w:val="0"/>
        </w:rPr>
        <w:t>Účel a předmět Dohody</w:t>
      </w:r>
    </w:p>
    <w:p w:rsidR="00571FE2" w:rsidRDefault="00571FE2" w:rsidP="00571FE2">
      <w:pPr>
        <w:jc w:val="both"/>
      </w:pPr>
      <w:r>
        <w:t> </w:t>
      </w:r>
    </w:p>
    <w:p w:rsidR="00571FE2" w:rsidRDefault="00571FE2" w:rsidP="00571FE2">
      <w:pPr>
        <w:jc w:val="both"/>
      </w:pPr>
      <w:r>
        <w:rPr>
          <w:rFonts w:ascii="Arial" w:eastAsia="Arial Unicode MS" w:hAnsi="Arial" w:cs="Arial"/>
        </w:rPr>
        <w:t>1. Účelem této Dohody je úprava provádění péče o pozemky v 2. a 3. zóně CHKO Křivoklátsko z důvodu ochrany přírody v případě péče o pozemky prováděné nad rámec povinností uložených zákonem.</w:t>
      </w:r>
    </w:p>
    <w:p w:rsidR="00571FE2" w:rsidRDefault="00571FE2" w:rsidP="00571FE2">
      <w:pPr>
        <w:jc w:val="both"/>
      </w:pPr>
      <w:r>
        <w:rPr>
          <w:rFonts w:ascii="Arial" w:eastAsia="Arial Unicode MS" w:hAnsi="Arial" w:cs="Arial"/>
        </w:rPr>
        <w:t>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571FE2" w:rsidRDefault="00571FE2" w:rsidP="00571FE2">
      <w:pPr>
        <w:spacing w:after="240"/>
        <w:jc w:val="both"/>
      </w:pPr>
      <w:r>
        <w:rPr>
          <w:rFonts w:ascii="Arial" w:eastAsia="Arial Unicode MS" w:hAnsi="Arial" w:cs="Arial"/>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571FE2" w:rsidRDefault="00571FE2" w:rsidP="00571FE2">
      <w:pPr>
        <w:jc w:val="both"/>
      </w:pPr>
      <w:r>
        <w:t>  </w:t>
      </w:r>
    </w:p>
    <w:p w:rsidR="00571FE2" w:rsidRDefault="00571FE2" w:rsidP="00571FE2">
      <w:pPr>
        <w:ind w:left="3960" w:firstLine="288"/>
        <w:jc w:val="both"/>
      </w:pPr>
      <w:r>
        <w:t> </w:t>
      </w:r>
    </w:p>
    <w:p w:rsidR="00571FE2" w:rsidRDefault="00571FE2" w:rsidP="00571FE2">
      <w:pPr>
        <w:jc w:val="center"/>
      </w:pPr>
      <w:r>
        <w:rPr>
          <w:rStyle w:val="Siln"/>
          <w:rFonts w:ascii="Arial" w:eastAsia="Arial Unicode MS" w:hAnsi="Arial" w:cs="Arial"/>
          <w:bCs w:val="0"/>
        </w:rPr>
        <w:t>Čl. II.</w:t>
      </w:r>
    </w:p>
    <w:p w:rsidR="00571FE2" w:rsidRDefault="00571FE2" w:rsidP="00571FE2">
      <w:pPr>
        <w:pStyle w:val="Normlnweb"/>
      </w:pPr>
      <w:r>
        <w:rPr>
          <w:rStyle w:val="Siln"/>
          <w:rFonts w:ascii="Arial" w:eastAsia="Arial Unicode MS" w:hAnsi="Arial" w:cs="Arial"/>
          <w:bCs w:val="0"/>
          <w:sz w:val="22"/>
        </w:rPr>
        <w:t>Realizace managementových opatření/prací</w:t>
      </w:r>
    </w:p>
    <w:p w:rsidR="00571FE2" w:rsidRDefault="00571FE2" w:rsidP="00571FE2">
      <w:pPr>
        <w:jc w:val="center"/>
      </w:pPr>
    </w:p>
    <w:p w:rsidR="00571FE2" w:rsidRDefault="00571FE2" w:rsidP="00571FE2">
      <w:pPr>
        <w:jc w:val="both"/>
      </w:pPr>
      <w:r>
        <w:rPr>
          <w:rFonts w:ascii="Arial" w:eastAsia="Arial Unicode MS" w:hAnsi="Arial" w:cs="Arial"/>
        </w:rPr>
        <w:t>1. Účastníci dohody se dohodli, že vlastník provede dle pokynů AOPK ČR tato managementová opatření z důvodu ochrany přírody:</w:t>
      </w:r>
    </w:p>
    <w:p w:rsidR="00571FE2" w:rsidRDefault="00571FE2" w:rsidP="00571FE2">
      <w:pPr>
        <w:jc w:val="both"/>
      </w:pPr>
      <w:r>
        <w:rPr>
          <w:rFonts w:ascii="Arial" w:eastAsia="Arial Unicode MS" w:hAnsi="Arial" w:cs="Arial"/>
        </w:rPr>
        <w:t xml:space="preserve">Kosení travních porostů ve 2. (3.) zóně CHKO Křivoklátsko pomocí křovinořezu včetně shrabání a odvozu travní hmoty mimo lokalitu. Opatření bude provedeno na pozemcích 1265/1 (vlastník), 1267 a 1268 (nájemce) v k.ú. Bzová u Hořovic. Jedná se o pozemky s výskytem zvláště chráněných druhů rostlin. Celková plocha opatření je 1,67 ha, opatření bude provedeno v období od 20.7. do 30.9. 2020, opatření je prováděno ve ztížených podmínkách, plocha je značně podmáčená, vyskytují se zde často balvany, vylučující použití mechanizace. Posečená hmota, které je zde velké množství, bude z posečené plochy postupně nakladačem nakládána na kontejnery, které budou špatně přístupným terénem odvezeny na skládku bioodpadu a hmota tak zkompostována. </w:t>
      </w:r>
    </w:p>
    <w:p w:rsidR="00571FE2" w:rsidRDefault="00571FE2" w:rsidP="00571FE2">
      <w:pPr>
        <w:jc w:val="both"/>
      </w:pPr>
      <w:r>
        <w:rPr>
          <w:rFonts w:ascii="Arial" w:eastAsia="Arial Unicode MS" w:hAnsi="Arial" w:cs="Arial"/>
        </w:rPr>
        <w:t xml:space="preserve">Opatření bude provedeno na pozemcích pozemek p.č. 1265/1 (vlastník) a dále 1267 a 1268 (nájemce) v k.ú. Bzová u Hořovic a podle příloh dle čl. V., odst. 2 této Dohody a to v termínu od účinnosti Dohody do 31.10.2022, v případě prodloužení Dohody dle čl. IV. odst. 2 této Dohody do stejného termínu každoročně. </w:t>
      </w:r>
    </w:p>
    <w:p w:rsidR="00571FE2" w:rsidRDefault="00571FE2" w:rsidP="00571FE2">
      <w:pPr>
        <w:jc w:val="both"/>
      </w:pPr>
      <w:r>
        <w:rPr>
          <w:rFonts w:ascii="Arial" w:eastAsia="Arial Unicode MS" w:hAnsi="Arial" w:cs="Arial"/>
        </w:rPr>
        <w:t>Opatření bude provedeno v souladu se standardem AOPK: 02 004 Sečení.</w:t>
      </w:r>
    </w:p>
    <w:p w:rsidR="00571FE2" w:rsidRDefault="00571FE2" w:rsidP="00571FE2">
      <w:pPr>
        <w:jc w:val="both"/>
      </w:pPr>
      <w:r>
        <w:rPr>
          <w:rFonts w:ascii="Arial" w:eastAsia="Arial Unicode MS" w:hAnsi="Arial" w:cs="Arial"/>
        </w:rPr>
        <w:t>Další podmínky realizace: Bez dalších podmínek </w:t>
      </w:r>
    </w:p>
    <w:p w:rsidR="00571FE2" w:rsidRDefault="00571FE2" w:rsidP="00571FE2">
      <w:pPr>
        <w:jc w:val="both"/>
      </w:pPr>
      <w:r>
        <w:t>  </w:t>
      </w:r>
    </w:p>
    <w:p w:rsidR="00571FE2" w:rsidRDefault="00571FE2" w:rsidP="00571FE2">
      <w:pPr>
        <w:jc w:val="both"/>
      </w:pPr>
      <w:r>
        <w:rPr>
          <w:rFonts w:ascii="Arial" w:eastAsia="Arial Unicode MS" w:hAnsi="Arial" w:cs="Arial"/>
        </w:rPr>
        <w:t>(dále jen „</w:t>
      </w:r>
      <w:r>
        <w:rPr>
          <w:rStyle w:val="Siln"/>
          <w:rFonts w:ascii="Arial" w:eastAsia="Arial Unicode MS" w:hAnsi="Arial" w:cs="Arial"/>
          <w:bCs w:val="0"/>
        </w:rPr>
        <w:t>managementová opatření</w:t>
      </w:r>
      <w:r>
        <w:rPr>
          <w:rFonts w:ascii="Arial" w:eastAsia="Arial Unicode MS" w:hAnsi="Arial" w:cs="Arial"/>
        </w:rPr>
        <w:t>“)</w:t>
      </w:r>
    </w:p>
    <w:p w:rsidR="00571FE2" w:rsidRDefault="00571FE2" w:rsidP="00571FE2">
      <w:pPr>
        <w:pStyle w:val="Normlnweb"/>
      </w:pPr>
      <w:r>
        <w:rPr>
          <w:rFonts w:ascii="Arial" w:hAnsi="Arial" w:cs="Arial"/>
          <w:sz w:val="22"/>
          <w:szCs w:val="22"/>
        </w:rPr>
        <w:lastRenderedPageBreak/>
        <w:t xml:space="preserve">2. Za účelem automatického prodloužení této Dohody dle čl. IV. odst. 2 této Dohody zašle AOPK ČR vlastníkovi upřesnění </w:t>
      </w:r>
      <w:r>
        <w:rPr>
          <w:rFonts w:ascii="Arial" w:eastAsia="Arial Unicode MS" w:hAnsi="Arial" w:cs="Arial"/>
          <w:sz w:val="22"/>
          <w:szCs w:val="22"/>
        </w:rPr>
        <w:t>managementových opatření pro další rok (</w:t>
      </w:r>
      <w:r>
        <w:rPr>
          <w:rStyle w:val="Siln"/>
          <w:rFonts w:ascii="Arial" w:eastAsia="Arial Unicode MS" w:hAnsi="Arial" w:cs="Arial"/>
          <w:bCs w:val="0"/>
          <w:sz w:val="22"/>
          <w:szCs w:val="22"/>
          <w:u w:val="single"/>
        </w:rPr>
        <w:t>Rozpis/harmonogram managementových opatření)</w:t>
      </w:r>
      <w:r>
        <w:rPr>
          <w:rFonts w:ascii="Arial" w:eastAsia="Arial Unicode MS" w:hAnsi="Arial" w:cs="Arial"/>
          <w:sz w:val="22"/>
          <w:szCs w:val="22"/>
        </w:rPr>
        <w:t xml:space="preserve">, nebudou-li totožná s předchozím obdobím, a to nejpozději do </w:t>
      </w:r>
      <w:r>
        <w:rPr>
          <w:rFonts w:ascii="Arial" w:hAnsi="Arial" w:cs="Arial"/>
          <w:sz w:val="22"/>
          <w:szCs w:val="22"/>
        </w:rPr>
        <w:t>15. 5. k. r. (každého roku).</w:t>
      </w:r>
    </w:p>
    <w:p w:rsidR="00571FE2" w:rsidRDefault="00571FE2" w:rsidP="00571FE2">
      <w:pPr>
        <w:jc w:val="both"/>
      </w:pPr>
      <w:r>
        <w:t> </w:t>
      </w:r>
    </w:p>
    <w:p w:rsidR="00571FE2" w:rsidRDefault="00571FE2" w:rsidP="00571FE2">
      <w:pPr>
        <w:jc w:val="both"/>
      </w:pPr>
      <w:r>
        <w:t> </w:t>
      </w:r>
    </w:p>
    <w:p w:rsidR="00571FE2" w:rsidRDefault="00571FE2" w:rsidP="00571FE2">
      <w:pPr>
        <w:jc w:val="both"/>
      </w:pPr>
      <w:r>
        <w:t> </w:t>
      </w:r>
    </w:p>
    <w:p w:rsidR="00571FE2" w:rsidRDefault="00571FE2" w:rsidP="00571FE2">
      <w:pPr>
        <w:jc w:val="center"/>
      </w:pPr>
      <w:r>
        <w:rPr>
          <w:rFonts w:ascii="Arial" w:eastAsia="Arial Unicode MS" w:hAnsi="Arial" w:cs="Arial"/>
          <w:b/>
        </w:rPr>
        <w:br/>
      </w:r>
      <w:r>
        <w:rPr>
          <w:rStyle w:val="Siln"/>
          <w:rFonts w:ascii="Arial" w:eastAsia="Arial Unicode MS" w:hAnsi="Arial" w:cs="Arial"/>
          <w:bCs w:val="0"/>
        </w:rPr>
        <w:t>Čl. III.</w:t>
      </w:r>
    </w:p>
    <w:p w:rsidR="00571FE2" w:rsidRDefault="00571FE2" w:rsidP="00571FE2">
      <w:pPr>
        <w:jc w:val="center"/>
      </w:pPr>
      <w:r>
        <w:rPr>
          <w:rStyle w:val="Siln"/>
          <w:rFonts w:ascii="Arial" w:eastAsia="Arial Unicode MS" w:hAnsi="Arial" w:cs="Arial"/>
          <w:bCs w:val="0"/>
        </w:rPr>
        <w:t>Poskytnutí finančního příspěvku na péči</w:t>
      </w:r>
    </w:p>
    <w:p w:rsidR="00571FE2" w:rsidRDefault="00571FE2" w:rsidP="00571FE2">
      <w:pPr>
        <w:jc w:val="both"/>
      </w:pPr>
      <w:r>
        <w:t> </w:t>
      </w:r>
    </w:p>
    <w:p w:rsidR="00571FE2" w:rsidRDefault="00571FE2" w:rsidP="00571FE2">
      <w:pPr>
        <w:jc w:val="both"/>
      </w:pPr>
      <w:r>
        <w:rPr>
          <w:rFonts w:ascii="Arial" w:eastAsia="Arial Unicode MS" w:hAnsi="Arial" w:cs="Arial"/>
        </w:rPr>
        <w:t>1. Účastníci Dohody se dohodli, že vlastník zrealizuje managementová opatření specifikovaná v čl. II této Dohody za finanční příspěvek na péči ve výši 78 489,- Kč (slovy sedmdesátosm tisíc čtyřista osmdesát devět korun).</w:t>
      </w:r>
    </w:p>
    <w:p w:rsidR="00571FE2" w:rsidRDefault="00571FE2" w:rsidP="00571FE2">
      <w:pPr>
        <w:jc w:val="both"/>
      </w:pPr>
      <w:r>
        <w:t> </w:t>
      </w:r>
    </w:p>
    <w:p w:rsidR="00571FE2" w:rsidRDefault="00571FE2" w:rsidP="00571FE2">
      <w:pPr>
        <w:jc w:val="both"/>
      </w:pPr>
      <w:r>
        <w:rPr>
          <w:rFonts w:ascii="Arial" w:eastAsia="Arial Unicode MS" w:hAnsi="Arial" w:cs="Arial"/>
        </w:rPr>
        <w:t>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Pr>
          <w:rStyle w:val="Siln"/>
          <w:rFonts w:ascii="Arial" w:eastAsia="Arial Unicode MS" w:hAnsi="Arial" w:cs="Arial"/>
          <w:bCs w:val="0"/>
        </w:rPr>
        <w:t>kontrola</w:t>
      </w:r>
      <w:r>
        <w:rPr>
          <w:rFonts w:ascii="Arial" w:eastAsia="Arial Unicode MS" w:hAnsi="Arial" w:cs="Arial"/>
        </w:rPr>
        <w:t>“). O této kontrole bude sepsán mezi účastníky Dohody písemný protokol podepsaný oprávněnými zástupci účastníků Dohody.</w:t>
      </w:r>
    </w:p>
    <w:p w:rsidR="00571FE2" w:rsidRDefault="00571FE2" w:rsidP="00571FE2">
      <w:pPr>
        <w:pStyle w:val="Zkladntext"/>
        <w:spacing w:before="0" w:beforeAutospacing="0" w:after="0" w:afterAutospacing="0"/>
      </w:pPr>
      <w:r>
        <w:t> </w:t>
      </w:r>
    </w:p>
    <w:p w:rsidR="00571FE2" w:rsidRDefault="00571FE2" w:rsidP="00571FE2">
      <w:pPr>
        <w:jc w:val="both"/>
      </w:pPr>
      <w:r>
        <w:rPr>
          <w:rFonts w:ascii="Arial" w:eastAsia="Arial Unicode MS" w:hAnsi="Arial" w:cs="Arial"/>
        </w:rPr>
        <w:t xml:space="preserve">3. AOPK ČR se zavazuje po provedení kontroly za řádně, včas a v souladu s ostatními podmínkami této Dohody provedená managementová opatření uhradit vlastníkovi finanční příspěvek na péči v celkové výši dle odst. 1 tohoto článku Dohody, podle pravidel dohodnutých v bodě 5. a 6. tohoto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571FE2" w:rsidRDefault="00571FE2" w:rsidP="00571FE2">
      <w:pPr>
        <w:jc w:val="both"/>
      </w:pPr>
      <w:r>
        <w:t> </w:t>
      </w:r>
    </w:p>
    <w:p w:rsidR="00571FE2" w:rsidRDefault="00571FE2" w:rsidP="00571FE2">
      <w:pPr>
        <w:jc w:val="both"/>
      </w:pPr>
      <w:r>
        <w:rPr>
          <w:rFonts w:ascii="Arial" w:eastAsia="Arial Unicode MS" w:hAnsi="Arial" w:cs="Arial"/>
        </w:rPr>
        <w:t>4. Pokud ve lhůtě do 6 měsíců ode dne provedení kontroly managementových opatření vyjde najevo, že vlastník neprovedl tato opatření řádně (</w:t>
      </w:r>
      <w:r>
        <w:rPr>
          <w:rStyle w:val="Zdraznn"/>
          <w:rFonts w:ascii="Arial" w:eastAsia="Arial Unicode MS" w:hAnsi="Arial" w:cs="Arial"/>
          <w:iCs w:val="0"/>
        </w:rPr>
        <w:t>např. vymezenou metodou, postupem</w:t>
      </w:r>
      <w:r>
        <w:rPr>
          <w:rFonts w:ascii="Arial" w:eastAsia="Arial Unicode MS" w:hAnsi="Arial" w:cs="Arial"/>
        </w:rPr>
        <w:t xml:space="preserve">), je vlastník povinen učinit opatření k nápravě takového stavu, v souladu s pokyny AOPK ČR, je-li tento postup dle konzultace se AOPK ČR možný a účelný. Pokud ne, je vlastník povinen vrátit poskytnutý příspěvek či jeho přiměřenou část v souladu s ust. § 19 odst. 4 vyhl. č. 395/1992 Sb. </w:t>
      </w:r>
    </w:p>
    <w:p w:rsidR="00571FE2" w:rsidRDefault="00571FE2" w:rsidP="00571FE2">
      <w:pPr>
        <w:jc w:val="both"/>
      </w:pPr>
      <w:r>
        <w:t> </w:t>
      </w:r>
    </w:p>
    <w:p w:rsidR="00571FE2" w:rsidRDefault="00571FE2" w:rsidP="00571FE2">
      <w:pPr>
        <w:jc w:val="both"/>
      </w:pPr>
      <w:r>
        <w:rPr>
          <w:rFonts w:ascii="Arial" w:eastAsia="Arial Unicode MS" w:hAnsi="Arial" w:cs="Arial"/>
        </w:rPr>
        <w:t xml:space="preserve">5. Vyúčtování vlastník vystaví a doručí AOPK ČR nejpozději do 10 pracovních dnů po provedení kontroly realizovaných managementových opatření. Vyúčtování musí mít tyto </w:t>
      </w:r>
      <w:r>
        <w:rPr>
          <w:rFonts w:ascii="Arial" w:eastAsia="Arial Unicode MS" w:hAnsi="Arial" w:cs="Arial"/>
        </w:rPr>
        <w:lastRenderedPageBreak/>
        <w:t>náležitosti: jméno a adresa/název a sídlo vlastníka, IČ/</w:t>
      </w:r>
      <w:r>
        <w:rPr>
          <w:rFonts w:ascii="Arial" w:hAnsi="Arial" w:cs="Arial"/>
        </w:rPr>
        <w:t xml:space="preserve">datum narození, bankovní spojení a číslo účtu, předmět a číslo Dohody, výše finančního příspěvku. </w:t>
      </w:r>
    </w:p>
    <w:p w:rsidR="00571FE2" w:rsidRDefault="00571FE2" w:rsidP="00571FE2">
      <w:pPr>
        <w:jc w:val="both"/>
      </w:pPr>
      <w:r>
        <w:t> </w:t>
      </w:r>
    </w:p>
    <w:p w:rsidR="00571FE2" w:rsidRDefault="00571FE2" w:rsidP="00571FE2">
      <w:pPr>
        <w:jc w:val="both"/>
      </w:pPr>
      <w:r>
        <w:t> </w:t>
      </w:r>
    </w:p>
    <w:p w:rsidR="00571FE2" w:rsidRDefault="00571FE2" w:rsidP="00571FE2">
      <w:pPr>
        <w:jc w:val="both"/>
      </w:pPr>
      <w:r>
        <w:rPr>
          <w:rFonts w:ascii="Arial" w:eastAsia="Arial Unicode MS" w:hAnsi="Arial" w:cs="Arial"/>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571FE2" w:rsidRDefault="00571FE2" w:rsidP="00571FE2">
      <w:pPr>
        <w:jc w:val="both"/>
      </w:pPr>
      <w:r>
        <w:t> </w:t>
      </w:r>
    </w:p>
    <w:p w:rsidR="00571FE2" w:rsidRDefault="00571FE2" w:rsidP="00571FE2">
      <w:pPr>
        <w:jc w:val="both"/>
      </w:pPr>
      <w:r>
        <w:t> </w:t>
      </w:r>
    </w:p>
    <w:p w:rsidR="00571FE2" w:rsidRDefault="00571FE2" w:rsidP="00571FE2">
      <w:pPr>
        <w:jc w:val="center"/>
      </w:pPr>
      <w:r>
        <w:rPr>
          <w:rFonts w:ascii="Arial" w:eastAsia="Arial Unicode MS" w:hAnsi="Arial" w:cs="Arial"/>
          <w:b/>
        </w:rPr>
        <w:br/>
      </w:r>
      <w:r>
        <w:rPr>
          <w:rStyle w:val="Siln"/>
          <w:rFonts w:ascii="Arial" w:eastAsia="Arial Unicode MS" w:hAnsi="Arial" w:cs="Arial"/>
          <w:bCs w:val="0"/>
        </w:rPr>
        <w:t>Čl. IV.</w:t>
      </w:r>
    </w:p>
    <w:p w:rsidR="00571FE2" w:rsidRDefault="00571FE2" w:rsidP="00571FE2">
      <w:pPr>
        <w:jc w:val="center"/>
      </w:pPr>
      <w:r>
        <w:rPr>
          <w:rStyle w:val="Siln"/>
          <w:rFonts w:ascii="Arial" w:eastAsia="Arial Unicode MS" w:hAnsi="Arial" w:cs="Arial"/>
          <w:bCs w:val="0"/>
        </w:rPr>
        <w:t xml:space="preserve">Trvání a ukončení Dohody </w:t>
      </w:r>
    </w:p>
    <w:p w:rsidR="00571FE2" w:rsidRDefault="00571FE2" w:rsidP="00571FE2">
      <w:pPr>
        <w:jc w:val="center"/>
      </w:pPr>
      <w:r>
        <w:t> </w:t>
      </w:r>
    </w:p>
    <w:p w:rsidR="00571FE2" w:rsidRDefault="00571FE2" w:rsidP="00571FE2">
      <w:pPr>
        <w:jc w:val="both"/>
      </w:pPr>
      <w:r>
        <w:rPr>
          <w:rFonts w:ascii="Arial" w:hAnsi="Arial" w:cs="Arial"/>
        </w:rPr>
        <w:t>1. Tato Dohoda se uzavírá na dobu určitou do 31. 12 s možností automatického prodloužení vždy o 1 rok, avšak maximálně do 31. 12</w:t>
      </w:r>
      <w:r w:rsidR="00E62317">
        <w:rPr>
          <w:rFonts w:ascii="Arial" w:hAnsi="Arial" w:cs="Arial"/>
        </w:rPr>
        <w:t>. 2022</w:t>
      </w:r>
      <w:r>
        <w:t> </w:t>
      </w:r>
    </w:p>
    <w:p w:rsidR="00571FE2" w:rsidRDefault="00571FE2" w:rsidP="00571FE2">
      <w:pPr>
        <w:jc w:val="both"/>
      </w:pPr>
      <w:r>
        <w:rPr>
          <w:rFonts w:ascii="Arial" w:hAnsi="Arial" w:cs="Arial"/>
        </w:rPr>
        <w:t>2. K automatickému prodloužení Dohody dojde:</w:t>
      </w:r>
    </w:p>
    <w:p w:rsidR="00571FE2" w:rsidRDefault="00571FE2" w:rsidP="00571FE2">
      <w:pPr>
        <w:jc w:val="both"/>
      </w:pPr>
      <w:r>
        <w:rPr>
          <w:rFonts w:ascii="Arial" w:hAnsi="Arial" w:cs="Arial"/>
        </w:rPr>
        <w:t xml:space="preserve">a) okamžikem podpisu dodatku k této Dohodě, jehož obsahem bude upřesnění </w:t>
      </w:r>
      <w:r>
        <w:rPr>
          <w:rFonts w:ascii="Arial" w:eastAsia="Arial Unicode MS" w:hAnsi="Arial" w:cs="Arial"/>
        </w:rPr>
        <w:t>managementových opatření pro další rok (Rozpis/harmonogram managementových opatření)</w:t>
      </w:r>
      <w:r>
        <w:rPr>
          <w:rFonts w:ascii="Arial" w:hAnsi="Arial" w:cs="Arial"/>
        </w:rPr>
        <w:t xml:space="preserve"> dle čl. II. odst. 2. této Dohody, oběma účastníky této Dohody. Nesouhlasí-li vlastník s nově stanoveným upřesněním (Rozpisem/Harmonogramem </w:t>
      </w:r>
      <w:r>
        <w:rPr>
          <w:rFonts w:ascii="Arial" w:eastAsia="Arial Unicode MS" w:hAnsi="Arial" w:cs="Arial"/>
        </w:rPr>
        <w:t>managementových opatření</w:t>
      </w:r>
      <w:r>
        <w:rPr>
          <w:rFonts w:ascii="Arial" w:hAnsi="Arial" w:cs="Arial"/>
        </w:rPr>
        <w:t>), Dohoda se o další rok neprodlužuje.</w:t>
      </w:r>
    </w:p>
    <w:p w:rsidR="00571FE2" w:rsidRDefault="00571FE2" w:rsidP="00571FE2">
      <w:pPr>
        <w:jc w:val="both"/>
      </w:pPr>
      <w:r>
        <w:rPr>
          <w:rFonts w:ascii="Arial" w:hAnsi="Arial" w:cs="Arial"/>
        </w:rPr>
        <w:t xml:space="preserve">b) v případě, kdy jsou podmínky </w:t>
      </w:r>
      <w:r>
        <w:rPr>
          <w:rFonts w:ascii="Arial" w:eastAsia="Arial Unicode MS" w:hAnsi="Arial" w:cs="Arial"/>
        </w:rPr>
        <w:t>managementových opatření pro další rok (Rozpis/harmonogram managementových opatření)</w:t>
      </w:r>
      <w:r>
        <w:rPr>
          <w:rFonts w:ascii="Arial" w:hAnsi="Arial" w:cs="Arial"/>
        </w:rPr>
        <w:t xml:space="preserve"> stejné jako v roce předchozím, Dohoda se automaticky prodlouží vždy o 1 rok, pokud AOPK ČR do 15. 5. aktuálního roku písemně nesdělí vlastníkovi, že nehodlá Dohodu o další rok prodloužit.</w:t>
      </w:r>
    </w:p>
    <w:p w:rsidR="00571FE2" w:rsidRDefault="00571FE2" w:rsidP="00571FE2">
      <w:pPr>
        <w:pStyle w:val="Normlnweb"/>
      </w:pPr>
      <w:r>
        <w:rPr>
          <w:rFonts w:ascii="Arial" w:eastAsia="Arial Unicode MS" w:hAnsi="Arial" w:cs="Arial"/>
          <w:sz w:val="22"/>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571FE2" w:rsidRDefault="00571FE2" w:rsidP="00571FE2">
      <w:pPr>
        <w:jc w:val="both"/>
      </w:pPr>
      <w:r>
        <w:t> </w:t>
      </w:r>
    </w:p>
    <w:p w:rsidR="00571FE2" w:rsidRDefault="00571FE2" w:rsidP="00571FE2">
      <w:pPr>
        <w:jc w:val="center"/>
      </w:pPr>
      <w:r>
        <w:t> </w:t>
      </w:r>
    </w:p>
    <w:p w:rsidR="00571FE2" w:rsidRDefault="00571FE2" w:rsidP="00571FE2">
      <w:pPr>
        <w:jc w:val="center"/>
      </w:pPr>
      <w:r>
        <w:t> </w:t>
      </w:r>
    </w:p>
    <w:p w:rsidR="00571FE2" w:rsidRDefault="00571FE2" w:rsidP="00571FE2">
      <w:pPr>
        <w:jc w:val="center"/>
      </w:pPr>
      <w:r>
        <w:rPr>
          <w:rFonts w:ascii="Arial" w:eastAsia="Arial Unicode MS" w:hAnsi="Arial" w:cs="Arial"/>
          <w:b/>
        </w:rPr>
        <w:br/>
      </w:r>
      <w:r>
        <w:rPr>
          <w:rStyle w:val="Siln"/>
          <w:rFonts w:ascii="Arial" w:eastAsia="Arial Unicode MS" w:hAnsi="Arial" w:cs="Arial"/>
          <w:bCs w:val="0"/>
        </w:rPr>
        <w:t>Čl. V.</w:t>
      </w:r>
    </w:p>
    <w:p w:rsidR="00571FE2" w:rsidRDefault="00571FE2" w:rsidP="00571FE2">
      <w:pPr>
        <w:jc w:val="center"/>
      </w:pPr>
      <w:r>
        <w:rPr>
          <w:rStyle w:val="Siln"/>
          <w:rFonts w:ascii="Arial" w:eastAsia="Arial Unicode MS" w:hAnsi="Arial" w:cs="Arial"/>
          <w:bCs w:val="0"/>
        </w:rPr>
        <w:t>Ostatní a závěrečná ujednání</w:t>
      </w:r>
    </w:p>
    <w:p w:rsidR="00571FE2" w:rsidRDefault="00571FE2" w:rsidP="00571FE2">
      <w:pPr>
        <w:pStyle w:val="Normlnweb"/>
        <w:jc w:val="both"/>
      </w:pPr>
      <w:r>
        <w:rPr>
          <w:rFonts w:ascii="Arial" w:hAnsi="Arial" w:cs="Arial"/>
          <w:sz w:val="22"/>
        </w:rPr>
        <w:t xml:space="preserve">1. V rozsahu touto Dohodou neupraveném se tato řídí </w:t>
      </w:r>
      <w:proofErr w:type="gramStart"/>
      <w:r>
        <w:rPr>
          <w:rFonts w:ascii="Arial" w:hAnsi="Arial" w:cs="Arial"/>
          <w:sz w:val="22"/>
        </w:rPr>
        <w:t>zák.č.</w:t>
      </w:r>
      <w:proofErr w:type="gramEnd"/>
      <w:r>
        <w:rPr>
          <w:rFonts w:ascii="Arial" w:hAnsi="Arial" w:cs="Arial"/>
          <w:sz w:val="22"/>
        </w:rPr>
        <w:t xml:space="preserve"> 500/2004 Sb., správním řádem, v platném znění.</w:t>
      </w:r>
    </w:p>
    <w:p w:rsidR="00571FE2" w:rsidRDefault="00571FE2" w:rsidP="00571FE2">
      <w:pPr>
        <w:pStyle w:val="Normlnweb"/>
        <w:jc w:val="both"/>
      </w:pPr>
      <w:r>
        <w:rPr>
          <w:rFonts w:ascii="Arial" w:hAnsi="Arial" w:cs="Arial"/>
          <w:sz w:val="22"/>
        </w:rPr>
        <w:lastRenderedPageBreak/>
        <w:t>2. Vlastník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71FE2" w:rsidRDefault="00571FE2" w:rsidP="00571FE2">
      <w:pPr>
        <w:pStyle w:val="Normlnweb"/>
        <w:jc w:val="both"/>
      </w:pPr>
      <w:r>
        <w:rPr>
          <w:rFonts w:ascii="Arial" w:hAnsi="Arial" w:cs="Arial"/>
          <w:sz w:val="22"/>
        </w:rPr>
        <w:t>3. Nedílnou součástí Dohody jsou přílohy:</w:t>
      </w:r>
    </w:p>
    <w:p w:rsidR="00571FE2" w:rsidRDefault="00571FE2" w:rsidP="00571FE2">
      <w:r>
        <w:rPr>
          <w:rFonts w:ascii="Arial" w:eastAsia="Arial Unicode MS" w:hAnsi="Arial" w:cs="Arial"/>
        </w:rPr>
        <w:t>příloha č.1 kalkulace nákladů</w:t>
      </w:r>
    </w:p>
    <w:p w:rsidR="00571FE2" w:rsidRDefault="00571FE2" w:rsidP="00571FE2">
      <w:r>
        <w:rPr>
          <w:rFonts w:ascii="Arial" w:eastAsia="Arial Unicode MS" w:hAnsi="Arial" w:cs="Arial"/>
        </w:rPr>
        <w:t>příloha č.2 mapa se zákresem lokalizace prováděných opatření</w:t>
      </w:r>
    </w:p>
    <w:p w:rsidR="00571FE2" w:rsidRDefault="00571FE2" w:rsidP="00571FE2">
      <w:pPr>
        <w:pStyle w:val="Normlnweb"/>
        <w:jc w:val="both"/>
      </w:pPr>
      <w:r>
        <w:rPr>
          <w:rFonts w:ascii="Arial" w:hAnsi="Arial" w:cs="Arial"/>
          <w:sz w:val="22"/>
        </w:rPr>
        <w:t>4. Vlastník bezvýhradně souhlasí se zveřejněním své identifikace a dalších parametrů Dohody.</w:t>
      </w:r>
    </w:p>
    <w:p w:rsidR="00571FE2" w:rsidRDefault="00571FE2" w:rsidP="00571FE2">
      <w:pPr>
        <w:pStyle w:val="Normlnweb"/>
        <w:jc w:val="both"/>
      </w:pPr>
      <w:r>
        <w:rPr>
          <w:rFonts w:ascii="Arial" w:hAnsi="Arial" w:cs="Arial"/>
          <w:sz w:val="22"/>
        </w:rPr>
        <w:t>5. Tato Dohoda se vyhotovuje ve 3 stejnopisech, z nichž AOPK ČR obdrží 2 vyhotovení a vlastník obdrží 1 vyhotovení.</w:t>
      </w:r>
    </w:p>
    <w:p w:rsidR="00571FE2" w:rsidRDefault="00571FE2" w:rsidP="00571FE2">
      <w:pPr>
        <w:pStyle w:val="Normlnweb"/>
        <w:jc w:val="both"/>
      </w:pPr>
      <w:r>
        <w:rPr>
          <w:rFonts w:ascii="Arial" w:hAnsi="Arial" w:cs="Arial"/>
          <w:sz w:val="22"/>
        </w:rPr>
        <w:t>6. Tato Dohoda může být měněna a doplňována pouze písemnými a očíslovanými dodatky podepsanými oběma oprávněnými účastníky Dohody.</w:t>
      </w:r>
    </w:p>
    <w:p w:rsidR="00571FE2" w:rsidRDefault="00571FE2" w:rsidP="00571FE2">
      <w:pPr>
        <w:pStyle w:val="Normlnweb"/>
        <w:jc w:val="both"/>
      </w:pPr>
      <w:r>
        <w:rPr>
          <w:rFonts w:ascii="Arial" w:hAnsi="Arial" w:cs="Arial"/>
          <w:sz w:val="22"/>
        </w:rPr>
        <w:t>7. Tato Dohoda nabývá platnosti dnem podpisu oprávněným zástupcem posledního účastníka Dohody. Tato Dohoda nabývá platnosti a účinnosti dnem jejího podpisu oběma účastníky Dohody.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571FE2" w:rsidTr="00571FE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571FE2" w:rsidRDefault="00571FE2" w:rsidP="00671EC4">
            <w:pPr>
              <w:jc w:val="center"/>
            </w:pPr>
            <w:r>
              <w:rPr>
                <w:rFonts w:ascii="Arial" w:hAnsi="Arial" w:cs="Arial"/>
              </w:rPr>
              <w:t>V</w:t>
            </w:r>
            <w:r w:rsidR="00671EC4">
              <w:rPr>
                <w:rFonts w:ascii="Arial" w:hAnsi="Arial" w:cs="Arial"/>
              </w:rPr>
              <w:t>e Zbečně</w:t>
            </w:r>
          </w:p>
        </w:tc>
        <w:tc>
          <w:tcPr>
            <w:tcW w:w="540" w:type="dxa"/>
            <w:tcBorders>
              <w:top w:val="nil"/>
              <w:left w:val="nil"/>
              <w:bottom w:val="nil"/>
              <w:right w:val="nil"/>
            </w:tcBorders>
            <w:shd w:val="clear" w:color="auto" w:fill="auto"/>
            <w:vAlign w:val="center"/>
            <w:hideMark/>
          </w:tcPr>
          <w:p w:rsidR="00571FE2" w:rsidRDefault="00571FE2">
            <w:r>
              <w:t> </w:t>
            </w:r>
          </w:p>
        </w:tc>
        <w:tc>
          <w:tcPr>
            <w:tcW w:w="2418" w:type="dxa"/>
            <w:gridSpan w:val="3"/>
            <w:tcBorders>
              <w:top w:val="nil"/>
              <w:left w:val="nil"/>
              <w:bottom w:val="nil"/>
              <w:right w:val="nil"/>
            </w:tcBorders>
            <w:shd w:val="clear" w:color="auto" w:fill="auto"/>
            <w:vAlign w:val="center"/>
            <w:hideMark/>
          </w:tcPr>
          <w:p w:rsidR="00571FE2" w:rsidRDefault="00571FE2">
            <w:r>
              <w:rPr>
                <w:rFonts w:ascii="Arial" w:hAnsi="Arial" w:cs="Arial"/>
              </w:rPr>
              <w:t xml:space="preserve">dne </w:t>
            </w:r>
            <w:r w:rsidR="00671EC4">
              <w:rPr>
                <w:rFonts w:ascii="Arial" w:hAnsi="Arial" w:cs="Arial"/>
              </w:rPr>
              <w:t>7.7.2020</w:t>
            </w:r>
          </w:p>
        </w:tc>
        <w:tc>
          <w:tcPr>
            <w:tcW w:w="1287" w:type="dxa"/>
            <w:tcBorders>
              <w:top w:val="nil"/>
              <w:left w:val="nil"/>
              <w:bottom w:val="nil"/>
              <w:right w:val="nil"/>
            </w:tcBorders>
            <w:shd w:val="clear" w:color="auto" w:fill="auto"/>
            <w:vAlign w:val="center"/>
            <w:hideMark/>
          </w:tcPr>
          <w:p w:rsidR="00571FE2" w:rsidRDefault="00571FE2">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sidP="00671EC4">
            <w:pPr>
              <w:jc w:val="center"/>
            </w:pPr>
            <w:r>
              <w:rPr>
                <w:rFonts w:ascii="Arial" w:hAnsi="Arial" w:cs="Arial"/>
              </w:rPr>
              <w:t>V</w:t>
            </w:r>
            <w:r w:rsidR="00671EC4">
              <w:rPr>
                <w:rFonts w:ascii="Arial" w:hAnsi="Arial" w:cs="Arial"/>
              </w:rPr>
              <w:t>e Bzové</w:t>
            </w:r>
          </w:p>
        </w:tc>
        <w:tc>
          <w:tcPr>
            <w:tcW w:w="539" w:type="dxa"/>
            <w:tcBorders>
              <w:top w:val="nil"/>
              <w:left w:val="nil"/>
              <w:bottom w:val="nil"/>
              <w:right w:val="nil"/>
            </w:tcBorders>
            <w:shd w:val="clear" w:color="auto" w:fill="auto"/>
            <w:vAlign w:val="center"/>
            <w:hideMark/>
          </w:tcPr>
          <w:p w:rsidR="00571FE2" w:rsidRDefault="00571FE2">
            <w:r>
              <w:t> </w:t>
            </w:r>
          </w:p>
        </w:tc>
        <w:tc>
          <w:tcPr>
            <w:tcW w:w="2276" w:type="dxa"/>
            <w:gridSpan w:val="3"/>
            <w:tcBorders>
              <w:top w:val="nil"/>
              <w:left w:val="nil"/>
              <w:bottom w:val="nil"/>
              <w:right w:val="nil"/>
            </w:tcBorders>
            <w:shd w:val="clear" w:color="auto" w:fill="auto"/>
            <w:vAlign w:val="center"/>
            <w:hideMark/>
          </w:tcPr>
          <w:p w:rsidR="00571FE2" w:rsidRDefault="00671EC4" w:rsidP="00671EC4">
            <w:r>
              <w:rPr>
                <w:rFonts w:ascii="Arial" w:hAnsi="Arial" w:cs="Arial"/>
              </w:rPr>
              <w:t>D</w:t>
            </w:r>
            <w:r w:rsidR="00571FE2">
              <w:rPr>
                <w:rFonts w:ascii="Arial" w:hAnsi="Arial" w:cs="Arial"/>
              </w:rPr>
              <w:t>ne</w:t>
            </w:r>
            <w:r>
              <w:rPr>
                <w:rFonts w:ascii="Arial" w:hAnsi="Arial" w:cs="Arial"/>
              </w:rPr>
              <w:t xml:space="preserve"> 1.7.2020</w:t>
            </w:r>
            <w:bookmarkStart w:id="0" w:name="_GoBack"/>
            <w:bookmarkEnd w:id="0"/>
          </w:p>
        </w:tc>
      </w:tr>
      <w:tr w:rsidR="00571FE2" w:rsidTr="00571FE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571FE2" w:rsidRDefault="00571FE2">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r>
      <w:tr w:rsidR="00571FE2" w:rsidTr="00571FE2">
        <w:trPr>
          <w:gridAfter w:val="2"/>
          <w:wAfter w:w="310" w:type="dxa"/>
          <w:jc w:val="center"/>
        </w:trPr>
        <w:tc>
          <w:tcPr>
            <w:tcW w:w="4583" w:type="dxa"/>
            <w:gridSpan w:val="5"/>
            <w:tcBorders>
              <w:top w:val="nil"/>
              <w:left w:val="nil"/>
              <w:bottom w:val="nil"/>
              <w:right w:val="nil"/>
            </w:tcBorders>
            <w:shd w:val="clear" w:color="auto" w:fill="auto"/>
            <w:vAlign w:val="center"/>
            <w:hideMark/>
          </w:tcPr>
          <w:p w:rsidR="00571FE2" w:rsidRDefault="00571FE2">
            <w:pPr>
              <w:pStyle w:val="Normlnweb"/>
              <w:jc w:val="center"/>
            </w:pPr>
            <w:r>
              <w:rPr>
                <w:rStyle w:val="Siln"/>
                <w:rFonts w:ascii="Arial" w:hAnsi="Arial" w:cs="Arial"/>
                <w:sz w:val="22"/>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pPr>
              <w:pStyle w:val="Normlnweb"/>
              <w:jc w:val="center"/>
            </w:pPr>
            <w:r>
              <w:rPr>
                <w:rStyle w:val="Siln"/>
                <w:rFonts w:ascii="Arial" w:hAnsi="Arial" w:cs="Arial"/>
                <w:sz w:val="22"/>
              </w:rPr>
              <w:t>Vlastník:</w:t>
            </w:r>
          </w:p>
        </w:tc>
      </w:tr>
      <w:tr w:rsidR="00571FE2" w:rsidTr="00571FE2">
        <w:trPr>
          <w:gridAfter w:val="2"/>
          <w:wAfter w:w="310" w:type="dxa"/>
          <w:trHeight w:val="388"/>
          <w:jc w:val="center"/>
        </w:trPr>
        <w:tc>
          <w:tcPr>
            <w:tcW w:w="946" w:type="dxa"/>
            <w:tcBorders>
              <w:top w:val="nil"/>
              <w:left w:val="nil"/>
              <w:bottom w:val="nil"/>
              <w:right w:val="nil"/>
            </w:tcBorders>
            <w:shd w:val="clear" w:color="auto" w:fill="auto"/>
            <w:vAlign w:val="center"/>
            <w:hideMark/>
          </w:tcPr>
          <w:p w:rsidR="00571FE2" w:rsidRDefault="00571FE2">
            <w:r>
              <w:t> </w:t>
            </w:r>
          </w:p>
        </w:tc>
        <w:tc>
          <w:tcPr>
            <w:tcW w:w="1555" w:type="dxa"/>
            <w:gridSpan w:val="2"/>
            <w:tcBorders>
              <w:top w:val="nil"/>
              <w:left w:val="nil"/>
              <w:bottom w:val="nil"/>
              <w:right w:val="nil"/>
            </w:tcBorders>
            <w:shd w:val="clear" w:color="auto" w:fill="auto"/>
            <w:vAlign w:val="center"/>
            <w:hideMark/>
          </w:tcPr>
          <w:p w:rsidR="00571FE2" w:rsidRDefault="00571FE2">
            <w:r>
              <w:t> </w:t>
            </w:r>
          </w:p>
        </w:tc>
        <w:tc>
          <w:tcPr>
            <w:tcW w:w="144" w:type="dxa"/>
            <w:tcBorders>
              <w:top w:val="nil"/>
              <w:left w:val="nil"/>
              <w:bottom w:val="nil"/>
              <w:right w:val="nil"/>
            </w:tcBorders>
            <w:shd w:val="clear" w:color="auto" w:fill="auto"/>
            <w:vAlign w:val="center"/>
            <w:hideMark/>
          </w:tcPr>
          <w:p w:rsidR="00571FE2" w:rsidRDefault="00571FE2">
            <w:r>
              <w:t> </w:t>
            </w:r>
          </w:p>
        </w:tc>
        <w:tc>
          <w:tcPr>
            <w:tcW w:w="2032" w:type="dxa"/>
            <w:tcBorders>
              <w:top w:val="nil"/>
              <w:left w:val="nil"/>
              <w:bottom w:val="nil"/>
              <w:right w:val="nil"/>
            </w:tcBorders>
            <w:shd w:val="clear" w:color="auto" w:fill="auto"/>
            <w:vAlign w:val="center"/>
            <w:hideMark/>
          </w:tcPr>
          <w:p w:rsidR="00571FE2" w:rsidRDefault="00571FE2">
            <w:r>
              <w:t> </w:t>
            </w:r>
          </w:p>
        </w:tc>
        <w:tc>
          <w:tcPr>
            <w:tcW w:w="1623" w:type="dxa"/>
            <w:gridSpan w:val="2"/>
            <w:tcBorders>
              <w:top w:val="nil"/>
              <w:left w:val="nil"/>
              <w:bottom w:val="nil"/>
              <w:right w:val="nil"/>
            </w:tcBorders>
            <w:shd w:val="clear" w:color="auto" w:fill="auto"/>
            <w:vAlign w:val="center"/>
            <w:hideMark/>
          </w:tcPr>
          <w:p w:rsidR="00571FE2" w:rsidRDefault="00571FE2">
            <w:r>
              <w:t> </w:t>
            </w:r>
          </w:p>
        </w:tc>
        <w:tc>
          <w:tcPr>
            <w:tcW w:w="2018" w:type="dxa"/>
            <w:tcBorders>
              <w:top w:val="nil"/>
              <w:left w:val="nil"/>
              <w:bottom w:val="nil"/>
              <w:right w:val="nil"/>
            </w:tcBorders>
            <w:shd w:val="clear" w:color="auto" w:fill="auto"/>
            <w:vAlign w:val="center"/>
            <w:hideMark/>
          </w:tcPr>
          <w:p w:rsidR="00571FE2" w:rsidRDefault="00571FE2">
            <w:r>
              <w:t> </w:t>
            </w:r>
          </w:p>
        </w:tc>
        <w:tc>
          <w:tcPr>
            <w:tcW w:w="539" w:type="dxa"/>
            <w:tcBorders>
              <w:top w:val="nil"/>
              <w:left w:val="nil"/>
              <w:bottom w:val="nil"/>
              <w:right w:val="nil"/>
            </w:tcBorders>
            <w:shd w:val="clear" w:color="auto" w:fill="auto"/>
            <w:vAlign w:val="center"/>
            <w:hideMark/>
          </w:tcPr>
          <w:p w:rsidR="00571FE2" w:rsidRDefault="00571FE2">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r>
      <w:tr w:rsidR="00571FE2" w:rsidTr="00571FE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571FE2" w:rsidRDefault="00571FE2">
            <w:r>
              <w:t> </w:t>
            </w:r>
          </w:p>
        </w:tc>
        <w:tc>
          <w:tcPr>
            <w:tcW w:w="1555" w:type="dxa"/>
            <w:gridSpan w:val="2"/>
            <w:tcBorders>
              <w:top w:val="nil"/>
              <w:left w:val="nil"/>
              <w:bottom w:val="nil"/>
              <w:right w:val="nil"/>
            </w:tcBorders>
            <w:shd w:val="clear" w:color="auto" w:fill="auto"/>
            <w:vAlign w:val="center"/>
            <w:hideMark/>
          </w:tcPr>
          <w:p w:rsidR="00571FE2" w:rsidRDefault="00571FE2">
            <w:r>
              <w:t> </w:t>
            </w:r>
          </w:p>
        </w:tc>
        <w:tc>
          <w:tcPr>
            <w:tcW w:w="144" w:type="dxa"/>
            <w:tcBorders>
              <w:top w:val="nil"/>
              <w:left w:val="nil"/>
              <w:bottom w:val="nil"/>
              <w:right w:val="nil"/>
            </w:tcBorders>
            <w:shd w:val="clear" w:color="auto" w:fill="auto"/>
            <w:vAlign w:val="center"/>
            <w:hideMark/>
          </w:tcPr>
          <w:p w:rsidR="00571FE2" w:rsidRDefault="00571FE2">
            <w:r>
              <w:t> </w:t>
            </w:r>
          </w:p>
        </w:tc>
        <w:tc>
          <w:tcPr>
            <w:tcW w:w="2032" w:type="dxa"/>
            <w:tcBorders>
              <w:top w:val="nil"/>
              <w:left w:val="nil"/>
              <w:bottom w:val="nil"/>
              <w:right w:val="nil"/>
            </w:tcBorders>
            <w:shd w:val="clear" w:color="auto" w:fill="auto"/>
            <w:vAlign w:val="center"/>
            <w:hideMark/>
          </w:tcPr>
          <w:p w:rsidR="00571FE2" w:rsidRDefault="00571FE2">
            <w:r>
              <w:t> </w:t>
            </w:r>
          </w:p>
        </w:tc>
        <w:tc>
          <w:tcPr>
            <w:tcW w:w="1623" w:type="dxa"/>
            <w:gridSpan w:val="2"/>
            <w:tcBorders>
              <w:top w:val="nil"/>
              <w:left w:val="nil"/>
              <w:bottom w:val="nil"/>
              <w:right w:val="nil"/>
            </w:tcBorders>
            <w:shd w:val="clear" w:color="auto" w:fill="auto"/>
            <w:vAlign w:val="center"/>
            <w:hideMark/>
          </w:tcPr>
          <w:p w:rsidR="00571FE2" w:rsidRDefault="00571FE2">
            <w:r>
              <w:t> </w:t>
            </w:r>
          </w:p>
        </w:tc>
        <w:tc>
          <w:tcPr>
            <w:tcW w:w="2018" w:type="dxa"/>
            <w:tcBorders>
              <w:top w:val="nil"/>
              <w:left w:val="nil"/>
              <w:bottom w:val="nil"/>
              <w:right w:val="nil"/>
            </w:tcBorders>
            <w:shd w:val="clear" w:color="auto" w:fill="auto"/>
            <w:vAlign w:val="center"/>
            <w:hideMark/>
          </w:tcPr>
          <w:p w:rsidR="00571FE2" w:rsidRDefault="00571FE2">
            <w:r>
              <w:t> </w:t>
            </w:r>
          </w:p>
        </w:tc>
        <w:tc>
          <w:tcPr>
            <w:tcW w:w="539" w:type="dxa"/>
            <w:tcBorders>
              <w:top w:val="nil"/>
              <w:left w:val="nil"/>
              <w:bottom w:val="nil"/>
              <w:right w:val="nil"/>
            </w:tcBorders>
            <w:shd w:val="clear" w:color="auto" w:fill="auto"/>
            <w:vAlign w:val="center"/>
            <w:hideMark/>
          </w:tcPr>
          <w:p w:rsidR="00571FE2" w:rsidRDefault="00571FE2">
            <w: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r>
      <w:tr w:rsidR="00571FE2" w:rsidTr="00571FE2">
        <w:trPr>
          <w:gridAfter w:val="2"/>
          <w:wAfter w:w="310" w:type="dxa"/>
          <w:jc w:val="center"/>
        </w:trPr>
        <w:tc>
          <w:tcPr>
            <w:tcW w:w="4583" w:type="dxa"/>
            <w:gridSpan w:val="5"/>
            <w:tcBorders>
              <w:top w:val="nil"/>
              <w:left w:val="nil"/>
              <w:bottom w:val="nil"/>
              <w:right w:val="nil"/>
            </w:tcBorders>
            <w:shd w:val="clear" w:color="auto" w:fill="auto"/>
            <w:vAlign w:val="center"/>
            <w:hideMark/>
          </w:tcPr>
          <w:p w:rsidR="00571FE2" w:rsidRDefault="00571FE2">
            <w:pPr>
              <w:jc w:val="center"/>
            </w:pPr>
            <w:r>
              <w:rPr>
                <w:rFonts w:ascii="Arial" w:hAnsi="Arial" w:cs="Arial"/>
              </w:rPr>
              <w:t xml:space="preserve">RNDr. Jaroslav Obermajer </w:t>
            </w:r>
            <w:r>
              <w:rPr>
                <w:rFonts w:ascii="Arial" w:hAnsi="Arial" w:cs="Arial"/>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571FE2" w:rsidRDefault="00571FE2">
            <w:pPr>
              <w:jc w:val="center"/>
            </w:pPr>
            <w:r>
              <w:rPr>
                <w:rFonts w:ascii="Arial" w:hAnsi="Arial" w:cs="Arial"/>
              </w:rPr>
              <w:t>Mgr. Václava Flaišmanová, starostka</w:t>
            </w:r>
          </w:p>
        </w:tc>
      </w:tr>
      <w:tr w:rsidR="00571FE2" w:rsidTr="00571FE2">
        <w:trPr>
          <w:jc w:val="center"/>
        </w:trPr>
        <w:tc>
          <w:tcPr>
            <w:tcW w:w="946" w:type="dxa"/>
            <w:tcBorders>
              <w:top w:val="nil"/>
              <w:left w:val="nil"/>
              <w:bottom w:val="nil"/>
              <w:right w:val="nil"/>
            </w:tcBorders>
            <w:shd w:val="clear" w:color="auto" w:fill="auto"/>
            <w:vAlign w:val="center"/>
            <w:hideMark/>
          </w:tcPr>
          <w:p w:rsidR="00571FE2" w:rsidRDefault="00571FE2">
            <w:r>
              <w:t> </w:t>
            </w:r>
          </w:p>
        </w:tc>
        <w:tc>
          <w:tcPr>
            <w:tcW w:w="1015" w:type="dxa"/>
            <w:tcBorders>
              <w:top w:val="nil"/>
              <w:left w:val="nil"/>
              <w:bottom w:val="nil"/>
              <w:right w:val="nil"/>
            </w:tcBorders>
            <w:shd w:val="clear" w:color="auto" w:fill="auto"/>
            <w:vAlign w:val="center"/>
            <w:hideMark/>
          </w:tcPr>
          <w:p w:rsidR="00571FE2" w:rsidRDefault="00571FE2">
            <w:r>
              <w:t> </w:t>
            </w:r>
          </w:p>
        </w:tc>
        <w:tc>
          <w:tcPr>
            <w:tcW w:w="540" w:type="dxa"/>
            <w:tcBorders>
              <w:top w:val="nil"/>
              <w:left w:val="nil"/>
              <w:bottom w:val="nil"/>
              <w:right w:val="nil"/>
            </w:tcBorders>
            <w:shd w:val="clear" w:color="auto" w:fill="auto"/>
            <w:vAlign w:val="center"/>
            <w:hideMark/>
          </w:tcPr>
          <w:p w:rsidR="00571FE2" w:rsidRDefault="00571FE2">
            <w:r>
              <w:t> </w:t>
            </w:r>
          </w:p>
        </w:tc>
        <w:tc>
          <w:tcPr>
            <w:tcW w:w="144" w:type="dxa"/>
            <w:tcBorders>
              <w:top w:val="nil"/>
              <w:left w:val="nil"/>
              <w:bottom w:val="nil"/>
              <w:right w:val="nil"/>
            </w:tcBorders>
            <w:shd w:val="clear" w:color="auto" w:fill="auto"/>
            <w:vAlign w:val="center"/>
            <w:hideMark/>
          </w:tcPr>
          <w:p w:rsidR="00571FE2" w:rsidRDefault="00571FE2">
            <w:r>
              <w:t> </w:t>
            </w:r>
          </w:p>
        </w:tc>
        <w:tc>
          <w:tcPr>
            <w:tcW w:w="2032" w:type="dxa"/>
            <w:tcBorders>
              <w:top w:val="nil"/>
              <w:left w:val="nil"/>
              <w:bottom w:val="nil"/>
              <w:right w:val="nil"/>
            </w:tcBorders>
            <w:shd w:val="clear" w:color="auto" w:fill="auto"/>
            <w:vAlign w:val="center"/>
            <w:hideMark/>
          </w:tcPr>
          <w:p w:rsidR="00571FE2" w:rsidRDefault="00571FE2">
            <w:r>
              <w:t> </w:t>
            </w:r>
          </w:p>
        </w:tc>
        <w:tc>
          <w:tcPr>
            <w:tcW w:w="1623" w:type="dxa"/>
            <w:gridSpan w:val="2"/>
            <w:tcBorders>
              <w:top w:val="nil"/>
              <w:left w:val="nil"/>
              <w:bottom w:val="nil"/>
              <w:right w:val="nil"/>
            </w:tcBorders>
            <w:shd w:val="clear" w:color="auto" w:fill="auto"/>
            <w:vAlign w:val="center"/>
            <w:hideMark/>
          </w:tcPr>
          <w:p w:rsidR="00571FE2" w:rsidRDefault="00571FE2">
            <w:r>
              <w:t> </w:t>
            </w:r>
          </w:p>
        </w:tc>
        <w:tc>
          <w:tcPr>
            <w:tcW w:w="2018" w:type="dxa"/>
            <w:tcBorders>
              <w:top w:val="nil"/>
              <w:left w:val="nil"/>
              <w:bottom w:val="nil"/>
              <w:right w:val="nil"/>
            </w:tcBorders>
            <w:shd w:val="clear" w:color="auto" w:fill="auto"/>
            <w:vAlign w:val="center"/>
            <w:hideMark/>
          </w:tcPr>
          <w:p w:rsidR="00571FE2" w:rsidRDefault="00571FE2">
            <w:r>
              <w:t> </w:t>
            </w:r>
          </w:p>
        </w:tc>
        <w:tc>
          <w:tcPr>
            <w:tcW w:w="539" w:type="dxa"/>
            <w:tcBorders>
              <w:top w:val="nil"/>
              <w:left w:val="nil"/>
              <w:bottom w:val="nil"/>
              <w:right w:val="nil"/>
            </w:tcBorders>
            <w:shd w:val="clear" w:color="auto" w:fill="auto"/>
            <w:vAlign w:val="center"/>
            <w:hideMark/>
          </w:tcPr>
          <w:p w:rsidR="00571FE2" w:rsidRDefault="00571FE2">
            <w:r>
              <w:t> </w:t>
            </w:r>
          </w:p>
        </w:tc>
        <w:tc>
          <w:tcPr>
            <w:tcW w:w="144" w:type="dxa"/>
            <w:tcBorders>
              <w:top w:val="nil"/>
              <w:left w:val="nil"/>
              <w:bottom w:val="nil"/>
              <w:right w:val="nil"/>
            </w:tcBorders>
            <w:shd w:val="clear" w:color="auto" w:fill="auto"/>
            <w:vAlign w:val="center"/>
            <w:hideMark/>
          </w:tcPr>
          <w:p w:rsidR="00571FE2" w:rsidRDefault="00571FE2">
            <w:r>
              <w:t> </w:t>
            </w:r>
          </w:p>
        </w:tc>
        <w:tc>
          <w:tcPr>
            <w:tcW w:w="2516" w:type="dxa"/>
            <w:gridSpan w:val="3"/>
            <w:tcBorders>
              <w:top w:val="nil"/>
              <w:left w:val="nil"/>
              <w:bottom w:val="nil"/>
              <w:right w:val="nil"/>
            </w:tcBorders>
            <w:shd w:val="clear" w:color="auto" w:fill="auto"/>
            <w:vAlign w:val="center"/>
            <w:hideMark/>
          </w:tcPr>
          <w:p w:rsidR="00571FE2" w:rsidRDefault="00571FE2">
            <w:r>
              <w:t> </w:t>
            </w:r>
          </w:p>
        </w:tc>
        <w:tc>
          <w:tcPr>
            <w:tcW w:w="144" w:type="dxa"/>
            <w:tcBorders>
              <w:top w:val="nil"/>
              <w:left w:val="nil"/>
              <w:bottom w:val="nil"/>
              <w:right w:val="nil"/>
            </w:tcBorders>
            <w:shd w:val="clear" w:color="auto" w:fill="auto"/>
            <w:vAlign w:val="center"/>
            <w:hideMark/>
          </w:tcPr>
          <w:p w:rsidR="00571FE2" w:rsidRDefault="00571FE2">
            <w:r>
              <w:t> </w:t>
            </w:r>
          </w:p>
        </w:tc>
      </w:tr>
      <w:tr w:rsidR="00571FE2" w:rsidTr="00571FE2">
        <w:trPr>
          <w:jc w:val="center"/>
        </w:trPr>
        <w:tc>
          <w:tcPr>
            <w:tcW w:w="945" w:type="dxa"/>
            <w:tcBorders>
              <w:top w:val="nil"/>
              <w:left w:val="nil"/>
              <w:bottom w:val="nil"/>
              <w:right w:val="nil"/>
            </w:tcBorders>
            <w:shd w:val="clear" w:color="auto" w:fill="auto"/>
            <w:vAlign w:val="center"/>
            <w:hideMark/>
          </w:tcPr>
          <w:p w:rsidR="00571FE2" w:rsidRDefault="00571FE2">
            <w:r>
              <w:t> </w:t>
            </w:r>
          </w:p>
        </w:tc>
        <w:tc>
          <w:tcPr>
            <w:tcW w:w="1020" w:type="dxa"/>
            <w:tcBorders>
              <w:top w:val="nil"/>
              <w:left w:val="nil"/>
              <w:bottom w:val="nil"/>
              <w:right w:val="nil"/>
            </w:tcBorders>
            <w:shd w:val="clear" w:color="auto" w:fill="auto"/>
            <w:vAlign w:val="center"/>
            <w:hideMark/>
          </w:tcPr>
          <w:p w:rsidR="00571FE2" w:rsidRDefault="00571FE2">
            <w:r>
              <w:t> </w:t>
            </w:r>
          </w:p>
        </w:tc>
        <w:tc>
          <w:tcPr>
            <w:tcW w:w="540" w:type="dxa"/>
            <w:tcBorders>
              <w:top w:val="nil"/>
              <w:left w:val="nil"/>
              <w:bottom w:val="nil"/>
              <w:right w:val="nil"/>
            </w:tcBorders>
            <w:shd w:val="clear" w:color="auto" w:fill="auto"/>
            <w:vAlign w:val="center"/>
            <w:hideMark/>
          </w:tcPr>
          <w:p w:rsidR="00571FE2" w:rsidRDefault="00571FE2">
            <w:r>
              <w:t> </w:t>
            </w:r>
          </w:p>
        </w:tc>
        <w:tc>
          <w:tcPr>
            <w:tcW w:w="150" w:type="dxa"/>
            <w:tcBorders>
              <w:top w:val="nil"/>
              <w:left w:val="nil"/>
              <w:bottom w:val="nil"/>
              <w:right w:val="nil"/>
            </w:tcBorders>
            <w:shd w:val="clear" w:color="auto" w:fill="auto"/>
            <w:vAlign w:val="center"/>
            <w:hideMark/>
          </w:tcPr>
          <w:p w:rsidR="00571FE2" w:rsidRDefault="00571FE2">
            <w:r>
              <w:t> </w:t>
            </w:r>
          </w:p>
        </w:tc>
        <w:tc>
          <w:tcPr>
            <w:tcW w:w="2025" w:type="dxa"/>
            <w:tcBorders>
              <w:top w:val="nil"/>
              <w:left w:val="nil"/>
              <w:bottom w:val="nil"/>
              <w:right w:val="nil"/>
            </w:tcBorders>
            <w:shd w:val="clear" w:color="auto" w:fill="auto"/>
            <w:vAlign w:val="center"/>
            <w:hideMark/>
          </w:tcPr>
          <w:p w:rsidR="00571FE2" w:rsidRDefault="00571FE2">
            <w:r>
              <w:t> </w:t>
            </w:r>
          </w:p>
        </w:tc>
        <w:tc>
          <w:tcPr>
            <w:tcW w:w="240" w:type="dxa"/>
            <w:tcBorders>
              <w:top w:val="nil"/>
              <w:left w:val="nil"/>
              <w:bottom w:val="nil"/>
              <w:right w:val="nil"/>
            </w:tcBorders>
            <w:shd w:val="clear" w:color="auto" w:fill="auto"/>
            <w:vAlign w:val="center"/>
            <w:hideMark/>
          </w:tcPr>
          <w:p w:rsidR="00571FE2" w:rsidRDefault="00571FE2">
            <w:r>
              <w:t> </w:t>
            </w:r>
          </w:p>
        </w:tc>
        <w:tc>
          <w:tcPr>
            <w:tcW w:w="1380" w:type="dxa"/>
            <w:tcBorders>
              <w:top w:val="nil"/>
              <w:left w:val="nil"/>
              <w:bottom w:val="nil"/>
              <w:right w:val="nil"/>
            </w:tcBorders>
            <w:shd w:val="clear" w:color="auto" w:fill="auto"/>
            <w:vAlign w:val="center"/>
            <w:hideMark/>
          </w:tcPr>
          <w:p w:rsidR="00571FE2" w:rsidRDefault="00571FE2">
            <w:r>
              <w:t> </w:t>
            </w:r>
          </w:p>
        </w:tc>
        <w:tc>
          <w:tcPr>
            <w:tcW w:w="2025" w:type="dxa"/>
            <w:tcBorders>
              <w:top w:val="nil"/>
              <w:left w:val="nil"/>
              <w:bottom w:val="nil"/>
              <w:right w:val="nil"/>
            </w:tcBorders>
            <w:shd w:val="clear" w:color="auto" w:fill="auto"/>
            <w:vAlign w:val="center"/>
            <w:hideMark/>
          </w:tcPr>
          <w:p w:rsidR="00571FE2" w:rsidRDefault="00571FE2">
            <w:r>
              <w:t> </w:t>
            </w:r>
          </w:p>
        </w:tc>
        <w:tc>
          <w:tcPr>
            <w:tcW w:w="540" w:type="dxa"/>
            <w:tcBorders>
              <w:top w:val="nil"/>
              <w:left w:val="nil"/>
              <w:bottom w:val="nil"/>
              <w:right w:val="nil"/>
            </w:tcBorders>
            <w:shd w:val="clear" w:color="auto" w:fill="auto"/>
            <w:vAlign w:val="center"/>
            <w:hideMark/>
          </w:tcPr>
          <w:p w:rsidR="00571FE2" w:rsidRDefault="00571FE2">
            <w:r>
              <w:t> </w:t>
            </w:r>
          </w:p>
        </w:tc>
        <w:tc>
          <w:tcPr>
            <w:tcW w:w="150" w:type="dxa"/>
            <w:tcBorders>
              <w:top w:val="nil"/>
              <w:left w:val="nil"/>
              <w:bottom w:val="nil"/>
              <w:right w:val="nil"/>
            </w:tcBorders>
            <w:shd w:val="clear" w:color="auto" w:fill="auto"/>
            <w:vAlign w:val="center"/>
            <w:hideMark/>
          </w:tcPr>
          <w:p w:rsidR="00571FE2" w:rsidRDefault="00571FE2">
            <w:r>
              <w:t> </w:t>
            </w:r>
          </w:p>
        </w:tc>
        <w:tc>
          <w:tcPr>
            <w:tcW w:w="375" w:type="dxa"/>
            <w:tcBorders>
              <w:top w:val="nil"/>
              <w:left w:val="nil"/>
              <w:bottom w:val="nil"/>
              <w:right w:val="nil"/>
            </w:tcBorders>
            <w:shd w:val="clear" w:color="auto" w:fill="auto"/>
            <w:vAlign w:val="center"/>
            <w:hideMark/>
          </w:tcPr>
          <w:p w:rsidR="00571FE2" w:rsidRDefault="00571FE2">
            <w:r>
              <w:t> </w:t>
            </w:r>
          </w:p>
        </w:tc>
        <w:tc>
          <w:tcPr>
            <w:tcW w:w="1755" w:type="dxa"/>
            <w:tcBorders>
              <w:top w:val="nil"/>
              <w:left w:val="nil"/>
              <w:bottom w:val="nil"/>
              <w:right w:val="nil"/>
            </w:tcBorders>
            <w:shd w:val="clear" w:color="auto" w:fill="auto"/>
            <w:vAlign w:val="center"/>
            <w:hideMark/>
          </w:tcPr>
          <w:p w:rsidR="00571FE2" w:rsidRDefault="00571FE2">
            <w:r>
              <w:t> </w:t>
            </w:r>
          </w:p>
        </w:tc>
        <w:tc>
          <w:tcPr>
            <w:tcW w:w="390" w:type="dxa"/>
            <w:tcBorders>
              <w:top w:val="nil"/>
              <w:left w:val="nil"/>
              <w:bottom w:val="nil"/>
              <w:right w:val="nil"/>
            </w:tcBorders>
            <w:shd w:val="clear" w:color="auto" w:fill="auto"/>
            <w:vAlign w:val="center"/>
            <w:hideMark/>
          </w:tcPr>
          <w:p w:rsidR="00571FE2" w:rsidRDefault="00571FE2">
            <w:r>
              <w:t> </w:t>
            </w:r>
          </w:p>
        </w:tc>
        <w:tc>
          <w:tcPr>
            <w:tcW w:w="150" w:type="dxa"/>
            <w:tcBorders>
              <w:top w:val="nil"/>
              <w:left w:val="nil"/>
              <w:bottom w:val="nil"/>
              <w:right w:val="nil"/>
            </w:tcBorders>
            <w:shd w:val="clear" w:color="auto" w:fill="auto"/>
            <w:vAlign w:val="center"/>
            <w:hideMark/>
          </w:tcPr>
          <w:p w:rsidR="00571FE2" w:rsidRDefault="00571FE2">
            <w:r>
              <w:t> </w:t>
            </w:r>
          </w:p>
        </w:tc>
      </w:tr>
    </w:tbl>
    <w:p w:rsidR="00571FE2" w:rsidRDefault="00571FE2" w:rsidP="00571FE2">
      <w:pPr>
        <w:pStyle w:val="Normlnweb"/>
        <w:spacing w:after="240" w:afterAutospacing="0"/>
        <w:jc w:val="both"/>
      </w:pPr>
    </w:p>
    <w:p w:rsidR="00C606A2" w:rsidRPr="00571FE2" w:rsidRDefault="00671EC4" w:rsidP="00571FE2"/>
    <w:sectPr w:rsidR="00C606A2" w:rsidRPr="00571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3372F"/>
    <w:multiLevelType w:val="hybridMultilevel"/>
    <w:tmpl w:val="EF6A5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58"/>
    <w:rsid w:val="000E47AE"/>
    <w:rsid w:val="001B63DA"/>
    <w:rsid w:val="002836F8"/>
    <w:rsid w:val="00571FE2"/>
    <w:rsid w:val="00671EC4"/>
    <w:rsid w:val="007216F7"/>
    <w:rsid w:val="00803758"/>
    <w:rsid w:val="00967BE5"/>
    <w:rsid w:val="00A60CD2"/>
    <w:rsid w:val="00E62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1835"/>
  <w15:chartTrackingRefBased/>
  <w15:docId w15:val="{EE601C72-EFDC-4263-8F55-6F4247DF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03758"/>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styleId="Nzev">
    <w:name w:val="Title"/>
    <w:basedOn w:val="Normln"/>
    <w:link w:val="NzevChar"/>
    <w:uiPriority w:val="10"/>
    <w:qFormat/>
    <w:rsid w:val="00803758"/>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NzevChar">
    <w:name w:val="Název Char"/>
    <w:basedOn w:val="Standardnpsmoodstavce"/>
    <w:link w:val="Nzev"/>
    <w:uiPriority w:val="10"/>
    <w:rsid w:val="0080375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3758"/>
    <w:rPr>
      <w:b/>
      <w:bCs/>
    </w:rPr>
  </w:style>
  <w:style w:type="character" w:styleId="Zdraznn">
    <w:name w:val="Emphasis"/>
    <w:basedOn w:val="Standardnpsmoodstavce"/>
    <w:uiPriority w:val="20"/>
    <w:qFormat/>
    <w:rsid w:val="00803758"/>
    <w:rPr>
      <w:i/>
      <w:iCs/>
    </w:rPr>
  </w:style>
  <w:style w:type="paragraph" w:styleId="Zkladntext">
    <w:name w:val="Body Text"/>
    <w:basedOn w:val="Normln"/>
    <w:link w:val="ZkladntextChar"/>
    <w:uiPriority w:val="99"/>
    <w:semiHidden/>
    <w:unhideWhenUsed/>
    <w:rsid w:val="00803758"/>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ZkladntextChar">
    <w:name w:val="Základní text Char"/>
    <w:basedOn w:val="Standardnpsmoodstavce"/>
    <w:link w:val="Zkladntext"/>
    <w:uiPriority w:val="99"/>
    <w:semiHidden/>
    <w:rsid w:val="0080375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03758"/>
    <w:pPr>
      <w:ind w:left="720"/>
      <w:contextualSpacing/>
    </w:pPr>
  </w:style>
  <w:style w:type="paragraph" w:styleId="Textbubliny">
    <w:name w:val="Balloon Text"/>
    <w:basedOn w:val="Normln"/>
    <w:link w:val="TextbublinyChar"/>
    <w:uiPriority w:val="99"/>
    <w:semiHidden/>
    <w:unhideWhenUsed/>
    <w:rsid w:val="00967B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7BE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5213">
      <w:bodyDiv w:val="1"/>
      <w:marLeft w:val="0"/>
      <w:marRight w:val="0"/>
      <w:marTop w:val="0"/>
      <w:marBottom w:val="0"/>
      <w:divBdr>
        <w:top w:val="none" w:sz="0" w:space="0" w:color="auto"/>
        <w:left w:val="none" w:sz="0" w:space="0" w:color="auto"/>
        <w:bottom w:val="none" w:sz="0" w:space="0" w:color="auto"/>
        <w:right w:val="none" w:sz="0" w:space="0" w:color="auto"/>
      </w:divBdr>
      <w:divsChild>
        <w:div w:id="1247567926">
          <w:blockQuote w:val="1"/>
          <w:marLeft w:val="720"/>
          <w:marRight w:val="0"/>
          <w:marTop w:val="100"/>
          <w:marBottom w:val="100"/>
          <w:divBdr>
            <w:top w:val="none" w:sz="0" w:space="0" w:color="auto"/>
            <w:left w:val="none" w:sz="0" w:space="0" w:color="auto"/>
            <w:bottom w:val="none" w:sz="0" w:space="0" w:color="auto"/>
            <w:right w:val="none" w:sz="0" w:space="0" w:color="auto"/>
          </w:divBdr>
        </w:div>
        <w:div w:id="606691853">
          <w:blockQuote w:val="1"/>
          <w:marLeft w:val="720"/>
          <w:marRight w:val="0"/>
          <w:marTop w:val="100"/>
          <w:marBottom w:val="100"/>
          <w:divBdr>
            <w:top w:val="none" w:sz="0" w:space="0" w:color="auto"/>
            <w:left w:val="none" w:sz="0" w:space="0" w:color="auto"/>
            <w:bottom w:val="none" w:sz="0" w:space="0" w:color="auto"/>
            <w:right w:val="none" w:sz="0" w:space="0" w:color="auto"/>
          </w:divBdr>
        </w:div>
        <w:div w:id="8096326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45364737">
      <w:bodyDiv w:val="1"/>
      <w:marLeft w:val="0"/>
      <w:marRight w:val="0"/>
      <w:marTop w:val="0"/>
      <w:marBottom w:val="0"/>
      <w:divBdr>
        <w:top w:val="none" w:sz="0" w:space="0" w:color="auto"/>
        <w:left w:val="none" w:sz="0" w:space="0" w:color="auto"/>
        <w:bottom w:val="none" w:sz="0" w:space="0" w:color="auto"/>
        <w:right w:val="none" w:sz="0" w:space="0" w:color="auto"/>
      </w:divBdr>
      <w:divsChild>
        <w:div w:id="770661634">
          <w:blockQuote w:val="1"/>
          <w:marLeft w:val="720"/>
          <w:marRight w:val="0"/>
          <w:marTop w:val="100"/>
          <w:marBottom w:val="100"/>
          <w:divBdr>
            <w:top w:val="none" w:sz="0" w:space="0" w:color="auto"/>
            <w:left w:val="none" w:sz="0" w:space="0" w:color="auto"/>
            <w:bottom w:val="none" w:sz="0" w:space="0" w:color="auto"/>
            <w:right w:val="none" w:sz="0" w:space="0" w:color="auto"/>
          </w:divBdr>
        </w:div>
        <w:div w:id="1109087732">
          <w:blockQuote w:val="1"/>
          <w:marLeft w:val="720"/>
          <w:marRight w:val="0"/>
          <w:marTop w:val="100"/>
          <w:marBottom w:val="100"/>
          <w:divBdr>
            <w:top w:val="none" w:sz="0" w:space="0" w:color="auto"/>
            <w:left w:val="none" w:sz="0" w:space="0" w:color="auto"/>
            <w:bottom w:val="none" w:sz="0" w:space="0" w:color="auto"/>
            <w:right w:val="none" w:sz="0" w:space="0" w:color="auto"/>
          </w:divBdr>
        </w:div>
        <w:div w:id="2669286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1376</Words>
  <Characters>8121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Fechtner2</dc:creator>
  <cp:keywords/>
  <dc:description/>
  <cp:lastModifiedBy>ivana.moravcova</cp:lastModifiedBy>
  <cp:revision>3</cp:revision>
  <cp:lastPrinted>2020-06-12T07:20:00Z</cp:lastPrinted>
  <dcterms:created xsi:type="dcterms:W3CDTF">2020-07-07T13:07:00Z</dcterms:created>
  <dcterms:modified xsi:type="dcterms:W3CDTF">2020-07-07T13:08:00Z</dcterms:modified>
</cp:coreProperties>
</file>