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FF224" w14:textId="77777777" w:rsidR="00A54987" w:rsidRDefault="00A54987" w:rsidP="00A54987">
      <w:pPr>
        <w:rPr>
          <w:lang w:val="cs-CZ" w:eastAsia="cs-CZ"/>
        </w:rPr>
      </w:pPr>
      <w:r>
        <w:rPr>
          <w:b/>
          <w:bCs/>
          <w:lang w:val="cs-CZ" w:eastAsia="cs-CZ"/>
        </w:rPr>
        <w:t>Československá obchodní banka, a. s.</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A54987" w14:paraId="33FD940B"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25192A58"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517A2E96" w14:textId="77777777" w:rsidR="00A54987" w:rsidRPr="00A93F01" w:rsidRDefault="00A54987" w:rsidP="009E6B93">
            <w:pPr>
              <w:rPr>
                <w:lang w:val="cs-CZ" w:eastAsia="cs-CZ"/>
              </w:rPr>
            </w:pPr>
            <w:r w:rsidRPr="00A93F01">
              <w:rPr>
                <w:lang w:val="cs-CZ" w:eastAsia="cs-CZ"/>
              </w:rPr>
              <w:t>se sídlem:</w:t>
            </w:r>
          </w:p>
        </w:tc>
        <w:tc>
          <w:tcPr>
            <w:tcW w:w="3700" w:type="pct"/>
            <w:shd w:val="clear" w:color="auto" w:fill="auto"/>
            <w:tcMar>
              <w:top w:w="15" w:type="dxa"/>
              <w:left w:w="15" w:type="dxa"/>
              <w:bottom w:w="15" w:type="dxa"/>
              <w:right w:w="15" w:type="dxa"/>
            </w:tcMar>
            <w:vAlign w:val="center"/>
            <w:hideMark/>
          </w:tcPr>
          <w:p w14:paraId="575A084F" w14:textId="77777777" w:rsidR="00A54987" w:rsidRPr="00A93F01" w:rsidRDefault="00A54987" w:rsidP="009E6B93">
            <w:pPr>
              <w:rPr>
                <w:lang w:val="cs-CZ" w:eastAsia="cs-CZ"/>
              </w:rPr>
            </w:pPr>
            <w:r w:rsidRPr="00A93F01">
              <w:rPr>
                <w:lang w:val="cs-CZ" w:eastAsia="cs-CZ"/>
              </w:rPr>
              <w:t>Radlická 333/150, 150 57 Praha 5</w:t>
            </w:r>
          </w:p>
        </w:tc>
      </w:tr>
      <w:tr w:rsidR="00A54987" w14:paraId="534AE339"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22253F91"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0A0461CA" w14:textId="77777777" w:rsidR="00A54987" w:rsidRPr="00A93F01" w:rsidRDefault="00A54987" w:rsidP="009E6B93">
            <w:pPr>
              <w:rPr>
                <w:lang w:val="cs-CZ" w:eastAsia="cs-CZ"/>
              </w:rPr>
            </w:pPr>
            <w:r w:rsidRPr="00A93F01">
              <w:rPr>
                <w:lang w:val="cs-CZ" w:eastAsia="cs-CZ"/>
              </w:rPr>
              <w:t>IČO:</w:t>
            </w:r>
          </w:p>
        </w:tc>
        <w:tc>
          <w:tcPr>
            <w:tcW w:w="3700" w:type="pct"/>
            <w:shd w:val="clear" w:color="auto" w:fill="auto"/>
            <w:tcMar>
              <w:top w:w="15" w:type="dxa"/>
              <w:left w:w="15" w:type="dxa"/>
              <w:bottom w:w="15" w:type="dxa"/>
              <w:right w:w="15" w:type="dxa"/>
            </w:tcMar>
            <w:vAlign w:val="center"/>
            <w:hideMark/>
          </w:tcPr>
          <w:p w14:paraId="65283A21" w14:textId="77777777" w:rsidR="00A54987" w:rsidRPr="00A93F01" w:rsidRDefault="00A54987" w:rsidP="009E6B93">
            <w:pPr>
              <w:rPr>
                <w:lang w:val="cs-CZ" w:eastAsia="cs-CZ"/>
              </w:rPr>
            </w:pPr>
            <w:r w:rsidRPr="00A93F01">
              <w:rPr>
                <w:lang w:val="cs-CZ" w:eastAsia="cs-CZ"/>
              </w:rPr>
              <w:t>00001350</w:t>
            </w:r>
          </w:p>
        </w:tc>
      </w:tr>
      <w:tr w:rsidR="00A54987" w14:paraId="2723BF6B"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7AFBD65F" w14:textId="77777777" w:rsidR="00A54987" w:rsidRPr="00A93F01" w:rsidRDefault="00A54987" w:rsidP="009E6B93">
            <w:pPr>
              <w:rPr>
                <w:lang w:val="cs-CZ" w:eastAsia="cs-CZ"/>
              </w:rPr>
            </w:pPr>
          </w:p>
        </w:tc>
        <w:tc>
          <w:tcPr>
            <w:tcW w:w="1250" w:type="pct"/>
            <w:gridSpan w:val="2"/>
            <w:shd w:val="clear" w:color="auto" w:fill="auto"/>
            <w:tcMar>
              <w:top w:w="15" w:type="dxa"/>
              <w:left w:w="15" w:type="dxa"/>
              <w:bottom w:w="15" w:type="dxa"/>
              <w:right w:w="15" w:type="dxa"/>
            </w:tcMar>
            <w:vAlign w:val="center"/>
            <w:hideMark/>
          </w:tcPr>
          <w:p w14:paraId="2A5C0475" w14:textId="77777777" w:rsidR="00A54987" w:rsidRPr="00A93F01" w:rsidRDefault="00A54987" w:rsidP="009E6B93">
            <w:pPr>
              <w:rPr>
                <w:lang w:val="cs-CZ" w:eastAsia="cs-CZ"/>
              </w:rPr>
            </w:pPr>
            <w:r w:rsidRPr="00A93F01">
              <w:rPr>
                <w:lang w:val="cs-CZ" w:eastAsia="cs-CZ"/>
              </w:rPr>
              <w:t>zapsaná v obchodním rejstříku vedeném Městským soudem v Praze, spisová značka BXXXVI 46</w:t>
            </w:r>
          </w:p>
        </w:tc>
      </w:tr>
    </w:tbl>
    <w:p w14:paraId="21732737" w14:textId="77777777" w:rsidR="00A54987" w:rsidRDefault="00A54987" w:rsidP="00A54987">
      <w:pPr>
        <w:rPr>
          <w:lang w:val="cs-CZ" w:eastAsia="cs-CZ"/>
        </w:rPr>
      </w:pPr>
      <w:r>
        <w:rPr>
          <w:lang w:val="cs-CZ" w:eastAsia="cs-CZ"/>
        </w:rPr>
        <w:t>(„</w:t>
      </w:r>
      <w:r>
        <w:rPr>
          <w:b/>
          <w:bCs/>
          <w:lang w:val="cs-CZ" w:eastAsia="cs-CZ"/>
        </w:rPr>
        <w:t>Banka</w:t>
      </w:r>
      <w:r>
        <w:rPr>
          <w:lang w:val="cs-CZ" w:eastAsia="cs-CZ"/>
        </w:rPr>
        <w:t>“)</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A54987" w14:paraId="68860B2D"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59B43D6C"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72A54D45" w14:textId="77777777" w:rsidR="00A54987" w:rsidRPr="00A93F01" w:rsidRDefault="00A54987" w:rsidP="009E6B93">
            <w:pPr>
              <w:rPr>
                <w:lang w:val="cs-CZ" w:eastAsia="cs-CZ"/>
              </w:rPr>
            </w:pPr>
            <w:r w:rsidRPr="00A93F01">
              <w:rPr>
                <w:lang w:val="cs-CZ" w:eastAsia="cs-CZ"/>
              </w:rPr>
              <w:t>za Banku:</w:t>
            </w:r>
          </w:p>
        </w:tc>
        <w:tc>
          <w:tcPr>
            <w:tcW w:w="3700" w:type="pct"/>
            <w:shd w:val="clear" w:color="auto" w:fill="auto"/>
            <w:tcMar>
              <w:top w:w="15" w:type="dxa"/>
              <w:left w:w="15" w:type="dxa"/>
              <w:bottom w:w="15" w:type="dxa"/>
              <w:right w:w="15" w:type="dxa"/>
            </w:tcMar>
            <w:vAlign w:val="center"/>
            <w:hideMark/>
          </w:tcPr>
          <w:p w14:paraId="4A9245A1" w14:textId="00D1EA92" w:rsidR="00A54987" w:rsidRPr="00A93F01" w:rsidRDefault="0001761A" w:rsidP="009E6B93">
            <w:pPr>
              <w:rPr>
                <w:lang w:val="cs-CZ" w:eastAsia="cs-CZ"/>
              </w:rPr>
            </w:pPr>
            <w:r>
              <w:rPr>
                <w:lang w:val="cs-CZ" w:eastAsia="cs-CZ"/>
              </w:rPr>
              <w:t>xxxxxxxxxxxxxxx</w:t>
            </w:r>
          </w:p>
        </w:tc>
      </w:tr>
      <w:tr w:rsidR="00A54987" w14:paraId="4B938B69"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7967A771"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188FA20C" w14:textId="77777777" w:rsidR="00A54987" w:rsidRPr="00A93F01" w:rsidRDefault="00A54987" w:rsidP="009E6B93">
            <w:pPr>
              <w:rPr>
                <w:lang w:val="cs-CZ" w:eastAsia="cs-CZ"/>
              </w:rPr>
            </w:pPr>
          </w:p>
        </w:tc>
        <w:tc>
          <w:tcPr>
            <w:tcW w:w="3700" w:type="pct"/>
            <w:shd w:val="clear" w:color="auto" w:fill="auto"/>
            <w:tcMar>
              <w:top w:w="15" w:type="dxa"/>
              <w:left w:w="15" w:type="dxa"/>
              <w:bottom w:w="15" w:type="dxa"/>
              <w:right w:w="15" w:type="dxa"/>
            </w:tcMar>
            <w:vAlign w:val="center"/>
            <w:hideMark/>
          </w:tcPr>
          <w:p w14:paraId="594873E9" w14:textId="4D3BB7A6" w:rsidR="00A54987" w:rsidRPr="00A93F01" w:rsidRDefault="0001761A" w:rsidP="009E6B93">
            <w:pPr>
              <w:rPr>
                <w:lang w:val="cs-CZ" w:eastAsia="cs-CZ"/>
              </w:rPr>
            </w:pPr>
            <w:r>
              <w:rPr>
                <w:lang w:val="cs-CZ" w:eastAsia="cs-CZ"/>
              </w:rPr>
              <w:t>xxxxxxxxxxxxxxx</w:t>
            </w:r>
          </w:p>
        </w:tc>
      </w:tr>
    </w:tbl>
    <w:p w14:paraId="765805D8" w14:textId="77777777" w:rsidR="00A54987" w:rsidRDefault="00A54987" w:rsidP="00A54987">
      <w:pPr>
        <w:rPr>
          <w:vanish/>
        </w:rPr>
      </w:pP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A54987" w14:paraId="3144E3E5"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29E53358"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58EF84D1" w14:textId="77777777" w:rsidR="00A54987" w:rsidRPr="00A93F01" w:rsidRDefault="00A54987" w:rsidP="009E6B93">
            <w:pPr>
              <w:rPr>
                <w:lang w:val="cs-CZ" w:eastAsia="cs-CZ"/>
              </w:rPr>
            </w:pPr>
            <w:r w:rsidRPr="00A93F01">
              <w:rPr>
                <w:lang w:val="cs-CZ" w:eastAsia="cs-CZ"/>
              </w:rPr>
              <w:t>Pobočka:</w:t>
            </w:r>
          </w:p>
        </w:tc>
        <w:tc>
          <w:tcPr>
            <w:tcW w:w="3700" w:type="pct"/>
            <w:shd w:val="clear" w:color="auto" w:fill="auto"/>
            <w:tcMar>
              <w:top w:w="15" w:type="dxa"/>
              <w:left w:w="15" w:type="dxa"/>
              <w:bottom w:w="15" w:type="dxa"/>
              <w:right w:w="15" w:type="dxa"/>
            </w:tcMar>
            <w:vAlign w:val="center"/>
            <w:hideMark/>
          </w:tcPr>
          <w:p w14:paraId="77C73B8F" w14:textId="77777777" w:rsidR="00A54987" w:rsidRPr="00A93F01" w:rsidRDefault="00A54987" w:rsidP="009E6B93">
            <w:pPr>
              <w:rPr>
                <w:lang w:val="cs-CZ" w:eastAsia="cs-CZ"/>
              </w:rPr>
            </w:pPr>
            <w:r w:rsidRPr="00A93F01">
              <w:rPr>
                <w:lang w:val="cs-CZ" w:eastAsia="cs-CZ"/>
              </w:rPr>
              <w:t>FIB Liberec - 1. máje, 1. máje 79/18, 461 78, Liberec</w:t>
            </w:r>
          </w:p>
        </w:tc>
      </w:tr>
    </w:tbl>
    <w:p w14:paraId="3AE7A747" w14:textId="77777777" w:rsidR="00A54987" w:rsidRDefault="00A54987" w:rsidP="00A54987">
      <w:pPr>
        <w:rPr>
          <w:lang w:val="cs-CZ" w:eastAsia="cs-CZ"/>
        </w:rPr>
      </w:pPr>
      <w:r>
        <w:rPr>
          <w:lang w:val="cs-CZ" w:eastAsia="cs-CZ"/>
        </w:rPr>
        <w:t>a</w:t>
      </w:r>
    </w:p>
    <w:p w14:paraId="64091586" w14:textId="77777777" w:rsidR="00A54987" w:rsidRDefault="00A54987" w:rsidP="00A54987">
      <w:pPr>
        <w:rPr>
          <w:lang w:val="cs-CZ" w:eastAsia="cs-CZ"/>
        </w:rPr>
      </w:pPr>
      <w:r>
        <w:rPr>
          <w:b/>
          <w:bCs/>
          <w:lang w:val="cs-CZ" w:eastAsia="cs-CZ"/>
        </w:rPr>
        <w:t>ČSAD Liberec, a.s.</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A54987" w14:paraId="763121DC"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4B8BA180"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46BF93F3" w14:textId="77777777" w:rsidR="00A54987" w:rsidRPr="00A93F01" w:rsidRDefault="00A54987" w:rsidP="009E6B93">
            <w:pPr>
              <w:rPr>
                <w:lang w:val="cs-CZ" w:eastAsia="cs-CZ"/>
              </w:rPr>
            </w:pPr>
            <w:r w:rsidRPr="00A93F01">
              <w:rPr>
                <w:lang w:val="cs-CZ" w:eastAsia="cs-CZ"/>
              </w:rPr>
              <w:t>se sídlem:</w:t>
            </w:r>
          </w:p>
        </w:tc>
        <w:tc>
          <w:tcPr>
            <w:tcW w:w="3700" w:type="pct"/>
            <w:shd w:val="clear" w:color="auto" w:fill="auto"/>
            <w:tcMar>
              <w:top w:w="15" w:type="dxa"/>
              <w:left w:w="15" w:type="dxa"/>
              <w:bottom w:w="15" w:type="dxa"/>
              <w:right w:w="15" w:type="dxa"/>
            </w:tcMar>
            <w:vAlign w:val="center"/>
            <w:hideMark/>
          </w:tcPr>
          <w:p w14:paraId="3E9BB30F" w14:textId="77777777" w:rsidR="00A54987" w:rsidRPr="00A93F01" w:rsidRDefault="00A54987" w:rsidP="009E6B93">
            <w:pPr>
              <w:rPr>
                <w:lang w:val="cs-CZ" w:eastAsia="cs-CZ"/>
              </w:rPr>
            </w:pPr>
            <w:r w:rsidRPr="00A93F01">
              <w:rPr>
                <w:lang w:val="cs-CZ" w:eastAsia="cs-CZ"/>
              </w:rPr>
              <w:t>České mládeže 594/33, Liberec VI-Rochlice, 460 06 Liberec</w:t>
            </w:r>
          </w:p>
        </w:tc>
      </w:tr>
      <w:tr w:rsidR="00A54987" w14:paraId="7A2585E6"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55ECE5D6"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7C3A38C0" w14:textId="77777777" w:rsidR="00A54987" w:rsidRPr="00A93F01" w:rsidRDefault="00A54987" w:rsidP="009E6B93">
            <w:pPr>
              <w:rPr>
                <w:lang w:val="cs-CZ" w:eastAsia="cs-CZ"/>
              </w:rPr>
            </w:pPr>
            <w:r w:rsidRPr="00A93F01">
              <w:rPr>
                <w:lang w:val="cs-CZ" w:eastAsia="cs-CZ"/>
              </w:rPr>
              <w:t>IČO:</w:t>
            </w:r>
          </w:p>
        </w:tc>
        <w:tc>
          <w:tcPr>
            <w:tcW w:w="3700" w:type="pct"/>
            <w:shd w:val="clear" w:color="auto" w:fill="auto"/>
            <w:tcMar>
              <w:top w:w="15" w:type="dxa"/>
              <w:left w:w="15" w:type="dxa"/>
              <w:bottom w:w="15" w:type="dxa"/>
              <w:right w:w="15" w:type="dxa"/>
            </w:tcMar>
            <w:vAlign w:val="center"/>
            <w:hideMark/>
          </w:tcPr>
          <w:p w14:paraId="60A0212C" w14:textId="77777777" w:rsidR="00A54987" w:rsidRPr="00A93F01" w:rsidRDefault="00A54987" w:rsidP="009E6B93">
            <w:pPr>
              <w:rPr>
                <w:lang w:val="cs-CZ" w:eastAsia="cs-CZ"/>
              </w:rPr>
            </w:pPr>
            <w:r w:rsidRPr="00A93F01">
              <w:rPr>
                <w:lang w:val="cs-CZ" w:eastAsia="cs-CZ"/>
              </w:rPr>
              <w:t>25045504</w:t>
            </w:r>
          </w:p>
        </w:tc>
      </w:tr>
      <w:tr w:rsidR="00A54987" w14:paraId="2B3C7BEB"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0C8EBE7F" w14:textId="77777777" w:rsidR="00A54987" w:rsidRPr="00A93F01" w:rsidRDefault="00A54987" w:rsidP="009E6B93">
            <w:pPr>
              <w:rPr>
                <w:lang w:val="cs-CZ" w:eastAsia="cs-CZ"/>
              </w:rPr>
            </w:pPr>
          </w:p>
        </w:tc>
        <w:tc>
          <w:tcPr>
            <w:tcW w:w="1250" w:type="pct"/>
            <w:gridSpan w:val="2"/>
            <w:shd w:val="clear" w:color="auto" w:fill="auto"/>
            <w:tcMar>
              <w:top w:w="15" w:type="dxa"/>
              <w:left w:w="15" w:type="dxa"/>
              <w:bottom w:w="15" w:type="dxa"/>
              <w:right w:w="15" w:type="dxa"/>
            </w:tcMar>
            <w:vAlign w:val="center"/>
            <w:hideMark/>
          </w:tcPr>
          <w:p w14:paraId="5B2EBE04" w14:textId="77777777" w:rsidR="00A54987" w:rsidRPr="00A93F01" w:rsidRDefault="00A54987" w:rsidP="009E6B93">
            <w:pPr>
              <w:rPr>
                <w:lang w:val="cs-CZ" w:eastAsia="cs-CZ"/>
              </w:rPr>
            </w:pPr>
            <w:r w:rsidRPr="00A93F01">
              <w:rPr>
                <w:lang w:val="cs-CZ" w:eastAsia="cs-CZ"/>
              </w:rPr>
              <w:t>zapsaná v obchodním rejstříku vedeném Krajským soudem v Ústí nad Labem, spisová značka B 1126</w:t>
            </w:r>
          </w:p>
        </w:tc>
      </w:tr>
    </w:tbl>
    <w:p w14:paraId="4A6A9F64" w14:textId="77777777" w:rsidR="00A54987" w:rsidRDefault="00A54987" w:rsidP="00A54987">
      <w:pPr>
        <w:rPr>
          <w:lang w:val="cs-CZ" w:eastAsia="cs-CZ"/>
        </w:rPr>
      </w:pPr>
      <w:r>
        <w:rPr>
          <w:lang w:val="cs-CZ" w:eastAsia="cs-CZ"/>
        </w:rPr>
        <w:t>(„</w:t>
      </w:r>
      <w:r>
        <w:rPr>
          <w:b/>
          <w:bCs/>
          <w:lang w:val="cs-CZ" w:eastAsia="cs-CZ"/>
        </w:rPr>
        <w:t>Klient</w:t>
      </w:r>
      <w:r>
        <w:rPr>
          <w:lang w:val="cs-CZ" w:eastAsia="cs-CZ"/>
        </w:rPr>
        <w:t>“)</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A54987" w14:paraId="2F635909"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7771A1EE"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5D5E2929" w14:textId="77777777" w:rsidR="00A54987" w:rsidRPr="00A93F01" w:rsidRDefault="00A54987" w:rsidP="009E6B93">
            <w:pPr>
              <w:rPr>
                <w:lang w:val="cs-CZ" w:eastAsia="cs-CZ"/>
              </w:rPr>
            </w:pPr>
            <w:r w:rsidRPr="00A93F01">
              <w:rPr>
                <w:lang w:val="cs-CZ" w:eastAsia="cs-CZ"/>
              </w:rPr>
              <w:t>za Klienta:</w:t>
            </w:r>
          </w:p>
        </w:tc>
        <w:tc>
          <w:tcPr>
            <w:tcW w:w="3700" w:type="pct"/>
            <w:shd w:val="clear" w:color="auto" w:fill="auto"/>
            <w:tcMar>
              <w:top w:w="15" w:type="dxa"/>
              <w:left w:w="15" w:type="dxa"/>
              <w:bottom w:w="15" w:type="dxa"/>
              <w:right w:w="15" w:type="dxa"/>
            </w:tcMar>
            <w:vAlign w:val="center"/>
            <w:hideMark/>
          </w:tcPr>
          <w:p w14:paraId="005DF3EC" w14:textId="00497190" w:rsidR="00A54987" w:rsidRPr="00A93F01" w:rsidRDefault="0001761A" w:rsidP="009E6B93">
            <w:pPr>
              <w:rPr>
                <w:lang w:val="cs-CZ" w:eastAsia="cs-CZ"/>
              </w:rPr>
            </w:pPr>
            <w:r>
              <w:rPr>
                <w:lang w:val="cs-CZ" w:eastAsia="cs-CZ"/>
              </w:rPr>
              <w:t>xxxxxxxxxxxxxxxx</w:t>
            </w:r>
          </w:p>
        </w:tc>
      </w:tr>
      <w:tr w:rsidR="00A54987" w14:paraId="7865B8EC"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115B7FDF" w14:textId="77777777" w:rsidR="00A54987" w:rsidRPr="00A93F01" w:rsidRDefault="00A54987" w:rsidP="009E6B93">
            <w:pPr>
              <w:rPr>
                <w:lang w:val="cs-CZ" w:eastAsia="cs-CZ"/>
              </w:rPr>
            </w:pPr>
          </w:p>
        </w:tc>
        <w:tc>
          <w:tcPr>
            <w:tcW w:w="1250" w:type="pct"/>
            <w:shd w:val="clear" w:color="auto" w:fill="auto"/>
            <w:tcMar>
              <w:top w:w="15" w:type="dxa"/>
              <w:left w:w="15" w:type="dxa"/>
              <w:bottom w:w="15" w:type="dxa"/>
              <w:right w:w="15" w:type="dxa"/>
            </w:tcMar>
            <w:hideMark/>
          </w:tcPr>
          <w:p w14:paraId="7E454874" w14:textId="77777777" w:rsidR="00A54987" w:rsidRPr="00A93F01" w:rsidRDefault="00A54987" w:rsidP="009E6B93">
            <w:pPr>
              <w:rPr>
                <w:lang w:val="cs-CZ" w:eastAsia="cs-CZ"/>
              </w:rPr>
            </w:pPr>
          </w:p>
        </w:tc>
        <w:tc>
          <w:tcPr>
            <w:tcW w:w="3700" w:type="pct"/>
            <w:shd w:val="clear" w:color="auto" w:fill="auto"/>
            <w:tcMar>
              <w:top w:w="15" w:type="dxa"/>
              <w:left w:w="15" w:type="dxa"/>
              <w:bottom w:w="15" w:type="dxa"/>
              <w:right w:w="15" w:type="dxa"/>
            </w:tcMar>
            <w:vAlign w:val="center"/>
            <w:hideMark/>
          </w:tcPr>
          <w:p w14:paraId="42F97E0E" w14:textId="4F880306" w:rsidR="00A54987" w:rsidRPr="00A93F01" w:rsidRDefault="0001761A" w:rsidP="009E6B93">
            <w:pPr>
              <w:rPr>
                <w:lang w:val="cs-CZ" w:eastAsia="cs-CZ"/>
              </w:rPr>
            </w:pPr>
            <w:r>
              <w:rPr>
                <w:lang w:val="cs-CZ" w:eastAsia="cs-CZ"/>
              </w:rPr>
              <w:t>xxxxxxxxxxxxxxxx</w:t>
            </w:r>
          </w:p>
        </w:tc>
      </w:tr>
    </w:tbl>
    <w:p w14:paraId="71742DC4" w14:textId="77777777" w:rsidR="00A54987" w:rsidRDefault="00A54987" w:rsidP="00A54987">
      <w:pPr>
        <w:jc w:val="center"/>
        <w:rPr>
          <w:lang w:val="cs-CZ" w:eastAsia="cs-CZ"/>
        </w:rPr>
      </w:pPr>
      <w:r>
        <w:rPr>
          <w:lang w:val="cs-CZ" w:eastAsia="cs-CZ"/>
        </w:rPr>
        <w:t> </w:t>
      </w:r>
    </w:p>
    <w:p w14:paraId="110CB81C" w14:textId="4C18C146" w:rsidR="00A54987" w:rsidRDefault="00A54987" w:rsidP="00A54987">
      <w:pPr>
        <w:jc w:val="center"/>
        <w:rPr>
          <w:lang w:val="cs-CZ" w:eastAsia="cs-CZ"/>
        </w:rPr>
      </w:pPr>
      <w:r>
        <w:rPr>
          <w:lang w:val="cs-CZ" w:eastAsia="cs-CZ"/>
        </w:rPr>
        <w:t>(Banka a Klient společně též „</w:t>
      </w:r>
      <w:r>
        <w:rPr>
          <w:b/>
          <w:bCs/>
          <w:lang w:val="cs-CZ" w:eastAsia="cs-CZ"/>
        </w:rPr>
        <w:t>Smluvní strany</w:t>
      </w:r>
      <w:r>
        <w:rPr>
          <w:lang w:val="cs-CZ" w:eastAsia="cs-CZ"/>
        </w:rPr>
        <w:t>“) uzavírají</w:t>
      </w:r>
      <w:bookmarkStart w:id="0" w:name="_GoBack"/>
      <w:bookmarkEnd w:id="0"/>
      <w:r>
        <w:rPr>
          <w:lang w:val="cs-CZ" w:eastAsia="cs-CZ"/>
        </w:rPr>
        <w:br/>
        <w:t>podle § 1746 odst. 2 zákona č. 89/2012 Sb., občanský zákoník, v platném znění („</w:t>
      </w:r>
      <w:r>
        <w:rPr>
          <w:b/>
          <w:bCs/>
          <w:lang w:val="cs-CZ" w:eastAsia="cs-CZ"/>
        </w:rPr>
        <w:t>Občanský zákoník</w:t>
      </w:r>
      <w:r w:rsidR="00336E1D">
        <w:rPr>
          <w:lang w:val="cs-CZ" w:eastAsia="cs-CZ"/>
        </w:rPr>
        <w:t>“),</w:t>
      </w:r>
    </w:p>
    <w:p w14:paraId="603D5DD0" w14:textId="77777777" w:rsidR="00FA6A26" w:rsidRPr="00A54987" w:rsidRDefault="00FA6A26" w:rsidP="00A54987">
      <w:pPr>
        <w:jc w:val="center"/>
        <w:rPr>
          <w:lang w:val="cs-CZ" w:eastAsia="cs-CZ"/>
        </w:rPr>
      </w:pPr>
    </w:p>
    <w:p w14:paraId="391019D8" w14:textId="522E5C51" w:rsidR="00CC33C2" w:rsidRPr="00402EC3" w:rsidRDefault="00AB7E9C" w:rsidP="00FB3200">
      <w:pPr>
        <w:spacing w:after="120"/>
        <w:jc w:val="center"/>
        <w:rPr>
          <w:b/>
          <w:lang w:val="cs-CZ"/>
        </w:rPr>
      </w:pPr>
      <w:r w:rsidRPr="00402EC3">
        <w:rPr>
          <w:b/>
          <w:lang w:val="cs-CZ"/>
        </w:rPr>
        <w:t xml:space="preserve">dodatek </w:t>
      </w:r>
      <w:r w:rsidR="00CC33C2" w:rsidRPr="00402EC3">
        <w:rPr>
          <w:b/>
          <w:lang w:val="cs-CZ"/>
        </w:rPr>
        <w:t xml:space="preserve">č. </w:t>
      </w:r>
      <w:r w:rsidR="00402EC3" w:rsidRPr="00402EC3">
        <w:rPr>
          <w:b/>
          <w:lang w:val="cs-CZ"/>
        </w:rPr>
        <w:t>1</w:t>
      </w:r>
    </w:p>
    <w:p w14:paraId="39BC3422" w14:textId="06CD9816" w:rsidR="00AF33BB" w:rsidRPr="00402EC3" w:rsidRDefault="00CC33C2" w:rsidP="00FB3200">
      <w:pPr>
        <w:spacing w:after="120"/>
        <w:jc w:val="center"/>
        <w:rPr>
          <w:b/>
          <w:lang w:val="cs-CZ"/>
        </w:rPr>
      </w:pPr>
      <w:r w:rsidRPr="00402EC3">
        <w:rPr>
          <w:b/>
          <w:lang w:val="cs-CZ"/>
        </w:rPr>
        <w:t xml:space="preserve">k </w:t>
      </w:r>
      <w:r w:rsidR="00C12E6E" w:rsidRPr="00402EC3">
        <w:rPr>
          <w:b/>
          <w:lang w:val="cs-CZ"/>
        </w:rPr>
        <w:t>RÁMCOV</w:t>
      </w:r>
      <w:r w:rsidRPr="00402EC3">
        <w:rPr>
          <w:b/>
          <w:lang w:val="cs-CZ"/>
        </w:rPr>
        <w:t>É</w:t>
      </w:r>
      <w:r w:rsidR="00C12E6E" w:rsidRPr="00402EC3">
        <w:rPr>
          <w:b/>
          <w:lang w:val="cs-CZ"/>
        </w:rPr>
        <w:t xml:space="preserve"> SMLOUV</w:t>
      </w:r>
      <w:r w:rsidRPr="00402EC3">
        <w:rPr>
          <w:b/>
          <w:lang w:val="cs-CZ"/>
        </w:rPr>
        <w:t>Ě</w:t>
      </w:r>
      <w:r w:rsidR="00C12E6E" w:rsidRPr="00402EC3">
        <w:rPr>
          <w:b/>
          <w:lang w:val="cs-CZ"/>
        </w:rPr>
        <w:t xml:space="preserve"> Č. </w:t>
      </w:r>
      <w:r w:rsidR="00402EC3" w:rsidRPr="00402EC3">
        <w:rPr>
          <w:b/>
          <w:lang w:val="cs-CZ"/>
        </w:rPr>
        <w:t>2020005181</w:t>
      </w:r>
    </w:p>
    <w:p w14:paraId="0428CCD4" w14:textId="5A21B49B" w:rsidR="00AF33BB" w:rsidRPr="00402EC3" w:rsidRDefault="00C12E6E">
      <w:pPr>
        <w:spacing w:after="240"/>
        <w:jc w:val="center"/>
        <w:rPr>
          <w:lang w:val="cs-CZ"/>
        </w:rPr>
      </w:pPr>
      <w:r w:rsidRPr="00402EC3">
        <w:rPr>
          <w:lang w:val="cs-CZ"/>
        </w:rPr>
        <w:t xml:space="preserve">ze dne </w:t>
      </w:r>
      <w:r w:rsidR="00402EC3" w:rsidRPr="00402EC3">
        <w:rPr>
          <w:lang w:val="cs-CZ"/>
        </w:rPr>
        <w:t>22.5.2020</w:t>
      </w:r>
    </w:p>
    <w:p w14:paraId="2C4697A4" w14:textId="77777777" w:rsidR="00AF33BB" w:rsidRPr="00402EC3" w:rsidRDefault="00C12E6E">
      <w:pPr>
        <w:spacing w:after="240"/>
        <w:jc w:val="center"/>
        <w:rPr>
          <w:lang w:val="cs-CZ"/>
        </w:rPr>
      </w:pPr>
      <w:r w:rsidRPr="00402EC3">
        <w:rPr>
          <w:lang w:val="cs-CZ"/>
        </w:rPr>
        <w:t>(dále jen „</w:t>
      </w:r>
      <w:r w:rsidR="00CC33C2" w:rsidRPr="00402EC3">
        <w:rPr>
          <w:lang w:val="cs-CZ"/>
        </w:rPr>
        <w:t>Dodatek</w:t>
      </w:r>
      <w:r w:rsidRPr="00402EC3">
        <w:rPr>
          <w:lang w:val="cs-CZ"/>
        </w:rPr>
        <w:t>“)</w:t>
      </w:r>
    </w:p>
    <w:p w14:paraId="2B343204" w14:textId="1EF16EA3" w:rsidR="00AF33BB" w:rsidRPr="00C15F46" w:rsidRDefault="00C12E6E">
      <w:pPr>
        <w:jc w:val="center"/>
        <w:rPr>
          <w:lang w:val="cs-CZ"/>
        </w:rPr>
      </w:pPr>
      <w:r w:rsidRPr="00402EC3">
        <w:rPr>
          <w:lang w:val="cs-CZ"/>
        </w:rPr>
        <w:t>FT/</w:t>
      </w:r>
      <w:r w:rsidR="00402EC3" w:rsidRPr="00402EC3">
        <w:rPr>
          <w:lang w:val="cs-CZ"/>
        </w:rPr>
        <w:t>1734/20/5652</w:t>
      </w:r>
    </w:p>
    <w:p w14:paraId="0C6F8937" w14:textId="77777777" w:rsidR="00AF33BB" w:rsidRPr="00C15F46" w:rsidRDefault="00AF33BB">
      <w:pPr>
        <w:jc w:val="center"/>
        <w:rPr>
          <w:lang w:val="cs-CZ"/>
        </w:rPr>
      </w:pPr>
    </w:p>
    <w:p w14:paraId="2DEFBA94" w14:textId="3E3452AA" w:rsidR="00CC33C2" w:rsidRPr="00C15F46" w:rsidRDefault="00CC33C2" w:rsidP="0050670C">
      <w:pPr>
        <w:jc w:val="both"/>
        <w:rPr>
          <w:b/>
          <w:lang w:val="cs-CZ"/>
        </w:rPr>
      </w:pPr>
      <w:r w:rsidRPr="00C15F46">
        <w:rPr>
          <w:b/>
          <w:lang w:val="cs-CZ"/>
        </w:rPr>
        <w:t xml:space="preserve">Smluvní strany shodně konstatují, že dne </w:t>
      </w:r>
      <w:r w:rsidR="00402EC3">
        <w:rPr>
          <w:b/>
          <w:lang w:val="cs-CZ"/>
        </w:rPr>
        <w:t>22.5.2020</w:t>
      </w:r>
      <w:r w:rsidRPr="00C15F46">
        <w:rPr>
          <w:b/>
          <w:lang w:val="cs-CZ"/>
        </w:rPr>
        <w:t xml:space="preserve"> byla </w:t>
      </w:r>
      <w:r w:rsidR="00261D7F" w:rsidRPr="00C15F46">
        <w:rPr>
          <w:b/>
          <w:lang w:val="cs-CZ"/>
        </w:rPr>
        <w:t xml:space="preserve">mezi nimi </w:t>
      </w:r>
      <w:r w:rsidR="00846037">
        <w:rPr>
          <w:b/>
          <w:lang w:val="cs-CZ"/>
        </w:rPr>
        <w:t xml:space="preserve">uzavřena RÁMCOVÁ SMLOUVA </w:t>
      </w:r>
      <w:r w:rsidRPr="00C15F46">
        <w:rPr>
          <w:b/>
          <w:lang w:val="cs-CZ"/>
        </w:rPr>
        <w:t xml:space="preserve">č. </w:t>
      </w:r>
      <w:r w:rsidR="00402EC3">
        <w:rPr>
          <w:b/>
          <w:lang w:val="cs-CZ"/>
        </w:rPr>
        <w:t>2020005181</w:t>
      </w:r>
      <w:r w:rsidRPr="00C15F46">
        <w:rPr>
          <w:b/>
          <w:lang w:val="cs-CZ"/>
        </w:rPr>
        <w:t xml:space="preserve"> (dále jen „Rámcová smlouva“), která se po dohodě Smluvních</w:t>
      </w:r>
      <w:r w:rsidR="00F74BE8" w:rsidRPr="00C15F46">
        <w:rPr>
          <w:b/>
          <w:lang w:val="cs-CZ"/>
        </w:rPr>
        <w:t xml:space="preserve"> </w:t>
      </w:r>
      <w:r w:rsidRPr="00C15F46">
        <w:rPr>
          <w:b/>
          <w:lang w:val="cs-CZ"/>
        </w:rPr>
        <w:t>stran mění a doplňuje takto:</w:t>
      </w:r>
    </w:p>
    <w:p w14:paraId="60D59110" w14:textId="77777777" w:rsidR="0050670C" w:rsidRPr="00C15F46" w:rsidRDefault="0050670C" w:rsidP="0050670C">
      <w:pPr>
        <w:jc w:val="center"/>
        <w:rPr>
          <w:b/>
          <w:lang w:val="cs-CZ"/>
        </w:rPr>
      </w:pPr>
      <w:r w:rsidRPr="00C15F46">
        <w:rPr>
          <w:b/>
          <w:lang w:val="cs-CZ"/>
        </w:rPr>
        <w:t>I.</w:t>
      </w:r>
    </w:p>
    <w:p w14:paraId="011F9C97" w14:textId="77777777" w:rsidR="000A3E9D" w:rsidRDefault="000A3E9D" w:rsidP="00CB1BCC">
      <w:pPr>
        <w:jc w:val="both"/>
        <w:rPr>
          <w:szCs w:val="22"/>
          <w:lang w:val="cs-CZ"/>
        </w:rPr>
      </w:pPr>
    </w:p>
    <w:p w14:paraId="49DF5549" w14:textId="02C945FD" w:rsidR="00563F15" w:rsidRPr="00563F15" w:rsidRDefault="00563F15" w:rsidP="00563F15">
      <w:pPr>
        <w:jc w:val="both"/>
        <w:rPr>
          <w:szCs w:val="22"/>
          <w:lang w:val="cs-CZ"/>
        </w:rPr>
      </w:pPr>
      <w:r w:rsidRPr="00563F15">
        <w:rPr>
          <w:szCs w:val="22"/>
          <w:lang w:val="cs-CZ"/>
        </w:rPr>
        <w:t xml:space="preserve">1) </w:t>
      </w:r>
      <w:r w:rsidRPr="00563F15">
        <w:rPr>
          <w:szCs w:val="22"/>
          <w:lang w:val="cs-CZ"/>
        </w:rPr>
        <w:tab/>
        <w:t>V článku II. (</w:t>
      </w:r>
      <w:r w:rsidRPr="00563F15">
        <w:rPr>
          <w:b/>
          <w:szCs w:val="22"/>
          <w:u w:val="single"/>
          <w:lang w:val="cs-CZ"/>
        </w:rPr>
        <w:t>Konfirmace; Transakce</w:t>
      </w:r>
      <w:r w:rsidRPr="00563F15">
        <w:rPr>
          <w:szCs w:val="22"/>
          <w:lang w:val="cs-CZ"/>
        </w:rPr>
        <w:t>) Rámcové smlouvy se mění odstav</w:t>
      </w:r>
      <w:r>
        <w:rPr>
          <w:szCs w:val="22"/>
          <w:lang w:val="cs-CZ"/>
        </w:rPr>
        <w:t>ec</w:t>
      </w:r>
      <w:r w:rsidRPr="00563F15">
        <w:rPr>
          <w:szCs w:val="22"/>
          <w:lang w:val="cs-CZ"/>
        </w:rPr>
        <w:t xml:space="preserve"> </w:t>
      </w:r>
      <w:r>
        <w:rPr>
          <w:szCs w:val="22"/>
          <w:lang w:val="cs-CZ"/>
        </w:rPr>
        <w:t>3</w:t>
      </w:r>
      <w:r w:rsidRPr="00563F15">
        <w:rPr>
          <w:szCs w:val="22"/>
          <w:lang w:val="cs-CZ"/>
        </w:rPr>
        <w:t>), kter</w:t>
      </w:r>
      <w:r>
        <w:rPr>
          <w:szCs w:val="22"/>
          <w:lang w:val="cs-CZ"/>
        </w:rPr>
        <w:t>ý</w:t>
      </w:r>
      <w:r w:rsidRPr="00563F15">
        <w:rPr>
          <w:szCs w:val="22"/>
          <w:lang w:val="cs-CZ"/>
        </w:rPr>
        <w:t xml:space="preserve"> nově zní takto:</w:t>
      </w:r>
    </w:p>
    <w:p w14:paraId="0D0315AA" w14:textId="0AB53D16" w:rsidR="00563F15" w:rsidRPr="00563F15" w:rsidRDefault="00563F15" w:rsidP="00336E1D">
      <w:pPr>
        <w:pStyle w:val="Odstavecseseznamem"/>
        <w:numPr>
          <w:ilvl w:val="0"/>
          <w:numId w:val="24"/>
        </w:numPr>
        <w:ind w:left="1134" w:hanging="567"/>
        <w:jc w:val="both"/>
        <w:rPr>
          <w:szCs w:val="22"/>
          <w:lang w:val="cs-CZ"/>
        </w:rPr>
      </w:pPr>
      <w:r w:rsidRPr="00563F15">
        <w:rPr>
          <w:b/>
          <w:bCs/>
          <w:szCs w:val="22"/>
          <w:u w:val="single"/>
          <w:lang w:val="cs-CZ"/>
        </w:rPr>
        <w:t>Příkaz</w:t>
      </w:r>
      <w:r w:rsidRPr="00563F15">
        <w:rPr>
          <w:szCs w:val="22"/>
          <w:lang w:val="cs-CZ"/>
        </w:rPr>
        <w:t>. Namísto Výzvy může Klient předat Bance příkaz („</w:t>
      </w:r>
      <w:r w:rsidRPr="00563F15">
        <w:rPr>
          <w:b/>
          <w:bCs/>
          <w:szCs w:val="22"/>
          <w:lang w:val="cs-CZ"/>
        </w:rPr>
        <w:t>Příkaz</w:t>
      </w:r>
      <w:r w:rsidRPr="00563F15">
        <w:rPr>
          <w:szCs w:val="22"/>
          <w:lang w:val="cs-CZ"/>
        </w:rPr>
        <w:t>“), není-li v Rámcové smlouvě sjednáno jinak, v ústní formě (prostřednictvím telefonu), v písemné formě (prostřednictvím faxu nebo osobně, ale nikoliv poštou), ve kterém stanoví odkládací podmínky uzavření Transakce. Banka je oprávněna Příkaz odmítnout. Banka bude sledovat splnění podmínek stanovených v Příkazu na finančním trhu po dobu uvedenou v Příkazu a v případě, že budou podmínky splněny, splní Banka Příkaz.</w:t>
      </w:r>
    </w:p>
    <w:p w14:paraId="4A62CB76" w14:textId="77777777" w:rsidR="00563F15" w:rsidRPr="00C15F46" w:rsidRDefault="00563F15" w:rsidP="00CB1BCC">
      <w:pPr>
        <w:jc w:val="both"/>
        <w:rPr>
          <w:szCs w:val="22"/>
          <w:lang w:val="cs-CZ"/>
        </w:rPr>
      </w:pPr>
    </w:p>
    <w:p w14:paraId="34C70B0C" w14:textId="6DC891AD" w:rsidR="000A3E9D" w:rsidRPr="00C15F46" w:rsidRDefault="00563F15" w:rsidP="00C15F46">
      <w:pPr>
        <w:tabs>
          <w:tab w:val="left" w:pos="567"/>
        </w:tabs>
        <w:ind w:left="567" w:hanging="567"/>
        <w:jc w:val="both"/>
        <w:rPr>
          <w:szCs w:val="22"/>
          <w:lang w:val="cs-CZ"/>
        </w:rPr>
      </w:pPr>
      <w:r>
        <w:rPr>
          <w:szCs w:val="22"/>
          <w:lang w:val="cs-CZ"/>
        </w:rPr>
        <w:t>2</w:t>
      </w:r>
      <w:r w:rsidR="000A3E9D" w:rsidRPr="00C15F46">
        <w:rPr>
          <w:szCs w:val="22"/>
          <w:lang w:val="cs-CZ"/>
        </w:rPr>
        <w:t xml:space="preserve">) </w:t>
      </w:r>
      <w:r w:rsidR="000A3E9D" w:rsidRPr="00C15F46">
        <w:rPr>
          <w:szCs w:val="22"/>
          <w:lang w:val="cs-CZ"/>
        </w:rPr>
        <w:tab/>
        <w:t>V článku II</w:t>
      </w:r>
      <w:r w:rsidR="003D4DB1">
        <w:rPr>
          <w:szCs w:val="22"/>
          <w:lang w:val="cs-CZ"/>
        </w:rPr>
        <w:t>.</w:t>
      </w:r>
      <w:r w:rsidR="000A3E9D" w:rsidRPr="00C15F46">
        <w:rPr>
          <w:szCs w:val="22"/>
          <w:lang w:val="cs-CZ"/>
        </w:rPr>
        <w:t xml:space="preserve"> (</w:t>
      </w:r>
      <w:r w:rsidR="000A3E9D" w:rsidRPr="00402EC3">
        <w:rPr>
          <w:b/>
          <w:szCs w:val="22"/>
          <w:u w:val="single"/>
          <w:lang w:val="cs-CZ"/>
        </w:rPr>
        <w:t>Konfirmace; Transakce</w:t>
      </w:r>
      <w:r w:rsidR="000A3E9D" w:rsidRPr="00C15F46">
        <w:rPr>
          <w:szCs w:val="22"/>
          <w:lang w:val="cs-CZ"/>
        </w:rPr>
        <w:t xml:space="preserve">) Rámcové smlouvy se mění </w:t>
      </w:r>
      <w:r w:rsidR="00DC6D3D">
        <w:rPr>
          <w:szCs w:val="22"/>
          <w:lang w:val="cs-CZ"/>
        </w:rPr>
        <w:t xml:space="preserve">v </w:t>
      </w:r>
      <w:r w:rsidR="00402EC3">
        <w:rPr>
          <w:szCs w:val="22"/>
          <w:lang w:val="cs-CZ"/>
        </w:rPr>
        <w:t>odstav</w:t>
      </w:r>
      <w:r w:rsidR="00DC6D3D">
        <w:rPr>
          <w:szCs w:val="22"/>
          <w:lang w:val="cs-CZ"/>
        </w:rPr>
        <w:t>ci</w:t>
      </w:r>
      <w:r w:rsidR="00402EC3">
        <w:rPr>
          <w:szCs w:val="22"/>
          <w:lang w:val="cs-CZ"/>
        </w:rPr>
        <w:t xml:space="preserve"> </w:t>
      </w:r>
      <w:r w:rsidR="000A3E9D" w:rsidRPr="00C15F46">
        <w:rPr>
          <w:szCs w:val="22"/>
          <w:lang w:val="cs-CZ"/>
        </w:rPr>
        <w:t>7</w:t>
      </w:r>
      <w:r w:rsidR="00DC6D3D">
        <w:rPr>
          <w:szCs w:val="22"/>
          <w:lang w:val="cs-CZ"/>
        </w:rPr>
        <w:t>)</w:t>
      </w:r>
      <w:r w:rsidR="000A3E9D" w:rsidRPr="00C15F46">
        <w:rPr>
          <w:szCs w:val="22"/>
          <w:lang w:val="cs-CZ"/>
        </w:rPr>
        <w:t xml:space="preserve">, </w:t>
      </w:r>
      <w:r w:rsidR="000A3E9D" w:rsidRPr="00456AC6">
        <w:rPr>
          <w:szCs w:val="22"/>
          <w:lang w:val="cs-CZ"/>
        </w:rPr>
        <w:t xml:space="preserve">písmeno </w:t>
      </w:r>
      <w:r w:rsidR="006C74FD" w:rsidRPr="00456AC6">
        <w:rPr>
          <w:szCs w:val="22"/>
          <w:lang w:val="cs-CZ"/>
        </w:rPr>
        <w:t>d</w:t>
      </w:r>
      <w:r w:rsidR="000A3E9D" w:rsidRPr="00456AC6">
        <w:rPr>
          <w:szCs w:val="22"/>
          <w:lang w:val="cs-CZ"/>
        </w:rPr>
        <w:t>), které</w:t>
      </w:r>
      <w:r w:rsidR="000A3E9D" w:rsidRPr="00C15F46">
        <w:rPr>
          <w:szCs w:val="22"/>
          <w:lang w:val="cs-CZ"/>
        </w:rPr>
        <w:t xml:space="preserve"> nově zn</w:t>
      </w:r>
      <w:r w:rsidR="00CB1BCC">
        <w:rPr>
          <w:szCs w:val="22"/>
          <w:lang w:val="cs-CZ"/>
        </w:rPr>
        <w:t>í</w:t>
      </w:r>
      <w:r w:rsidR="000A3E9D" w:rsidRPr="00C15F46">
        <w:rPr>
          <w:szCs w:val="22"/>
          <w:lang w:val="cs-CZ"/>
        </w:rPr>
        <w:t xml:space="preserve"> takto</w:t>
      </w:r>
      <w:r w:rsidR="000A3E9D" w:rsidRPr="006C74FD">
        <w:rPr>
          <w:szCs w:val="22"/>
          <w:lang w:val="cs-CZ"/>
        </w:rPr>
        <w:t>:</w:t>
      </w:r>
    </w:p>
    <w:p w14:paraId="52FF9C0F" w14:textId="698F0C17" w:rsidR="000A3E9D" w:rsidRPr="00C15F46" w:rsidRDefault="006C74FD" w:rsidP="006C74FD">
      <w:pPr>
        <w:ind w:left="1134" w:hanging="567"/>
        <w:jc w:val="both"/>
        <w:rPr>
          <w:szCs w:val="22"/>
          <w:lang w:val="cs-CZ"/>
        </w:rPr>
      </w:pPr>
      <w:r w:rsidRPr="00456AC6">
        <w:rPr>
          <w:szCs w:val="22"/>
          <w:lang w:val="cs-CZ"/>
        </w:rPr>
        <w:t>d)</w:t>
      </w:r>
      <w:r>
        <w:rPr>
          <w:szCs w:val="22"/>
          <w:lang w:val="cs-CZ"/>
        </w:rPr>
        <w:tab/>
      </w:r>
      <w:r w:rsidR="000A3E9D" w:rsidRPr="006C74FD">
        <w:rPr>
          <w:szCs w:val="22"/>
          <w:lang w:val="cs-CZ"/>
        </w:rPr>
        <w:t>J</w:t>
      </w:r>
      <w:r w:rsidR="000A3E9D" w:rsidRPr="00C15F46">
        <w:rPr>
          <w:szCs w:val="22"/>
          <w:lang w:val="cs-CZ"/>
        </w:rPr>
        <w:t xml:space="preserve">ako </w:t>
      </w:r>
      <w:r w:rsidR="000A3E9D" w:rsidRPr="00264544">
        <w:rPr>
          <w:szCs w:val="22"/>
          <w:lang w:val="cs-CZ"/>
        </w:rPr>
        <w:t xml:space="preserve">Příloha </w:t>
      </w:r>
      <w:r w:rsidR="00355C32">
        <w:rPr>
          <w:szCs w:val="22"/>
          <w:lang w:val="cs-CZ"/>
        </w:rPr>
        <w:t>č. 8</w:t>
      </w:r>
      <w:r w:rsidR="000A3E9D" w:rsidRPr="00264544">
        <w:rPr>
          <w:szCs w:val="22"/>
          <w:lang w:val="cs-CZ"/>
        </w:rPr>
        <w:t xml:space="preserve"> k Rámcové smlouvě, resp. Příloha </w:t>
      </w:r>
      <w:r w:rsidR="00355C32">
        <w:rPr>
          <w:szCs w:val="22"/>
          <w:lang w:val="cs-CZ"/>
        </w:rPr>
        <w:t>č. 11</w:t>
      </w:r>
      <w:r w:rsidR="000A3E9D" w:rsidRPr="00264544">
        <w:rPr>
          <w:szCs w:val="22"/>
          <w:lang w:val="cs-CZ"/>
        </w:rPr>
        <w:t xml:space="preserve"> k Rámcové</w:t>
      </w:r>
      <w:r w:rsidR="000A3E9D" w:rsidRPr="00C15F46">
        <w:rPr>
          <w:szCs w:val="22"/>
          <w:lang w:val="cs-CZ"/>
        </w:rPr>
        <w:t xml:space="preserve"> smlouvě (v případě sjednávání Transakcí prostřednictvím vybraných služeb elektronického bankovnictví Banky) je přiložen seznam osob pověřených Klientem uzavírat Transakce, který je platný až do jeho zrušení nebo změny písemným oznámením Bance. Seznam osob pověřených Bankou uzavírat Transakce byl Klientovi předán v den uzavření Rámcové smlouvy a Klient jeho převzetí podpisem této Rámcové smlouvy potvrzuje, přičemž Smluvní strany sjednávají způsob aktualizace tohoto seznamu osob pověřených Bankou formou publikování aktuálního seznamu na internetové adrese Banky: </w:t>
      </w:r>
      <w:r w:rsidR="000A3E9D" w:rsidRPr="00C15F46">
        <w:rPr>
          <w:szCs w:val="22"/>
          <w:u w:val="single"/>
          <w:lang w:val="cs-CZ"/>
        </w:rPr>
        <w:lastRenderedPageBreak/>
        <w:t>http://www.csob.cz/seznamdealeru</w:t>
      </w:r>
      <w:r w:rsidR="000A3E9D" w:rsidRPr="00C15F46">
        <w:rPr>
          <w:szCs w:val="22"/>
          <w:lang w:val="cs-CZ"/>
        </w:rPr>
        <w:t xml:space="preserve">. Banka může spoléhat na to, že Výzva a/nebo Příkaz byl učiněn pověřenou osobou/osobami Klienta, pokud neobdržela od Klienta písemné vyrozumění o zrušení pověření dosud pověřené osoby uzavírat Transakce podle Rámcové smlouvy nejméně 2 pracovní dny předem. V případě provedení neautorizované Transakce osobou, která byla uvedena v Příloze </w:t>
      </w:r>
      <w:r w:rsidR="00355C32">
        <w:rPr>
          <w:szCs w:val="22"/>
          <w:lang w:val="cs-CZ"/>
        </w:rPr>
        <w:t>č. 11</w:t>
      </w:r>
      <w:r w:rsidR="000A3E9D" w:rsidRPr="00C15F46">
        <w:rPr>
          <w:szCs w:val="22"/>
          <w:lang w:val="cs-CZ"/>
        </w:rPr>
        <w:t xml:space="preserve"> k Rámcové smlouvě jako osoba pověřená uzavírat Transakce za Klienta, jejíž pověření nebylo zrušeno v souladu s Rámcovou smlouvou, nese za takovou neautorizovanou Transakci odpovědnost Klient. Každá Smluvní strana přijme taková opatření, aby bylo zabráněno zneužití seznamu pověřených osob.</w:t>
      </w:r>
    </w:p>
    <w:p w14:paraId="3312C27B" w14:textId="77777777" w:rsidR="000A3E9D" w:rsidRPr="00C15F46" w:rsidRDefault="000A3E9D" w:rsidP="000A3E9D">
      <w:pPr>
        <w:jc w:val="both"/>
        <w:rPr>
          <w:szCs w:val="22"/>
          <w:lang w:val="cs-CZ"/>
        </w:rPr>
      </w:pPr>
    </w:p>
    <w:p w14:paraId="71BBAE5D" w14:textId="31809225" w:rsidR="000A3E9D" w:rsidRPr="00C15F46" w:rsidRDefault="00563F15" w:rsidP="00CB1BCC">
      <w:pPr>
        <w:tabs>
          <w:tab w:val="left" w:pos="567"/>
        </w:tabs>
        <w:ind w:left="567" w:hanging="567"/>
        <w:jc w:val="both"/>
        <w:rPr>
          <w:szCs w:val="22"/>
          <w:lang w:val="cs-CZ"/>
        </w:rPr>
      </w:pPr>
      <w:r>
        <w:rPr>
          <w:szCs w:val="22"/>
          <w:lang w:val="cs-CZ"/>
        </w:rPr>
        <w:t>3</w:t>
      </w:r>
      <w:r w:rsidR="000A3E9D" w:rsidRPr="00C15F46">
        <w:rPr>
          <w:szCs w:val="22"/>
          <w:lang w:val="cs-CZ"/>
        </w:rPr>
        <w:t xml:space="preserve">) </w:t>
      </w:r>
      <w:r w:rsidR="000A3E9D" w:rsidRPr="00C15F46">
        <w:rPr>
          <w:szCs w:val="22"/>
          <w:lang w:val="cs-CZ"/>
        </w:rPr>
        <w:tab/>
        <w:t>V článku II</w:t>
      </w:r>
      <w:r w:rsidR="003D4DB1">
        <w:rPr>
          <w:szCs w:val="22"/>
          <w:lang w:val="cs-CZ"/>
        </w:rPr>
        <w:t>.</w:t>
      </w:r>
      <w:r w:rsidR="000A3E9D" w:rsidRPr="00C15F46">
        <w:rPr>
          <w:szCs w:val="22"/>
          <w:lang w:val="cs-CZ"/>
        </w:rPr>
        <w:t xml:space="preserve"> (</w:t>
      </w:r>
      <w:r w:rsidR="000A3E9D" w:rsidRPr="00456AC6">
        <w:rPr>
          <w:b/>
          <w:szCs w:val="22"/>
          <w:u w:val="single"/>
          <w:lang w:val="cs-CZ"/>
        </w:rPr>
        <w:t>Konfirmace; Transakce</w:t>
      </w:r>
      <w:r w:rsidR="000A3E9D" w:rsidRPr="00C15F46">
        <w:rPr>
          <w:szCs w:val="22"/>
          <w:lang w:val="cs-CZ"/>
        </w:rPr>
        <w:t xml:space="preserve">) Rámcové smlouvy se doplňuje </w:t>
      </w:r>
      <w:r w:rsidR="00456AC6">
        <w:rPr>
          <w:szCs w:val="22"/>
          <w:lang w:val="cs-CZ"/>
        </w:rPr>
        <w:t>odstavec 13</w:t>
      </w:r>
      <w:r w:rsidR="00DC6D3D">
        <w:rPr>
          <w:szCs w:val="22"/>
          <w:lang w:val="cs-CZ"/>
        </w:rPr>
        <w:t>)</w:t>
      </w:r>
      <w:r w:rsidR="00456AC6">
        <w:rPr>
          <w:szCs w:val="22"/>
          <w:lang w:val="cs-CZ"/>
        </w:rPr>
        <w:t>, který</w:t>
      </w:r>
      <w:r w:rsidR="000A3E9D" w:rsidRPr="00C15F46">
        <w:rPr>
          <w:szCs w:val="22"/>
          <w:lang w:val="cs-CZ"/>
        </w:rPr>
        <w:t xml:space="preserve"> zní takto:</w:t>
      </w:r>
    </w:p>
    <w:p w14:paraId="481D2324" w14:textId="06132C28" w:rsidR="000A3E9D" w:rsidRDefault="000A3E9D" w:rsidP="00DC6D3D">
      <w:pPr>
        <w:pStyle w:val="Odstavecseseznamem"/>
        <w:numPr>
          <w:ilvl w:val="0"/>
          <w:numId w:val="22"/>
        </w:numPr>
        <w:ind w:left="1134" w:hanging="567"/>
        <w:contextualSpacing/>
        <w:jc w:val="both"/>
        <w:rPr>
          <w:szCs w:val="22"/>
          <w:lang w:val="cs-CZ"/>
        </w:rPr>
      </w:pPr>
      <w:r w:rsidRPr="00DC6D3D">
        <w:rPr>
          <w:b/>
          <w:szCs w:val="22"/>
          <w:u w:val="single"/>
          <w:lang w:val="cs-CZ"/>
        </w:rPr>
        <w:t>Uzavírání některých Transakcí prostřednictvím vybraných služeb elektronického bankovnictví Banky.</w:t>
      </w:r>
      <w:r w:rsidRPr="00DC6D3D">
        <w:rPr>
          <w:szCs w:val="22"/>
          <w:lang w:val="cs-CZ"/>
        </w:rPr>
        <w:t xml:space="preserve"> Prostřednictvím vybraných služeb elektronického bankovnictví Banky lze uzavírat Transakce, které jsou (i) devizovou transakcí, tj. promptním devizovým obchodem (spot) nebo termínovým devizovým obchodem (forward) nebo (ii) měnovým swapem, jak jsou definovány v Příloze I Rámcové smlouvy. Za osobu pověřenou Klientem uzavírat Transakce podle tohoto </w:t>
      </w:r>
      <w:r w:rsidR="00456AC6" w:rsidRPr="00DC6D3D">
        <w:rPr>
          <w:szCs w:val="22"/>
          <w:lang w:val="cs-CZ"/>
        </w:rPr>
        <w:t>odstavce</w:t>
      </w:r>
      <w:r w:rsidRPr="00DC6D3D">
        <w:rPr>
          <w:szCs w:val="22"/>
          <w:lang w:val="cs-CZ"/>
        </w:rPr>
        <w:t xml:space="preserve"> 1</w:t>
      </w:r>
      <w:r w:rsidR="00456AC6" w:rsidRPr="00DC6D3D">
        <w:rPr>
          <w:szCs w:val="22"/>
          <w:lang w:val="cs-CZ"/>
        </w:rPr>
        <w:t>3</w:t>
      </w:r>
      <w:r w:rsidR="00355C32">
        <w:rPr>
          <w:szCs w:val="22"/>
          <w:lang w:val="cs-CZ"/>
        </w:rPr>
        <w:t>)</w:t>
      </w:r>
      <w:r w:rsidRPr="00DC6D3D">
        <w:rPr>
          <w:szCs w:val="22"/>
          <w:lang w:val="cs-CZ"/>
        </w:rPr>
        <w:t xml:space="preserve"> bude Banka považovat vždy osobu, která se přihlásí pod přiděleným přístupovým kódem. Banka dále neověřuje totožnost osob, které se přihlásí pod přiděleným přístupovým kódem, ani neodpovídá za případné zneužití těchto přístupových kódů. Klient přijme taková opatření, aby bylo zabráněno zneužití seznamu pověřených osob a přístupových kódů. Způsob/podmínky sjednávání Transakcí uvedených v tomto </w:t>
      </w:r>
      <w:r w:rsidR="00456AC6" w:rsidRPr="00DC6D3D">
        <w:rPr>
          <w:szCs w:val="22"/>
          <w:lang w:val="cs-CZ"/>
        </w:rPr>
        <w:t>odstavci</w:t>
      </w:r>
      <w:r w:rsidRPr="00DC6D3D">
        <w:rPr>
          <w:szCs w:val="22"/>
          <w:lang w:val="cs-CZ"/>
        </w:rPr>
        <w:t xml:space="preserve"> 1</w:t>
      </w:r>
      <w:r w:rsidR="00456AC6" w:rsidRPr="00DC6D3D">
        <w:rPr>
          <w:szCs w:val="22"/>
          <w:lang w:val="cs-CZ"/>
        </w:rPr>
        <w:t>3</w:t>
      </w:r>
      <w:r w:rsidR="00355C32">
        <w:rPr>
          <w:szCs w:val="22"/>
          <w:lang w:val="cs-CZ"/>
        </w:rPr>
        <w:t>)</w:t>
      </w:r>
      <w:r w:rsidRPr="00DC6D3D">
        <w:rPr>
          <w:szCs w:val="22"/>
          <w:lang w:val="cs-CZ"/>
        </w:rPr>
        <w:t xml:space="preserve"> prostřednictvím vybraných služeb elektronického bankovnictví Banky je popsán/jsou stanoveny v Příloze </w:t>
      </w:r>
      <w:r w:rsidR="00355C32">
        <w:rPr>
          <w:szCs w:val="22"/>
          <w:lang w:val="cs-CZ"/>
        </w:rPr>
        <w:t>č.10</w:t>
      </w:r>
      <w:r w:rsidR="00E43C59" w:rsidRPr="00DC6D3D">
        <w:rPr>
          <w:szCs w:val="22"/>
          <w:lang w:val="cs-CZ"/>
        </w:rPr>
        <w:t>.</w:t>
      </w:r>
      <w:r w:rsidRPr="00DC6D3D">
        <w:rPr>
          <w:szCs w:val="22"/>
          <w:lang w:val="cs-CZ"/>
        </w:rPr>
        <w:t>Rámcové smlouvy.</w:t>
      </w:r>
    </w:p>
    <w:p w14:paraId="53D648A1" w14:textId="77777777" w:rsidR="00336E1D" w:rsidRPr="00DC6D3D" w:rsidRDefault="00336E1D" w:rsidP="00336E1D">
      <w:pPr>
        <w:pStyle w:val="Odstavecseseznamem"/>
        <w:ind w:left="1134"/>
        <w:contextualSpacing/>
        <w:jc w:val="both"/>
        <w:rPr>
          <w:szCs w:val="22"/>
          <w:lang w:val="cs-CZ"/>
        </w:rPr>
      </w:pPr>
    </w:p>
    <w:p w14:paraId="68D0CD47" w14:textId="6469C45A" w:rsidR="00264544" w:rsidRDefault="00563F15" w:rsidP="00264544">
      <w:pPr>
        <w:tabs>
          <w:tab w:val="left" w:pos="567"/>
        </w:tabs>
        <w:ind w:left="567" w:hanging="567"/>
        <w:jc w:val="both"/>
        <w:rPr>
          <w:szCs w:val="22"/>
          <w:lang w:val="cs-CZ"/>
        </w:rPr>
      </w:pPr>
      <w:r>
        <w:rPr>
          <w:szCs w:val="22"/>
          <w:lang w:val="cs-CZ"/>
        </w:rPr>
        <w:t>4</w:t>
      </w:r>
      <w:r w:rsidR="00264544" w:rsidRPr="00264544">
        <w:rPr>
          <w:szCs w:val="22"/>
          <w:lang w:val="cs-CZ"/>
        </w:rPr>
        <w:t xml:space="preserve">) </w:t>
      </w:r>
      <w:r w:rsidR="00264544">
        <w:rPr>
          <w:szCs w:val="22"/>
          <w:lang w:val="cs-CZ"/>
        </w:rPr>
        <w:t xml:space="preserve">     </w:t>
      </w:r>
      <w:r w:rsidR="00264544" w:rsidRPr="00C15F46">
        <w:rPr>
          <w:szCs w:val="22"/>
          <w:lang w:val="cs-CZ"/>
        </w:rPr>
        <w:t xml:space="preserve">V článku </w:t>
      </w:r>
      <w:r w:rsidR="00264544">
        <w:rPr>
          <w:szCs w:val="22"/>
          <w:lang w:val="cs-CZ"/>
        </w:rPr>
        <w:t>XI</w:t>
      </w:r>
      <w:r w:rsidR="00264544" w:rsidRPr="00C15F46">
        <w:rPr>
          <w:szCs w:val="22"/>
          <w:lang w:val="cs-CZ"/>
        </w:rPr>
        <w:t>II</w:t>
      </w:r>
      <w:r w:rsidR="003D4DB1">
        <w:rPr>
          <w:szCs w:val="22"/>
          <w:lang w:val="cs-CZ"/>
        </w:rPr>
        <w:t>.</w:t>
      </w:r>
      <w:r w:rsidR="00264544" w:rsidRPr="00C15F46">
        <w:rPr>
          <w:szCs w:val="22"/>
          <w:lang w:val="cs-CZ"/>
        </w:rPr>
        <w:t xml:space="preserve"> (</w:t>
      </w:r>
      <w:r w:rsidR="00264544" w:rsidRPr="00264544">
        <w:rPr>
          <w:b/>
          <w:szCs w:val="22"/>
          <w:u w:val="single"/>
          <w:lang w:val="cs-CZ"/>
        </w:rPr>
        <w:t>Závěrečná ustanovení</w:t>
      </w:r>
      <w:r w:rsidR="00264544" w:rsidRPr="00C15F46">
        <w:rPr>
          <w:szCs w:val="22"/>
          <w:lang w:val="cs-CZ"/>
        </w:rPr>
        <w:t xml:space="preserve">) Rámcové smlouvy se mění </w:t>
      </w:r>
      <w:r w:rsidR="00264544">
        <w:rPr>
          <w:szCs w:val="22"/>
          <w:lang w:val="cs-CZ"/>
        </w:rPr>
        <w:t>odstavec 1</w:t>
      </w:r>
      <w:r w:rsidR="00264544" w:rsidRPr="00C15F46">
        <w:rPr>
          <w:szCs w:val="22"/>
          <w:lang w:val="cs-CZ"/>
        </w:rPr>
        <w:t>7</w:t>
      </w:r>
      <w:r w:rsidR="00355C32">
        <w:rPr>
          <w:szCs w:val="22"/>
          <w:lang w:val="cs-CZ"/>
        </w:rPr>
        <w:t>)</w:t>
      </w:r>
      <w:r w:rsidR="00264544" w:rsidRPr="00C15F46">
        <w:rPr>
          <w:szCs w:val="22"/>
          <w:lang w:val="cs-CZ"/>
        </w:rPr>
        <w:t xml:space="preserve">, </w:t>
      </w:r>
      <w:r w:rsidR="00264544" w:rsidRPr="00456AC6">
        <w:rPr>
          <w:szCs w:val="22"/>
          <w:lang w:val="cs-CZ"/>
        </w:rPr>
        <w:t xml:space="preserve"> kter</w:t>
      </w:r>
      <w:r w:rsidR="00264544">
        <w:rPr>
          <w:szCs w:val="22"/>
          <w:lang w:val="cs-CZ"/>
        </w:rPr>
        <w:t>ý</w:t>
      </w:r>
      <w:r w:rsidR="00264544" w:rsidRPr="00C15F46">
        <w:rPr>
          <w:szCs w:val="22"/>
          <w:lang w:val="cs-CZ"/>
        </w:rPr>
        <w:t xml:space="preserve"> nově zn</w:t>
      </w:r>
      <w:r w:rsidR="00264544">
        <w:rPr>
          <w:szCs w:val="22"/>
          <w:lang w:val="cs-CZ"/>
        </w:rPr>
        <w:t>í</w:t>
      </w:r>
      <w:r w:rsidR="00264544" w:rsidRPr="00C15F46">
        <w:rPr>
          <w:szCs w:val="22"/>
          <w:lang w:val="cs-CZ"/>
        </w:rPr>
        <w:t xml:space="preserve"> takto</w:t>
      </w:r>
      <w:r w:rsidR="00264544" w:rsidRPr="006C74FD">
        <w:rPr>
          <w:szCs w:val="22"/>
          <w:lang w:val="cs-CZ"/>
        </w:rPr>
        <w:t>:</w:t>
      </w:r>
    </w:p>
    <w:p w14:paraId="67E2FC93" w14:textId="77777777" w:rsidR="00264544" w:rsidRPr="00264544" w:rsidRDefault="00264544" w:rsidP="00264544">
      <w:pPr>
        <w:tabs>
          <w:tab w:val="left" w:pos="1276"/>
        </w:tabs>
        <w:ind w:left="1134" w:hanging="567"/>
        <w:jc w:val="both"/>
        <w:rPr>
          <w:szCs w:val="22"/>
          <w:lang w:val="cs-CZ"/>
        </w:rPr>
      </w:pPr>
      <w:r w:rsidRPr="00264544">
        <w:rPr>
          <w:szCs w:val="22"/>
          <w:lang w:val="cs-CZ"/>
        </w:rPr>
        <w:t>17)</w:t>
      </w:r>
      <w:r w:rsidRPr="00264544">
        <w:rPr>
          <w:szCs w:val="22"/>
          <w:lang w:val="cs-CZ"/>
        </w:rPr>
        <w:tab/>
        <w:t>Vypořádání Transakcí. Seznam účtů. Smluvní strany sjednávají, že budou-li Transakce určeny k vypořádání Account-Account, budou automaticky vypořádávány (zaúčtovány) Bankou bez dalšího následného pokynu Klienta a za podmínky, že nebude v příslušném telefonickém hovoru při uzavírání Transakce sjednáno jinak, mezi níže uvedenými účty Klienta pro jednotlivé měny, Klient uděluje Bance souhlas k inkasu příslušných peněžních částek z níže uvedených účtů pro jednotlivé měny, přičemž se Klient zavazuje zabezpečit dostatek peněžních prostředků na těchto účtech:</w:t>
      </w:r>
    </w:p>
    <w:p w14:paraId="19877C25" w14:textId="2CD93289" w:rsidR="00264544" w:rsidRDefault="00D062D0" w:rsidP="00264544">
      <w:pPr>
        <w:tabs>
          <w:tab w:val="left" w:pos="1276"/>
        </w:tabs>
        <w:ind w:left="993" w:firstLine="142"/>
        <w:jc w:val="both"/>
        <w:rPr>
          <w:szCs w:val="22"/>
          <w:lang w:val="cs-CZ"/>
        </w:rPr>
      </w:pPr>
      <w:r>
        <w:rPr>
          <w:szCs w:val="22"/>
          <w:lang w:val="cs-CZ"/>
        </w:rPr>
        <w:t>a)</w:t>
      </w:r>
      <w:r>
        <w:rPr>
          <w:szCs w:val="22"/>
          <w:lang w:val="cs-CZ"/>
        </w:rPr>
        <w:tab/>
        <w:t xml:space="preserve">č. účtu </w:t>
      </w:r>
      <w:r w:rsidR="0001761A">
        <w:rPr>
          <w:szCs w:val="22"/>
          <w:lang w:val="cs-CZ"/>
        </w:rPr>
        <w:t>xxxxxxxxxxxxxx</w:t>
      </w:r>
    </w:p>
    <w:p w14:paraId="4EC1C5CE" w14:textId="7A065DC1" w:rsidR="00264544" w:rsidRPr="00C15F46" w:rsidRDefault="00264544" w:rsidP="00264544">
      <w:pPr>
        <w:tabs>
          <w:tab w:val="left" w:pos="1276"/>
        </w:tabs>
        <w:ind w:left="993" w:firstLine="142"/>
        <w:jc w:val="both"/>
        <w:rPr>
          <w:szCs w:val="22"/>
          <w:lang w:val="cs-CZ"/>
        </w:rPr>
      </w:pPr>
      <w:r>
        <w:rPr>
          <w:szCs w:val="22"/>
          <w:lang w:val="cs-CZ"/>
        </w:rPr>
        <w:t xml:space="preserve">b)  č. účtu </w:t>
      </w:r>
      <w:r w:rsidR="0001761A">
        <w:rPr>
          <w:szCs w:val="22"/>
          <w:lang w:val="cs-CZ"/>
        </w:rPr>
        <w:t>xxxxxxxxxxxxxx</w:t>
      </w:r>
    </w:p>
    <w:p w14:paraId="20D9F193" w14:textId="77777777" w:rsidR="00FB3200" w:rsidRPr="00264544" w:rsidRDefault="00FB3200" w:rsidP="00264544">
      <w:pPr>
        <w:keepNext/>
        <w:rPr>
          <w:b/>
          <w:lang w:val="cs-CZ"/>
        </w:rPr>
      </w:pPr>
    </w:p>
    <w:p w14:paraId="6415518B" w14:textId="77777777" w:rsidR="00FB3200" w:rsidRPr="00264544" w:rsidRDefault="00FB3200" w:rsidP="00FB3200">
      <w:pPr>
        <w:keepNext/>
        <w:jc w:val="center"/>
        <w:rPr>
          <w:b/>
          <w:lang w:val="cs-CZ"/>
        </w:rPr>
      </w:pPr>
      <w:r w:rsidRPr="00264544">
        <w:rPr>
          <w:b/>
          <w:lang w:val="cs-CZ"/>
        </w:rPr>
        <w:t>II.</w:t>
      </w:r>
    </w:p>
    <w:p w14:paraId="20E623BB" w14:textId="015A0BA8" w:rsidR="00573656" w:rsidRPr="00264544" w:rsidRDefault="00573656" w:rsidP="009A5B70">
      <w:pPr>
        <w:pStyle w:val="Odstavecseseznamem"/>
        <w:keepNext/>
        <w:numPr>
          <w:ilvl w:val="0"/>
          <w:numId w:val="6"/>
        </w:numPr>
        <w:ind w:left="567" w:hanging="567"/>
        <w:jc w:val="both"/>
        <w:rPr>
          <w:lang w:val="cs-CZ"/>
        </w:rPr>
      </w:pPr>
      <w:r w:rsidRPr="00264544">
        <w:rPr>
          <w:lang w:val="cs-CZ"/>
        </w:rPr>
        <w:t xml:space="preserve">Do Rámcové smlouvy se doplňuje Příloha </w:t>
      </w:r>
      <w:r w:rsidR="00355C32">
        <w:rPr>
          <w:lang w:val="cs-CZ"/>
        </w:rPr>
        <w:t>č. 10</w:t>
      </w:r>
      <w:r w:rsidRPr="00264544">
        <w:rPr>
          <w:i/>
          <w:lang w:val="cs-CZ"/>
        </w:rPr>
        <w:t xml:space="preserve"> </w:t>
      </w:r>
      <w:r w:rsidRPr="00264544">
        <w:rPr>
          <w:lang w:val="cs-CZ"/>
        </w:rPr>
        <w:t>(</w:t>
      </w:r>
      <w:r w:rsidRPr="00264544">
        <w:rPr>
          <w:i/>
          <w:lang w:val="cs-CZ"/>
        </w:rPr>
        <w:t>Zvláštní ustanovení pro sjednávání Transakcí prostřednictvím vybraných služeb elektronického bankovnictví Banky</w:t>
      </w:r>
      <w:r w:rsidRPr="00264544">
        <w:rPr>
          <w:lang w:val="cs-CZ"/>
        </w:rPr>
        <w:t>) ve znění, které tvoří Přílohu č. 1 tohoto Dodatku.</w:t>
      </w:r>
    </w:p>
    <w:p w14:paraId="37F5756E" w14:textId="77777777" w:rsidR="00573656" w:rsidRPr="00264544" w:rsidRDefault="00573656" w:rsidP="009A5B70">
      <w:pPr>
        <w:pStyle w:val="Odstavecseseznamem"/>
        <w:keepNext/>
        <w:ind w:left="567" w:hanging="567"/>
        <w:rPr>
          <w:lang w:val="cs-CZ"/>
        </w:rPr>
      </w:pPr>
    </w:p>
    <w:p w14:paraId="5EA6D526" w14:textId="22A8F83B" w:rsidR="00573656" w:rsidRPr="00C15F46" w:rsidRDefault="00573656" w:rsidP="009A5B70">
      <w:pPr>
        <w:pStyle w:val="Odstavecseseznamem"/>
        <w:keepNext/>
        <w:numPr>
          <w:ilvl w:val="0"/>
          <w:numId w:val="6"/>
        </w:numPr>
        <w:ind w:left="567" w:hanging="567"/>
        <w:jc w:val="both"/>
        <w:rPr>
          <w:lang w:val="cs-CZ"/>
        </w:rPr>
      </w:pPr>
      <w:r w:rsidRPr="00264544">
        <w:rPr>
          <w:lang w:val="cs-CZ"/>
        </w:rPr>
        <w:t xml:space="preserve">Do Rámcové smlouvy se doplňuje Příloha </w:t>
      </w:r>
      <w:r w:rsidR="00355C32">
        <w:rPr>
          <w:lang w:val="cs-CZ"/>
        </w:rPr>
        <w:t>č. 11</w:t>
      </w:r>
      <w:r w:rsidRPr="00264544">
        <w:rPr>
          <w:i/>
          <w:lang w:val="cs-CZ"/>
        </w:rPr>
        <w:t xml:space="preserve"> </w:t>
      </w:r>
      <w:r w:rsidRPr="00264544">
        <w:rPr>
          <w:lang w:val="cs-CZ"/>
        </w:rPr>
        <w:t>(</w:t>
      </w:r>
      <w:r w:rsidRPr="00264544">
        <w:rPr>
          <w:i/>
          <w:lang w:val="cs-CZ"/>
        </w:rPr>
        <w:t>Pověření pro sjednávání Transakcí prostřednictvím vybraných služeb elektronického bankovnictví</w:t>
      </w:r>
      <w:r w:rsidRPr="00C15F46">
        <w:rPr>
          <w:i/>
          <w:lang w:val="cs-CZ"/>
        </w:rPr>
        <w:t xml:space="preserve"> Banky</w:t>
      </w:r>
      <w:r w:rsidRPr="00C15F46">
        <w:rPr>
          <w:lang w:val="cs-CZ"/>
        </w:rPr>
        <w:t>) ve zn</w:t>
      </w:r>
      <w:r w:rsidR="004E0722" w:rsidRPr="00C15F46">
        <w:rPr>
          <w:lang w:val="cs-CZ"/>
        </w:rPr>
        <w:t>ění, které tvoří Přílohu č. 2</w:t>
      </w:r>
      <w:r w:rsidRPr="00C15F46">
        <w:rPr>
          <w:lang w:val="cs-CZ"/>
        </w:rPr>
        <w:t xml:space="preserve"> tohoto Dodatku.</w:t>
      </w:r>
    </w:p>
    <w:p w14:paraId="414C0AFD" w14:textId="77777777" w:rsidR="00573656" w:rsidRPr="00C15F46" w:rsidRDefault="00573656" w:rsidP="00FB3200">
      <w:pPr>
        <w:keepNext/>
        <w:jc w:val="center"/>
        <w:rPr>
          <w:b/>
          <w:lang w:val="cs-CZ"/>
        </w:rPr>
      </w:pPr>
    </w:p>
    <w:p w14:paraId="1D4E733D" w14:textId="77777777" w:rsidR="00573656" w:rsidRPr="00C15F46" w:rsidRDefault="00573656" w:rsidP="00FB3200">
      <w:pPr>
        <w:keepNext/>
        <w:jc w:val="center"/>
        <w:rPr>
          <w:b/>
          <w:lang w:val="cs-CZ"/>
        </w:rPr>
      </w:pPr>
      <w:r w:rsidRPr="00C15F46">
        <w:rPr>
          <w:b/>
          <w:lang w:val="cs-CZ"/>
        </w:rPr>
        <w:t>III.</w:t>
      </w:r>
    </w:p>
    <w:p w14:paraId="65A7B124" w14:textId="77777777" w:rsidR="00FB3200" w:rsidRPr="00C15F46" w:rsidRDefault="00FB3200" w:rsidP="00FB3200">
      <w:pPr>
        <w:pStyle w:val="Zhlav"/>
        <w:widowControl w:val="0"/>
        <w:jc w:val="both"/>
        <w:rPr>
          <w:szCs w:val="22"/>
          <w:lang w:val="cs-CZ"/>
        </w:rPr>
      </w:pPr>
      <w:r w:rsidRPr="00C15F46">
        <w:rPr>
          <w:szCs w:val="22"/>
          <w:lang w:val="cs-CZ"/>
        </w:rPr>
        <w:t xml:space="preserve">Ostatní ustanovení </w:t>
      </w:r>
      <w:r w:rsidR="00912B99" w:rsidRPr="00C15F46">
        <w:rPr>
          <w:szCs w:val="22"/>
          <w:lang w:val="cs-CZ"/>
        </w:rPr>
        <w:t>Rámcové s</w:t>
      </w:r>
      <w:r w:rsidRPr="00C15F46">
        <w:rPr>
          <w:szCs w:val="22"/>
          <w:lang w:val="cs-CZ"/>
        </w:rPr>
        <w:t>mlouvy se nemění a zůstávají v plném rozsahu v platnosti.</w:t>
      </w:r>
    </w:p>
    <w:p w14:paraId="6D43A4F1" w14:textId="77777777" w:rsidR="00FB3200" w:rsidRPr="00C15F46" w:rsidRDefault="00FB3200" w:rsidP="00FB3200">
      <w:pPr>
        <w:widowControl w:val="0"/>
        <w:tabs>
          <w:tab w:val="left" w:pos="567"/>
        </w:tabs>
        <w:jc w:val="center"/>
        <w:rPr>
          <w:b/>
          <w:szCs w:val="22"/>
          <w:lang w:val="cs-CZ"/>
        </w:rPr>
      </w:pPr>
    </w:p>
    <w:p w14:paraId="571B9CD9" w14:textId="77777777" w:rsidR="00FB3200" w:rsidRPr="00C15F46" w:rsidRDefault="00FB3200" w:rsidP="00FB3200">
      <w:pPr>
        <w:widowControl w:val="0"/>
        <w:tabs>
          <w:tab w:val="left" w:pos="567"/>
        </w:tabs>
        <w:jc w:val="center"/>
        <w:rPr>
          <w:b/>
          <w:szCs w:val="22"/>
          <w:lang w:val="cs-CZ"/>
        </w:rPr>
      </w:pPr>
      <w:r w:rsidRPr="00C15F46">
        <w:rPr>
          <w:b/>
          <w:szCs w:val="22"/>
          <w:lang w:val="cs-CZ"/>
        </w:rPr>
        <w:t>I</w:t>
      </w:r>
      <w:r w:rsidR="00573656" w:rsidRPr="00C15F46">
        <w:rPr>
          <w:b/>
          <w:szCs w:val="22"/>
          <w:lang w:val="cs-CZ"/>
        </w:rPr>
        <w:t>V</w:t>
      </w:r>
      <w:r w:rsidRPr="00C15F46">
        <w:rPr>
          <w:b/>
          <w:szCs w:val="22"/>
          <w:lang w:val="cs-CZ"/>
        </w:rPr>
        <w:t>.</w:t>
      </w:r>
    </w:p>
    <w:p w14:paraId="595D0EDE" w14:textId="77777777" w:rsidR="00FB3200" w:rsidRPr="00C15F46" w:rsidRDefault="00FB3200" w:rsidP="005944B4">
      <w:pPr>
        <w:pStyle w:val="Zhlav"/>
        <w:widowControl w:val="0"/>
        <w:numPr>
          <w:ilvl w:val="0"/>
          <w:numId w:val="4"/>
        </w:numPr>
        <w:tabs>
          <w:tab w:val="clear" w:pos="4703"/>
          <w:tab w:val="clear" w:pos="9406"/>
        </w:tabs>
        <w:jc w:val="both"/>
        <w:rPr>
          <w:szCs w:val="22"/>
          <w:lang w:val="cs-CZ"/>
        </w:rPr>
      </w:pPr>
      <w:r w:rsidRPr="00C15F46">
        <w:rPr>
          <w:szCs w:val="22"/>
          <w:lang w:val="cs-CZ"/>
        </w:rPr>
        <w:t xml:space="preserve">Dodatek nabývá platnosti a účinnosti dnem jeho podpisu Smluvními stranami. V případě neplatnosti či neúčinnosti jednotlivých ustanovení Dodatku nebudou dotčena jeho ostatní ustanovení. Smluvní strany se tímto zavazují, že učiní veškeré kroky nezbytné k nahrazení takového neplatného, neúčinného nebo zdánlivého ustanovení jiným ustanovením, které bude platné, účinné a vymahatelné a bude odpovídat účelu nahrazovaného ustanovení, tohoto Dodatku </w:t>
      </w:r>
      <w:r w:rsidRPr="00C15F46">
        <w:rPr>
          <w:szCs w:val="22"/>
          <w:lang w:val="cs-CZ"/>
        </w:rPr>
        <w:lastRenderedPageBreak/>
        <w:t>a celé Rámcové smlouvy.</w:t>
      </w:r>
    </w:p>
    <w:p w14:paraId="621032EA" w14:textId="77777777" w:rsidR="00FB3200" w:rsidRPr="00C15F46" w:rsidRDefault="00FB3200" w:rsidP="005944B4">
      <w:pPr>
        <w:pStyle w:val="Zhlav"/>
        <w:widowControl w:val="0"/>
        <w:numPr>
          <w:ilvl w:val="0"/>
          <w:numId w:val="4"/>
        </w:numPr>
        <w:tabs>
          <w:tab w:val="clear" w:pos="4703"/>
          <w:tab w:val="clear" w:pos="9406"/>
        </w:tabs>
        <w:jc w:val="both"/>
        <w:rPr>
          <w:szCs w:val="22"/>
          <w:lang w:val="cs-CZ"/>
        </w:rPr>
      </w:pPr>
      <w:r w:rsidRPr="00C15F46">
        <w:rPr>
          <w:szCs w:val="22"/>
          <w:lang w:val="cs-CZ"/>
        </w:rPr>
        <w:t xml:space="preserve">Dodatek je vyhotoven ve dvou stejnopisech, z nichž obdrží Smluvní strany po jednom stejnopise. Oba stejnopisy Dodatku mají právní význam originálu. </w:t>
      </w:r>
    </w:p>
    <w:p w14:paraId="227E13CD" w14:textId="77777777" w:rsidR="00FB3200" w:rsidRDefault="00FB3200" w:rsidP="005944B4">
      <w:pPr>
        <w:pStyle w:val="Zhlav"/>
        <w:widowControl w:val="0"/>
        <w:numPr>
          <w:ilvl w:val="0"/>
          <w:numId w:val="4"/>
        </w:numPr>
        <w:tabs>
          <w:tab w:val="clear" w:pos="4703"/>
          <w:tab w:val="clear" w:pos="9406"/>
        </w:tabs>
        <w:jc w:val="both"/>
        <w:rPr>
          <w:szCs w:val="22"/>
          <w:lang w:val="cs-CZ"/>
        </w:rPr>
      </w:pPr>
      <w:r w:rsidRPr="00C15F46">
        <w:rPr>
          <w:szCs w:val="22"/>
          <w:lang w:val="cs-CZ"/>
        </w:rPr>
        <w:t>Smluvní strany svými podpisy potvrzují, že po projednání Dodatku se shodly na jeho obsahu ve všech bodech a Dodatek uzavírají na základě své pravé a svobodné vůle.</w:t>
      </w:r>
    </w:p>
    <w:p w14:paraId="5EAD3535" w14:textId="77777777" w:rsidR="00336E1D" w:rsidRPr="00C15F46" w:rsidRDefault="00336E1D" w:rsidP="00336E1D">
      <w:pPr>
        <w:pStyle w:val="Zhlav"/>
        <w:widowControl w:val="0"/>
        <w:tabs>
          <w:tab w:val="clear" w:pos="4703"/>
          <w:tab w:val="clear" w:pos="9406"/>
        </w:tabs>
        <w:ind w:left="567"/>
        <w:jc w:val="both"/>
        <w:rPr>
          <w:szCs w:val="22"/>
          <w:lang w:val="cs-CZ"/>
        </w:rPr>
      </w:pPr>
    </w:p>
    <w:p w14:paraId="59CA5C50" w14:textId="77777777" w:rsidR="005B6C73" w:rsidRPr="00C15F46" w:rsidRDefault="005B6C73" w:rsidP="005B6C73">
      <w:pPr>
        <w:keepNext/>
        <w:rPr>
          <w:b/>
          <w:u w:val="single"/>
          <w:lang w:val="cs-CZ"/>
        </w:rPr>
      </w:pPr>
      <w:r w:rsidRPr="00C15F46">
        <w:rPr>
          <w:b/>
          <w:u w:val="single"/>
          <w:lang w:val="cs-CZ"/>
        </w:rPr>
        <w:t>V příloze:</w:t>
      </w:r>
    </w:p>
    <w:p w14:paraId="434455C9" w14:textId="77777777" w:rsidR="005B6C73" w:rsidRPr="00C15F46" w:rsidRDefault="005B6C73" w:rsidP="005B6C73">
      <w:pPr>
        <w:keepNext/>
        <w:rPr>
          <w:lang w:val="cs-CZ"/>
        </w:rPr>
      </w:pPr>
    </w:p>
    <w:p w14:paraId="2F9BC900" w14:textId="77777777" w:rsidR="005B6C73" w:rsidRPr="00C15F46" w:rsidRDefault="005B6C73" w:rsidP="005B6C73">
      <w:pPr>
        <w:keepNext/>
        <w:jc w:val="both"/>
        <w:rPr>
          <w:lang w:val="cs-CZ"/>
        </w:rPr>
      </w:pPr>
      <w:r w:rsidRPr="00C15F46">
        <w:rPr>
          <w:lang w:val="cs-CZ"/>
        </w:rPr>
        <w:t>Příloha č. 1 – Zvláštní ustanovení pro sjednávání Transakcí prostřednictvím vybraných služeb elektronického bankovnictví Banky</w:t>
      </w:r>
    </w:p>
    <w:p w14:paraId="067ADBB2" w14:textId="77777777" w:rsidR="005B6C73" w:rsidRPr="00C15F46" w:rsidRDefault="005B6C73" w:rsidP="005B6C73">
      <w:pPr>
        <w:keepNext/>
        <w:jc w:val="both"/>
        <w:rPr>
          <w:lang w:val="cs-CZ"/>
        </w:rPr>
      </w:pPr>
    </w:p>
    <w:p w14:paraId="324AF536" w14:textId="77777777" w:rsidR="005B6C73" w:rsidRPr="00C15F46" w:rsidRDefault="005B6C73" w:rsidP="005B6C73">
      <w:pPr>
        <w:keepNext/>
        <w:jc w:val="both"/>
        <w:rPr>
          <w:lang w:val="cs-CZ"/>
        </w:rPr>
      </w:pPr>
      <w:r w:rsidRPr="00C15F46">
        <w:rPr>
          <w:lang w:val="cs-CZ"/>
        </w:rPr>
        <w:t>Příloha č. 2 – Pověření pro sjednávání Transakcí prostřednictvím vybraných služeb elektronického bankovnictví Banky</w:t>
      </w:r>
    </w:p>
    <w:p w14:paraId="00ADDF47" w14:textId="77777777" w:rsidR="005B6C73" w:rsidRPr="00C15F46" w:rsidRDefault="005B6C73">
      <w:pPr>
        <w:keepNext/>
        <w:rPr>
          <w:lang w:val="cs-CZ"/>
        </w:rPr>
      </w:pPr>
    </w:p>
    <w:p w14:paraId="295B6549" w14:textId="77777777" w:rsidR="005B6C73" w:rsidRPr="00C15F46" w:rsidRDefault="005B6C73">
      <w:pPr>
        <w:keepNext/>
        <w:rPr>
          <w:lang w:val="cs-CZ"/>
        </w:rPr>
      </w:pPr>
    </w:p>
    <w:p w14:paraId="451D377B" w14:textId="287BBA1C" w:rsidR="002578EF" w:rsidRDefault="00C12E6E" w:rsidP="002578EF">
      <w:pPr>
        <w:keepNext/>
        <w:rPr>
          <w:lang w:val="cs-CZ"/>
        </w:rPr>
      </w:pPr>
      <w:r w:rsidRPr="00C15F46">
        <w:rPr>
          <w:lang w:val="cs-CZ"/>
        </w:rPr>
        <w:t xml:space="preserve">V </w:t>
      </w:r>
      <w:r w:rsidR="00456AC6">
        <w:rPr>
          <w:lang w:val="cs-CZ"/>
        </w:rPr>
        <w:t>Liberci</w:t>
      </w:r>
      <w:r w:rsidRPr="00C15F46">
        <w:rPr>
          <w:lang w:val="cs-CZ"/>
        </w:rPr>
        <w:t xml:space="preserve"> dne </w:t>
      </w:r>
      <w:r w:rsidR="00456AC6">
        <w:rPr>
          <w:lang w:val="cs-CZ"/>
        </w:rPr>
        <w:t>17.6.2020</w:t>
      </w:r>
    </w:p>
    <w:p w14:paraId="37C2F871" w14:textId="77777777" w:rsidR="00000626" w:rsidRPr="00C15F46" w:rsidRDefault="00000626" w:rsidP="002578EF">
      <w:pPr>
        <w:keepNext/>
        <w:rPr>
          <w:szCs w:val="22"/>
          <w:lang w:val="cs-CZ"/>
        </w:rPr>
      </w:pPr>
    </w:p>
    <w:tbl>
      <w:tblPr>
        <w:tblW w:w="9071" w:type="dxa"/>
        <w:jc w:val="center"/>
        <w:tblLayout w:type="fixed"/>
        <w:tblCellMar>
          <w:left w:w="0" w:type="dxa"/>
          <w:right w:w="0" w:type="dxa"/>
        </w:tblCellMar>
        <w:tblLook w:val="01E0" w:firstRow="1" w:lastRow="1" w:firstColumn="1" w:lastColumn="1" w:noHBand="0" w:noVBand="0"/>
      </w:tblPr>
      <w:tblGrid>
        <w:gridCol w:w="4365"/>
        <w:gridCol w:w="340"/>
        <w:gridCol w:w="4366"/>
      </w:tblGrid>
      <w:tr w:rsidR="002578EF" w:rsidRPr="00C15F46" w14:paraId="32C6835E" w14:textId="77777777" w:rsidTr="00310D58">
        <w:trPr>
          <w:jc w:val="center"/>
        </w:trPr>
        <w:tc>
          <w:tcPr>
            <w:tcW w:w="4365" w:type="dxa"/>
            <w:tcBorders>
              <w:bottom w:val="dotted" w:sz="8" w:space="0" w:color="auto"/>
            </w:tcBorders>
          </w:tcPr>
          <w:p w14:paraId="0CE630E8" w14:textId="77777777" w:rsidR="002578EF" w:rsidRPr="00C15F46" w:rsidRDefault="002578EF" w:rsidP="00431DEB">
            <w:pPr>
              <w:keepNext/>
              <w:rPr>
                <w:b/>
                <w:szCs w:val="22"/>
                <w:lang w:val="cs-CZ"/>
              </w:rPr>
            </w:pPr>
            <w:r w:rsidRPr="00C15F46">
              <w:rPr>
                <w:b/>
                <w:szCs w:val="22"/>
                <w:lang w:val="cs-CZ"/>
              </w:rPr>
              <w:t>Československá obchodní banka, a. s.</w:t>
            </w:r>
          </w:p>
          <w:p w14:paraId="471B91B9" w14:textId="66F05087" w:rsidR="00456AC6" w:rsidRPr="00456AC6" w:rsidRDefault="0001761A" w:rsidP="00456AC6">
            <w:pPr>
              <w:keepNext/>
              <w:rPr>
                <w:szCs w:val="22"/>
                <w:lang w:val="cs-CZ"/>
              </w:rPr>
            </w:pPr>
            <w:r>
              <w:rPr>
                <w:szCs w:val="22"/>
                <w:lang w:val="cs-CZ"/>
              </w:rPr>
              <w:t>xxxxxxxxxxxxxxxxxxxxxxxx</w:t>
            </w:r>
          </w:p>
          <w:p w14:paraId="2E6E97DA" w14:textId="4297EA3C" w:rsidR="002578EF" w:rsidRPr="00C15F46" w:rsidRDefault="0001761A" w:rsidP="00456AC6">
            <w:pPr>
              <w:keepNext/>
              <w:rPr>
                <w:szCs w:val="22"/>
                <w:lang w:val="cs-CZ"/>
              </w:rPr>
            </w:pPr>
            <w:r>
              <w:rPr>
                <w:szCs w:val="22"/>
                <w:lang w:val="cs-CZ"/>
              </w:rPr>
              <w:t>xxxxxxxxxxxxxxxxxxxxxxxx</w:t>
            </w:r>
          </w:p>
          <w:p w14:paraId="63C451DF" w14:textId="77777777" w:rsidR="002578EF" w:rsidRPr="00C15F46" w:rsidRDefault="002578EF" w:rsidP="00431DEB">
            <w:pPr>
              <w:keepNext/>
              <w:rPr>
                <w:szCs w:val="22"/>
                <w:lang w:val="cs-CZ"/>
              </w:rPr>
            </w:pPr>
          </w:p>
          <w:p w14:paraId="4DC1E8FB" w14:textId="77777777" w:rsidR="002578EF" w:rsidRDefault="002578EF" w:rsidP="00431DEB">
            <w:pPr>
              <w:keepNext/>
              <w:rPr>
                <w:szCs w:val="22"/>
                <w:lang w:val="cs-CZ"/>
              </w:rPr>
            </w:pPr>
          </w:p>
          <w:p w14:paraId="7D85C361" w14:textId="77777777" w:rsidR="00000626" w:rsidRPr="00C15F46" w:rsidRDefault="00000626" w:rsidP="00431DEB">
            <w:pPr>
              <w:keepNext/>
              <w:rPr>
                <w:szCs w:val="22"/>
                <w:lang w:val="cs-CZ"/>
              </w:rPr>
            </w:pPr>
          </w:p>
        </w:tc>
        <w:tc>
          <w:tcPr>
            <w:tcW w:w="340" w:type="dxa"/>
          </w:tcPr>
          <w:p w14:paraId="0FA56B9C" w14:textId="77777777" w:rsidR="002578EF" w:rsidRPr="00C15F46" w:rsidRDefault="002578EF" w:rsidP="00431DEB">
            <w:pPr>
              <w:keepNext/>
              <w:jc w:val="both"/>
              <w:rPr>
                <w:b/>
                <w:szCs w:val="22"/>
                <w:lang w:val="cs-CZ"/>
              </w:rPr>
            </w:pPr>
          </w:p>
        </w:tc>
        <w:tc>
          <w:tcPr>
            <w:tcW w:w="4366" w:type="dxa"/>
            <w:tcBorders>
              <w:bottom w:val="dotted" w:sz="8" w:space="0" w:color="auto"/>
            </w:tcBorders>
          </w:tcPr>
          <w:p w14:paraId="2A62DBEF" w14:textId="242DF9B8" w:rsidR="002578EF" w:rsidRPr="00C15F46" w:rsidRDefault="00456AC6" w:rsidP="00431DEB">
            <w:pPr>
              <w:keepNext/>
              <w:rPr>
                <w:lang w:val="cs-CZ"/>
              </w:rPr>
            </w:pPr>
            <w:r w:rsidRPr="00456AC6">
              <w:rPr>
                <w:b/>
                <w:bCs/>
                <w:color w:val="000000"/>
                <w:szCs w:val="22"/>
                <w:lang w:val="cs-CZ" w:eastAsia="cs-CZ"/>
              </w:rPr>
              <w:t>ČSAD Liberec, a.s.</w:t>
            </w:r>
            <w:r w:rsidRPr="00456AC6">
              <w:rPr>
                <w:b/>
                <w:bCs/>
                <w:color w:val="000000"/>
                <w:szCs w:val="22"/>
                <w:lang w:val="cs-CZ" w:eastAsia="cs-CZ"/>
              </w:rPr>
              <w:br/>
            </w:r>
            <w:r w:rsidR="0001761A">
              <w:rPr>
                <w:color w:val="000000"/>
                <w:szCs w:val="22"/>
                <w:lang w:val="cs-CZ" w:eastAsia="cs-CZ"/>
              </w:rPr>
              <w:t>xxxxxxxxxxxxxxxxxxxxxxxx</w:t>
            </w:r>
            <w:r w:rsidRPr="00456AC6">
              <w:rPr>
                <w:color w:val="000000"/>
                <w:szCs w:val="22"/>
                <w:lang w:val="cs-CZ" w:eastAsia="cs-CZ"/>
              </w:rPr>
              <w:br/>
            </w:r>
            <w:r w:rsidR="0001761A">
              <w:rPr>
                <w:color w:val="000000"/>
                <w:szCs w:val="22"/>
                <w:lang w:val="cs-CZ" w:eastAsia="cs-CZ"/>
              </w:rPr>
              <w:t>xxxxxxxxxxxxxxxxxxxxxxxx</w:t>
            </w:r>
            <w:r w:rsidRPr="00C15F46">
              <w:rPr>
                <w:lang w:val="cs-CZ"/>
              </w:rPr>
              <w:t xml:space="preserve"> </w:t>
            </w:r>
          </w:p>
          <w:p w14:paraId="2D9C2AAE" w14:textId="77777777" w:rsidR="00FB3200" w:rsidRPr="00C15F46" w:rsidRDefault="00FB3200" w:rsidP="00431DEB">
            <w:pPr>
              <w:keepNext/>
              <w:rPr>
                <w:lang w:val="cs-CZ"/>
              </w:rPr>
            </w:pPr>
          </w:p>
          <w:p w14:paraId="5B1E1A4B" w14:textId="77777777" w:rsidR="00FB3200" w:rsidRPr="00C15F46" w:rsidRDefault="00FB3200" w:rsidP="00431DEB">
            <w:pPr>
              <w:keepNext/>
              <w:rPr>
                <w:lang w:val="cs-CZ"/>
              </w:rPr>
            </w:pPr>
          </w:p>
          <w:p w14:paraId="2CE39B38" w14:textId="77777777" w:rsidR="002578EF" w:rsidRPr="00C15F46" w:rsidRDefault="002578EF" w:rsidP="00431DEB">
            <w:pPr>
              <w:keepNext/>
              <w:rPr>
                <w:szCs w:val="22"/>
                <w:lang w:val="cs-CZ"/>
              </w:rPr>
            </w:pPr>
          </w:p>
        </w:tc>
      </w:tr>
      <w:tr w:rsidR="002578EF" w:rsidRPr="00C15F46" w14:paraId="384D45BB" w14:textId="77777777" w:rsidTr="00310D58">
        <w:trPr>
          <w:jc w:val="center"/>
        </w:trPr>
        <w:tc>
          <w:tcPr>
            <w:tcW w:w="4365" w:type="dxa"/>
            <w:tcBorders>
              <w:top w:val="dotted" w:sz="8" w:space="0" w:color="auto"/>
            </w:tcBorders>
            <w:vAlign w:val="center"/>
          </w:tcPr>
          <w:p w14:paraId="04AA86B1" w14:textId="77777777" w:rsidR="002578EF" w:rsidRPr="00C15F46" w:rsidRDefault="002578EF" w:rsidP="00431DEB">
            <w:pPr>
              <w:keepNext/>
              <w:jc w:val="center"/>
              <w:rPr>
                <w:szCs w:val="22"/>
                <w:lang w:val="cs-CZ"/>
              </w:rPr>
            </w:pPr>
            <w:r w:rsidRPr="00C15F46">
              <w:rPr>
                <w:szCs w:val="22"/>
                <w:lang w:val="cs-CZ"/>
              </w:rPr>
              <w:t>Banka</w:t>
            </w:r>
          </w:p>
        </w:tc>
        <w:tc>
          <w:tcPr>
            <w:tcW w:w="340" w:type="dxa"/>
            <w:vAlign w:val="center"/>
          </w:tcPr>
          <w:p w14:paraId="1CFDEA1A" w14:textId="77777777" w:rsidR="002578EF" w:rsidRPr="00C15F46" w:rsidRDefault="002578EF" w:rsidP="00431DEB">
            <w:pPr>
              <w:keepNext/>
              <w:jc w:val="center"/>
              <w:rPr>
                <w:b/>
                <w:szCs w:val="22"/>
                <w:lang w:val="cs-CZ"/>
              </w:rPr>
            </w:pPr>
          </w:p>
        </w:tc>
        <w:tc>
          <w:tcPr>
            <w:tcW w:w="4366" w:type="dxa"/>
            <w:tcBorders>
              <w:top w:val="dotted" w:sz="8" w:space="0" w:color="auto"/>
            </w:tcBorders>
            <w:vAlign w:val="center"/>
          </w:tcPr>
          <w:p w14:paraId="540AAAF4" w14:textId="77777777" w:rsidR="002578EF" w:rsidRPr="00C15F46" w:rsidRDefault="002578EF" w:rsidP="00431DEB">
            <w:pPr>
              <w:keepNext/>
              <w:jc w:val="center"/>
              <w:rPr>
                <w:szCs w:val="22"/>
                <w:lang w:val="cs-CZ"/>
              </w:rPr>
            </w:pPr>
            <w:r w:rsidRPr="00C15F46">
              <w:rPr>
                <w:szCs w:val="22"/>
                <w:lang w:val="cs-CZ"/>
              </w:rPr>
              <w:t>Klient</w:t>
            </w:r>
          </w:p>
        </w:tc>
      </w:tr>
      <w:tr w:rsidR="002578EF" w:rsidRPr="00C15F46" w14:paraId="32D69F78" w14:textId="77777777" w:rsidTr="00310D58">
        <w:trPr>
          <w:jc w:val="center"/>
        </w:trPr>
        <w:tc>
          <w:tcPr>
            <w:tcW w:w="4365" w:type="dxa"/>
          </w:tcPr>
          <w:p w14:paraId="0778F0C7" w14:textId="77777777" w:rsidR="002578EF" w:rsidRPr="00C15F46" w:rsidRDefault="002578EF" w:rsidP="00431DEB">
            <w:pPr>
              <w:jc w:val="center"/>
              <w:rPr>
                <w:szCs w:val="22"/>
                <w:lang w:val="cs-CZ"/>
              </w:rPr>
            </w:pPr>
          </w:p>
        </w:tc>
        <w:tc>
          <w:tcPr>
            <w:tcW w:w="340" w:type="dxa"/>
          </w:tcPr>
          <w:p w14:paraId="45B9AD9A" w14:textId="77777777" w:rsidR="002578EF" w:rsidRPr="00C15F46" w:rsidRDefault="002578EF" w:rsidP="00431DEB">
            <w:pPr>
              <w:jc w:val="both"/>
              <w:rPr>
                <w:b/>
                <w:szCs w:val="22"/>
                <w:lang w:val="cs-CZ"/>
              </w:rPr>
            </w:pPr>
          </w:p>
        </w:tc>
        <w:tc>
          <w:tcPr>
            <w:tcW w:w="4366" w:type="dxa"/>
          </w:tcPr>
          <w:p w14:paraId="7F45C655" w14:textId="77777777" w:rsidR="002578EF" w:rsidRPr="00C15F46" w:rsidRDefault="002578EF" w:rsidP="00431DEB">
            <w:pPr>
              <w:rPr>
                <w:szCs w:val="22"/>
                <w:lang w:val="cs-CZ"/>
              </w:rPr>
            </w:pPr>
            <w:r w:rsidRPr="00C15F46">
              <w:rPr>
                <w:sz w:val="18"/>
                <w:szCs w:val="18"/>
                <w:lang w:val="cs-CZ"/>
              </w:rPr>
              <w:t>Ověření podpisu/totožnosti:</w:t>
            </w:r>
          </w:p>
        </w:tc>
      </w:tr>
    </w:tbl>
    <w:p w14:paraId="6EB08A58" w14:textId="77777777" w:rsidR="00AF33BB" w:rsidRPr="00C15F46" w:rsidRDefault="00AF33BB">
      <w:pPr>
        <w:rPr>
          <w:iCs/>
          <w:sz w:val="2"/>
          <w:szCs w:val="2"/>
          <w:lang w:val="cs-CZ"/>
        </w:rPr>
      </w:pPr>
    </w:p>
    <w:p w14:paraId="05B84450" w14:textId="77777777" w:rsidR="00AF33BB" w:rsidRPr="00C15F46" w:rsidRDefault="00AF33BB">
      <w:pPr>
        <w:jc w:val="center"/>
        <w:rPr>
          <w:iCs/>
          <w:sz w:val="2"/>
          <w:szCs w:val="2"/>
          <w:lang w:val="cs-CZ"/>
        </w:rPr>
      </w:pPr>
    </w:p>
    <w:p w14:paraId="09216BBC" w14:textId="77777777" w:rsidR="00573656" w:rsidRPr="00C15F46" w:rsidRDefault="00573656" w:rsidP="00FB3200">
      <w:pPr>
        <w:pStyle w:val="msonospacing0"/>
        <w:jc w:val="both"/>
        <w:rPr>
          <w:rFonts w:ascii="Times New Roman" w:hAnsi="Times New Roman"/>
          <w:lang w:val="cs-CZ"/>
        </w:rPr>
        <w:sectPr w:rsidR="00573656" w:rsidRPr="00C15F46" w:rsidSect="00AF33BB">
          <w:headerReference w:type="default" r:id="rId12"/>
          <w:footerReference w:type="default" r:id="rId13"/>
          <w:pgSz w:w="11907" w:h="16840" w:code="9"/>
          <w:pgMar w:top="1418" w:right="1418" w:bottom="1418" w:left="1418" w:header="851" w:footer="851" w:gutter="0"/>
          <w:pgNumType w:start="1"/>
          <w:cols w:space="720"/>
        </w:sectPr>
      </w:pPr>
    </w:p>
    <w:p w14:paraId="622EC763" w14:textId="549D75F4" w:rsidR="00382A08" w:rsidRPr="00C15F46" w:rsidRDefault="00382A08" w:rsidP="00382A08">
      <w:pPr>
        <w:tabs>
          <w:tab w:val="left" w:pos="4820"/>
        </w:tabs>
        <w:jc w:val="center"/>
        <w:rPr>
          <w:b/>
          <w:szCs w:val="22"/>
          <w:lang w:val="cs-CZ"/>
        </w:rPr>
      </w:pPr>
      <w:r w:rsidRPr="00264544">
        <w:rPr>
          <w:b/>
          <w:szCs w:val="22"/>
          <w:lang w:val="cs-CZ"/>
        </w:rPr>
        <w:lastRenderedPageBreak/>
        <w:t>P</w:t>
      </w:r>
      <w:r w:rsidR="00000626">
        <w:rPr>
          <w:b/>
          <w:szCs w:val="22"/>
          <w:lang w:val="cs-CZ"/>
        </w:rPr>
        <w:t>říloha</w:t>
      </w:r>
      <w:r w:rsidRPr="00264544">
        <w:rPr>
          <w:b/>
          <w:szCs w:val="22"/>
          <w:lang w:val="cs-CZ"/>
        </w:rPr>
        <w:t xml:space="preserve"> </w:t>
      </w:r>
      <w:r w:rsidR="00000626">
        <w:rPr>
          <w:b/>
          <w:szCs w:val="22"/>
          <w:lang w:val="cs-CZ"/>
        </w:rPr>
        <w:t>č. 10</w:t>
      </w:r>
    </w:p>
    <w:p w14:paraId="37A414BB" w14:textId="77777777" w:rsidR="00382A08" w:rsidRPr="00C15F46" w:rsidRDefault="00382A08" w:rsidP="00D47942">
      <w:pPr>
        <w:jc w:val="center"/>
        <w:rPr>
          <w:b/>
          <w:snapToGrid w:val="0"/>
          <w:szCs w:val="22"/>
          <w:lang w:val="cs-CZ"/>
        </w:rPr>
      </w:pPr>
    </w:p>
    <w:p w14:paraId="2CBC15C3" w14:textId="77777777" w:rsidR="00D47942" w:rsidRPr="00C15F46" w:rsidRDefault="00D47942" w:rsidP="00D47942">
      <w:pPr>
        <w:jc w:val="center"/>
        <w:rPr>
          <w:snapToGrid w:val="0"/>
          <w:szCs w:val="22"/>
          <w:lang w:val="cs-CZ"/>
        </w:rPr>
      </w:pPr>
      <w:r w:rsidRPr="00C15F46">
        <w:rPr>
          <w:b/>
          <w:snapToGrid w:val="0"/>
          <w:szCs w:val="22"/>
          <w:lang w:val="cs-CZ"/>
        </w:rPr>
        <w:t>Zvláštní ustanovení pro sjednávání Transakcí prostřednictvím vybraných služeb elektronického bankovnictví Banky</w:t>
      </w:r>
    </w:p>
    <w:p w14:paraId="469BACC9" w14:textId="77777777" w:rsidR="00D47942" w:rsidRPr="00C15F46" w:rsidRDefault="00D47942" w:rsidP="00D47942">
      <w:pPr>
        <w:ind w:left="720" w:hanging="720"/>
        <w:rPr>
          <w:snapToGrid w:val="0"/>
          <w:szCs w:val="22"/>
          <w:lang w:val="cs-CZ"/>
        </w:rPr>
      </w:pPr>
    </w:p>
    <w:p w14:paraId="5D4077C7" w14:textId="77777777" w:rsidR="00D47942" w:rsidRPr="00C15F46" w:rsidRDefault="00D47942" w:rsidP="00D47942">
      <w:pPr>
        <w:numPr>
          <w:ilvl w:val="0"/>
          <w:numId w:val="17"/>
        </w:numPr>
        <w:tabs>
          <w:tab w:val="left" w:pos="993"/>
        </w:tabs>
        <w:jc w:val="both"/>
        <w:rPr>
          <w:b/>
          <w:szCs w:val="22"/>
          <w:u w:val="single"/>
          <w:lang w:val="cs-CZ"/>
        </w:rPr>
      </w:pPr>
      <w:r w:rsidRPr="00C15F46">
        <w:rPr>
          <w:b/>
          <w:szCs w:val="22"/>
          <w:u w:val="single"/>
          <w:lang w:val="cs-CZ"/>
        </w:rPr>
        <w:t>Technické podmínky a požadavky</w:t>
      </w:r>
    </w:p>
    <w:p w14:paraId="0D40088E" w14:textId="77777777" w:rsidR="00D47942" w:rsidRPr="00C15F46" w:rsidRDefault="00D47942" w:rsidP="00D47942">
      <w:pPr>
        <w:rPr>
          <w:szCs w:val="22"/>
          <w:lang w:val="cs-CZ"/>
        </w:rPr>
      </w:pPr>
    </w:p>
    <w:p w14:paraId="6C94DB57" w14:textId="77777777" w:rsidR="00D47942" w:rsidRPr="00C15F46" w:rsidRDefault="00D47942" w:rsidP="00D47942">
      <w:pPr>
        <w:widowControl w:val="0"/>
        <w:numPr>
          <w:ilvl w:val="0"/>
          <w:numId w:val="8"/>
        </w:numPr>
        <w:overflowPunct w:val="0"/>
        <w:autoSpaceDE w:val="0"/>
        <w:autoSpaceDN w:val="0"/>
        <w:adjustRightInd w:val="0"/>
        <w:ind w:left="709" w:hanging="283"/>
        <w:jc w:val="both"/>
        <w:textAlignment w:val="baseline"/>
        <w:rPr>
          <w:szCs w:val="22"/>
          <w:lang w:val="cs-CZ"/>
        </w:rPr>
      </w:pPr>
      <w:r w:rsidRPr="00C15F46">
        <w:rPr>
          <w:szCs w:val="22"/>
          <w:lang w:val="cs-CZ"/>
        </w:rPr>
        <w:t xml:space="preserve">Klient prohlašuje, že jeho technické vybavení bude minimálně splňovat parametry uvedené na adrese: </w:t>
      </w:r>
      <w:hyperlink r:id="rId14" w:history="1">
        <w:r w:rsidRPr="00C15F46">
          <w:rPr>
            <w:rStyle w:val="Hypertextovodkaz"/>
            <w:szCs w:val="22"/>
            <w:lang w:val="cs-CZ"/>
          </w:rPr>
          <w:t>https://csob.cz/ceb</w:t>
        </w:r>
      </w:hyperlink>
      <w:r w:rsidRPr="00C15F46">
        <w:rPr>
          <w:szCs w:val="22"/>
          <w:lang w:val="cs-CZ"/>
        </w:rPr>
        <w:t xml:space="preserve">. Klient dále prohlašuje, že se před podpisem Rámcové smlouvy seznámil s technickými podmínkami a požadavky uvedenými na adrese: </w:t>
      </w:r>
      <w:hyperlink r:id="rId15" w:history="1">
        <w:r w:rsidRPr="00C15F46">
          <w:rPr>
            <w:rStyle w:val="Hypertextovodkaz"/>
            <w:szCs w:val="22"/>
            <w:lang w:val="cs-CZ"/>
          </w:rPr>
          <w:t>https://csob.cz/ceb</w:t>
        </w:r>
      </w:hyperlink>
      <w:r w:rsidRPr="00C15F46">
        <w:rPr>
          <w:szCs w:val="22"/>
          <w:lang w:val="cs-CZ"/>
        </w:rPr>
        <w:t>.</w:t>
      </w:r>
    </w:p>
    <w:p w14:paraId="25AF9BCF" w14:textId="77777777" w:rsidR="00D47942" w:rsidRPr="00C15F46" w:rsidRDefault="00D47942" w:rsidP="00D47942">
      <w:pPr>
        <w:widowControl w:val="0"/>
        <w:overflowPunct w:val="0"/>
        <w:autoSpaceDE w:val="0"/>
        <w:autoSpaceDN w:val="0"/>
        <w:adjustRightInd w:val="0"/>
        <w:ind w:left="709"/>
        <w:textAlignment w:val="baseline"/>
        <w:rPr>
          <w:szCs w:val="22"/>
          <w:lang w:val="cs-CZ"/>
        </w:rPr>
      </w:pPr>
    </w:p>
    <w:p w14:paraId="5CF909C6" w14:textId="77777777" w:rsidR="00D47942" w:rsidRPr="00C15F46" w:rsidRDefault="00D47942" w:rsidP="00D47942">
      <w:pPr>
        <w:widowControl w:val="0"/>
        <w:numPr>
          <w:ilvl w:val="0"/>
          <w:numId w:val="8"/>
        </w:numPr>
        <w:overflowPunct w:val="0"/>
        <w:autoSpaceDE w:val="0"/>
        <w:autoSpaceDN w:val="0"/>
        <w:adjustRightInd w:val="0"/>
        <w:ind w:left="709" w:hanging="283"/>
        <w:jc w:val="both"/>
        <w:textAlignment w:val="baseline"/>
        <w:rPr>
          <w:szCs w:val="22"/>
          <w:lang w:val="cs-CZ"/>
        </w:rPr>
      </w:pPr>
      <w:r w:rsidRPr="00C15F46">
        <w:rPr>
          <w:szCs w:val="22"/>
          <w:lang w:val="cs-CZ"/>
        </w:rPr>
        <w:t xml:space="preserve">Uživatelská podpora sjednávání Transakcí prostřednictvím vybraných služeb elektronického bankovnictví Banky (dále jen „Uživatelská podpora“) je zajišťována ČSOB nebo třetí stranou v pracovní dny v době od 7:00 do 20:00 na telefonním čísle +420 499 900 500 a e-mailové adrese: </w:t>
      </w:r>
      <w:hyperlink r:id="rId16" w:history="1">
        <w:r w:rsidRPr="00C15F46">
          <w:rPr>
            <w:rStyle w:val="Hypertextovodkaz"/>
            <w:szCs w:val="22"/>
            <w:lang w:val="cs-CZ"/>
          </w:rPr>
          <w:t>helpdeskceb@csob.cz</w:t>
        </w:r>
      </w:hyperlink>
      <w:r w:rsidRPr="00C15F46">
        <w:rPr>
          <w:szCs w:val="22"/>
          <w:u w:val="single"/>
          <w:lang w:val="cs-CZ"/>
        </w:rPr>
        <w:t>.</w:t>
      </w:r>
      <w:r w:rsidRPr="00C15F46">
        <w:rPr>
          <w:szCs w:val="22"/>
          <w:lang w:val="cs-CZ"/>
        </w:rPr>
        <w:t>.</w:t>
      </w:r>
    </w:p>
    <w:p w14:paraId="58F8C5E6" w14:textId="77777777" w:rsidR="00D47942" w:rsidRPr="00C15F46" w:rsidRDefault="00D47942" w:rsidP="00D47942">
      <w:pPr>
        <w:pStyle w:val="Odstavecseseznamem"/>
        <w:rPr>
          <w:szCs w:val="22"/>
          <w:lang w:val="cs-CZ"/>
        </w:rPr>
      </w:pPr>
    </w:p>
    <w:p w14:paraId="5ACCE1A5" w14:textId="77777777" w:rsidR="00D47942" w:rsidRPr="00C15F46" w:rsidRDefault="00D47942" w:rsidP="00D47942">
      <w:pPr>
        <w:tabs>
          <w:tab w:val="left" w:pos="993"/>
        </w:tabs>
        <w:ind w:left="284"/>
        <w:rPr>
          <w:b/>
          <w:szCs w:val="22"/>
          <w:u w:val="single"/>
          <w:lang w:val="cs-CZ"/>
        </w:rPr>
      </w:pPr>
      <w:r w:rsidRPr="003E5A2B">
        <w:rPr>
          <w:b/>
          <w:szCs w:val="22"/>
          <w:lang w:val="cs-CZ"/>
        </w:rPr>
        <w:t>II.</w:t>
      </w:r>
      <w:r w:rsidRPr="003E5A2B">
        <w:rPr>
          <w:b/>
          <w:szCs w:val="22"/>
          <w:lang w:val="cs-CZ"/>
        </w:rPr>
        <w:tab/>
      </w:r>
      <w:r w:rsidRPr="00C15F46">
        <w:rPr>
          <w:b/>
          <w:szCs w:val="22"/>
          <w:u w:val="single"/>
          <w:lang w:val="cs-CZ"/>
        </w:rPr>
        <w:t>Sjednávání Transakcí</w:t>
      </w:r>
    </w:p>
    <w:p w14:paraId="00F94FA9" w14:textId="77777777" w:rsidR="00D47942" w:rsidRPr="00C15F46" w:rsidRDefault="00D47942" w:rsidP="00D47942">
      <w:pPr>
        <w:rPr>
          <w:szCs w:val="22"/>
          <w:lang w:val="cs-CZ"/>
        </w:rPr>
      </w:pPr>
    </w:p>
    <w:p w14:paraId="7771BC44" w14:textId="77777777" w:rsidR="00D47942" w:rsidRPr="00C15F46" w:rsidRDefault="00D47942" w:rsidP="00D47942">
      <w:pPr>
        <w:widowControl w:val="0"/>
        <w:numPr>
          <w:ilvl w:val="0"/>
          <w:numId w:val="9"/>
        </w:numPr>
        <w:overflowPunct w:val="0"/>
        <w:autoSpaceDE w:val="0"/>
        <w:autoSpaceDN w:val="0"/>
        <w:adjustRightInd w:val="0"/>
        <w:ind w:hanging="294"/>
        <w:jc w:val="both"/>
        <w:textAlignment w:val="baseline"/>
        <w:rPr>
          <w:szCs w:val="22"/>
          <w:lang w:val="cs-CZ"/>
        </w:rPr>
      </w:pPr>
      <w:r w:rsidRPr="00C15F46">
        <w:rPr>
          <w:szCs w:val="22"/>
          <w:lang w:val="cs-CZ"/>
        </w:rPr>
        <w:t>Jednotlivé Transakce budou uzavírány prostřednictvím vybraných služeb elektronického bankovnictví Banky, a to za předpokladu, že Klient s Bankou uzavřel příslušné smlouvy o využití vybraných služeb elektronického bankovnictví Banky (jak jsou popsány v aktuálních Obchodních podmínkách pro poskytování služby ČSOB CEB; dále jen “Podmínky CEB”; smlouvy uvedené v Podmínkách CEB dále jen “Smlouvy CEB”). Transakce je s Klientem uzavřena v okamžiku jednoznačně projeveného souhlasu Klienta s podmínkami Transakce sdělenými Bankou, čímž se rozumí stisknutí tlačítka potvrzujícího uzavření Transakce Klientem. Smluvní strany sjednávají, že uzavřením Transakce se zavazují k plnění svých závazků a povinností vyplývajících z uzavření Transakce.</w:t>
      </w:r>
    </w:p>
    <w:p w14:paraId="61506D8B" w14:textId="77777777" w:rsidR="00D47942" w:rsidRPr="00C15F46" w:rsidRDefault="00D47942" w:rsidP="00D47942">
      <w:pPr>
        <w:ind w:left="708"/>
        <w:rPr>
          <w:szCs w:val="22"/>
          <w:lang w:val="cs-CZ"/>
        </w:rPr>
      </w:pPr>
    </w:p>
    <w:p w14:paraId="65876800" w14:textId="77777777" w:rsidR="00D47942" w:rsidRPr="00C15F46" w:rsidRDefault="00D47942" w:rsidP="00D47942">
      <w:pPr>
        <w:widowControl w:val="0"/>
        <w:numPr>
          <w:ilvl w:val="0"/>
          <w:numId w:val="9"/>
        </w:numPr>
        <w:overflowPunct w:val="0"/>
        <w:autoSpaceDE w:val="0"/>
        <w:autoSpaceDN w:val="0"/>
        <w:adjustRightInd w:val="0"/>
        <w:ind w:hanging="294"/>
        <w:jc w:val="both"/>
        <w:textAlignment w:val="baseline"/>
        <w:rPr>
          <w:szCs w:val="22"/>
          <w:lang w:val="cs-CZ"/>
        </w:rPr>
      </w:pPr>
      <w:r w:rsidRPr="00C15F46">
        <w:rPr>
          <w:szCs w:val="22"/>
          <w:lang w:val="cs-CZ"/>
        </w:rPr>
        <w:t>Banka si vyhrazuje právo kdykoliv odmítnout uzavření Transakce.</w:t>
      </w:r>
    </w:p>
    <w:p w14:paraId="16ADC788" w14:textId="77777777" w:rsidR="00D47942" w:rsidRPr="00C15F46" w:rsidRDefault="00D47942" w:rsidP="00D47942">
      <w:pPr>
        <w:ind w:left="708"/>
        <w:rPr>
          <w:szCs w:val="22"/>
          <w:lang w:val="cs-CZ"/>
        </w:rPr>
      </w:pPr>
    </w:p>
    <w:p w14:paraId="23CC65BA" w14:textId="77777777" w:rsidR="00D47942" w:rsidRPr="00C15F46" w:rsidRDefault="00D47942" w:rsidP="00D47942">
      <w:pPr>
        <w:widowControl w:val="0"/>
        <w:numPr>
          <w:ilvl w:val="0"/>
          <w:numId w:val="9"/>
        </w:numPr>
        <w:overflowPunct w:val="0"/>
        <w:autoSpaceDE w:val="0"/>
        <w:autoSpaceDN w:val="0"/>
        <w:adjustRightInd w:val="0"/>
        <w:ind w:hanging="294"/>
        <w:jc w:val="both"/>
        <w:textAlignment w:val="baseline"/>
        <w:rPr>
          <w:szCs w:val="22"/>
          <w:lang w:val="cs-CZ"/>
        </w:rPr>
      </w:pPr>
      <w:r w:rsidRPr="00C15F46">
        <w:rPr>
          <w:szCs w:val="22"/>
          <w:lang w:val="cs-CZ"/>
        </w:rPr>
        <w:t>Sjednávat Transakce je možno každý pracovní den, kdy jsou pobočky Banky otevřeny pro podnikání a zároveň jsou prováděny obchody na finančních trzích jak v České republice, tak i ve finančním centru měn, které jsou předmětem Transakce a to vždy od 8.45 h do 17.00 hodin.</w:t>
      </w:r>
    </w:p>
    <w:p w14:paraId="736768AF" w14:textId="77777777" w:rsidR="00D47942" w:rsidRPr="00C15F46" w:rsidRDefault="00D47942" w:rsidP="00D47942">
      <w:pPr>
        <w:ind w:left="708"/>
        <w:rPr>
          <w:szCs w:val="22"/>
          <w:lang w:val="cs-CZ"/>
        </w:rPr>
      </w:pPr>
    </w:p>
    <w:p w14:paraId="6127F2CA" w14:textId="275C25CB" w:rsidR="00D47942" w:rsidRPr="00264544" w:rsidRDefault="00D47942" w:rsidP="00D47942">
      <w:pPr>
        <w:widowControl w:val="0"/>
        <w:numPr>
          <w:ilvl w:val="0"/>
          <w:numId w:val="9"/>
        </w:numPr>
        <w:overflowPunct w:val="0"/>
        <w:autoSpaceDE w:val="0"/>
        <w:autoSpaceDN w:val="0"/>
        <w:adjustRightInd w:val="0"/>
        <w:ind w:hanging="294"/>
        <w:jc w:val="both"/>
        <w:textAlignment w:val="baseline"/>
        <w:rPr>
          <w:szCs w:val="22"/>
          <w:lang w:val="cs-CZ"/>
        </w:rPr>
      </w:pPr>
      <w:r w:rsidRPr="00C15F46">
        <w:rPr>
          <w:szCs w:val="22"/>
          <w:lang w:val="cs-CZ"/>
        </w:rPr>
        <w:t xml:space="preserve">Jménem Klienta mohou vybrané služby elektronického bankovnictví Banky využívat a sjednávat Transakce jednotlivé oprávněné osoby </w:t>
      </w:r>
      <w:r w:rsidR="002B7BA6">
        <w:rPr>
          <w:szCs w:val="22"/>
          <w:lang w:val="cs-CZ"/>
        </w:rPr>
        <w:t>uvedené v Příloze č. 11</w:t>
      </w:r>
      <w:r w:rsidRPr="00264544">
        <w:rPr>
          <w:szCs w:val="22"/>
          <w:lang w:val="cs-CZ"/>
        </w:rPr>
        <w:t xml:space="preserve"> Rámcové smlouvy a uvedené ve Smlouvách CEB. </w:t>
      </w:r>
    </w:p>
    <w:p w14:paraId="549A1AE7" w14:textId="77777777" w:rsidR="00D47942" w:rsidRPr="00C15F46" w:rsidRDefault="00D47942" w:rsidP="00D47942">
      <w:pPr>
        <w:ind w:left="708"/>
        <w:rPr>
          <w:szCs w:val="22"/>
          <w:lang w:val="cs-CZ"/>
        </w:rPr>
      </w:pPr>
    </w:p>
    <w:p w14:paraId="370702DC" w14:textId="77777777" w:rsidR="00D47942" w:rsidRPr="00C15F46" w:rsidRDefault="00D47942" w:rsidP="00D47942">
      <w:pPr>
        <w:widowControl w:val="0"/>
        <w:numPr>
          <w:ilvl w:val="0"/>
          <w:numId w:val="9"/>
        </w:numPr>
        <w:overflowPunct w:val="0"/>
        <w:autoSpaceDE w:val="0"/>
        <w:autoSpaceDN w:val="0"/>
        <w:adjustRightInd w:val="0"/>
        <w:ind w:hanging="294"/>
        <w:jc w:val="both"/>
        <w:textAlignment w:val="baseline"/>
        <w:rPr>
          <w:szCs w:val="22"/>
          <w:lang w:val="cs-CZ"/>
        </w:rPr>
      </w:pPr>
      <w:r w:rsidRPr="00C15F46">
        <w:rPr>
          <w:szCs w:val="22"/>
          <w:lang w:val="cs-CZ"/>
        </w:rPr>
        <w:t>Prostřednictvím vybraných služeb elektronického bankovnictví Banky je možno sjednávat následující druhy Transakcí:</w:t>
      </w:r>
    </w:p>
    <w:p w14:paraId="23057DD4" w14:textId="77777777" w:rsidR="00D47942" w:rsidRPr="00C15F46" w:rsidRDefault="00D47942" w:rsidP="00D47942">
      <w:pPr>
        <w:widowControl w:val="0"/>
        <w:numPr>
          <w:ilvl w:val="2"/>
          <w:numId w:val="8"/>
        </w:numPr>
        <w:overflowPunct w:val="0"/>
        <w:autoSpaceDE w:val="0"/>
        <w:autoSpaceDN w:val="0"/>
        <w:adjustRightInd w:val="0"/>
        <w:ind w:left="1134" w:hanging="425"/>
        <w:jc w:val="both"/>
        <w:textAlignment w:val="baseline"/>
        <w:rPr>
          <w:szCs w:val="22"/>
          <w:lang w:val="cs-CZ"/>
        </w:rPr>
      </w:pPr>
      <w:r w:rsidRPr="00C15F46">
        <w:rPr>
          <w:szCs w:val="22"/>
          <w:lang w:val="cs-CZ"/>
        </w:rPr>
        <w:t>promptní devizový obchod (spot);</w:t>
      </w:r>
    </w:p>
    <w:p w14:paraId="24B8E191" w14:textId="77777777" w:rsidR="00D47942" w:rsidRPr="00C15F46" w:rsidRDefault="00D47942" w:rsidP="00D47942">
      <w:pPr>
        <w:widowControl w:val="0"/>
        <w:numPr>
          <w:ilvl w:val="2"/>
          <w:numId w:val="8"/>
        </w:numPr>
        <w:overflowPunct w:val="0"/>
        <w:autoSpaceDE w:val="0"/>
        <w:autoSpaceDN w:val="0"/>
        <w:adjustRightInd w:val="0"/>
        <w:ind w:left="1134" w:hanging="425"/>
        <w:jc w:val="both"/>
        <w:textAlignment w:val="baseline"/>
        <w:rPr>
          <w:szCs w:val="22"/>
          <w:lang w:val="cs-CZ"/>
        </w:rPr>
      </w:pPr>
      <w:r w:rsidRPr="00C15F46">
        <w:rPr>
          <w:szCs w:val="22"/>
          <w:lang w:val="cs-CZ"/>
        </w:rPr>
        <w:t>termínový devizový obchod (forward);</w:t>
      </w:r>
    </w:p>
    <w:p w14:paraId="63B25050" w14:textId="77777777" w:rsidR="00D47942" w:rsidRPr="00C15F46" w:rsidRDefault="00D47942" w:rsidP="00D47942">
      <w:pPr>
        <w:widowControl w:val="0"/>
        <w:numPr>
          <w:ilvl w:val="2"/>
          <w:numId w:val="8"/>
        </w:numPr>
        <w:overflowPunct w:val="0"/>
        <w:autoSpaceDE w:val="0"/>
        <w:autoSpaceDN w:val="0"/>
        <w:adjustRightInd w:val="0"/>
        <w:ind w:left="1134" w:hanging="425"/>
        <w:jc w:val="both"/>
        <w:textAlignment w:val="baseline"/>
        <w:rPr>
          <w:szCs w:val="22"/>
          <w:lang w:val="cs-CZ"/>
        </w:rPr>
      </w:pPr>
      <w:r w:rsidRPr="00C15F46">
        <w:rPr>
          <w:szCs w:val="22"/>
          <w:lang w:val="cs-CZ"/>
        </w:rPr>
        <w:t>měnový swap.</w:t>
      </w:r>
    </w:p>
    <w:p w14:paraId="4AC008B2" w14:textId="77777777" w:rsidR="00D47942" w:rsidRPr="00C15F46" w:rsidRDefault="00D47942" w:rsidP="00D47942">
      <w:pPr>
        <w:widowControl w:val="0"/>
        <w:overflowPunct w:val="0"/>
        <w:autoSpaceDE w:val="0"/>
        <w:autoSpaceDN w:val="0"/>
        <w:adjustRightInd w:val="0"/>
        <w:ind w:left="709"/>
        <w:textAlignment w:val="baseline"/>
        <w:rPr>
          <w:szCs w:val="22"/>
          <w:lang w:val="cs-CZ"/>
        </w:rPr>
      </w:pPr>
    </w:p>
    <w:p w14:paraId="441A6344" w14:textId="77777777" w:rsidR="00D47942" w:rsidRPr="00C15F46" w:rsidRDefault="00D47942" w:rsidP="00D47942">
      <w:pPr>
        <w:widowControl w:val="0"/>
        <w:numPr>
          <w:ilvl w:val="0"/>
          <w:numId w:val="9"/>
        </w:numPr>
        <w:overflowPunct w:val="0"/>
        <w:autoSpaceDE w:val="0"/>
        <w:autoSpaceDN w:val="0"/>
        <w:adjustRightInd w:val="0"/>
        <w:ind w:hanging="295"/>
        <w:jc w:val="both"/>
        <w:textAlignment w:val="baseline"/>
        <w:rPr>
          <w:szCs w:val="22"/>
          <w:lang w:val="cs-CZ"/>
        </w:rPr>
      </w:pPr>
      <w:r w:rsidRPr="00C15F46">
        <w:rPr>
          <w:szCs w:val="22"/>
          <w:lang w:val="cs-CZ"/>
        </w:rPr>
        <w:t>(i)</w:t>
      </w:r>
      <w:r w:rsidRPr="00C15F46">
        <w:rPr>
          <w:szCs w:val="22"/>
          <w:lang w:val="cs-CZ"/>
        </w:rPr>
        <w:tab/>
        <w:t>Dohodnou-li se tak Klient a Banka a bude to technicky možné, Klient může předat Bance prostřednictvím vybraných služeb elektronického bankovnictví Banky pokyn, ve kterém stanoví podmínky, za kterých má Klient zájem uzavřít Transakci (dále jen „</w:t>
      </w:r>
      <w:r w:rsidRPr="00C15F46">
        <w:rPr>
          <w:b/>
          <w:szCs w:val="22"/>
          <w:lang w:val="cs-CZ"/>
        </w:rPr>
        <w:t>Pokyn</w:t>
      </w:r>
      <w:r w:rsidRPr="00C15F46">
        <w:rPr>
          <w:szCs w:val="22"/>
          <w:lang w:val="cs-CZ"/>
        </w:rPr>
        <w:t>“) – zejména požadovaný kurz (dále jen „</w:t>
      </w:r>
      <w:r w:rsidRPr="00C15F46">
        <w:rPr>
          <w:b/>
          <w:szCs w:val="22"/>
          <w:lang w:val="cs-CZ"/>
        </w:rPr>
        <w:t>Kurz pro Klienta</w:t>
      </w:r>
      <w:r w:rsidRPr="00C15F46">
        <w:rPr>
          <w:szCs w:val="22"/>
          <w:lang w:val="cs-CZ"/>
        </w:rPr>
        <w:t xml:space="preserve">“). Banka je oprávněna Pokyn odmítnout. V případě, že Banka Pokyn neodmítne, není Pokynem vázána, avšak Banka bude sledovat splnění podmínek stanovených v Pokynu na finančním trhu po dobu uvedenou v Pokynu. V případě, že na základě výhradního posouzení Banky dojde ke splnění podmínek uvedených v Pokynu, zejména pokud Kurz pro Klienta bude odpovídat podmínkám, za nichž Banka s Klientem běžně obchoduje transakce obdobného typu, Banka Pokyn splní. V takovém případě bude Banka bez zbytečného odkladu Klienta o splnění Pokynu informovat. Pro vyloučení pochybností Banka a Klient sjednávají, že splnění podmínek uvedených v Pokynu včetně okamžiku jejich splnění posuzuje výhradně Banka. Pokyn může Klient zrušit před uzavřením Transakce, a to pouze telefonicky s pověřenou osobou Banky (viz </w:t>
      </w:r>
      <w:r w:rsidRPr="00C15F46">
        <w:rPr>
          <w:szCs w:val="22"/>
          <w:u w:val="single"/>
          <w:lang w:val="cs-CZ"/>
        </w:rPr>
        <w:t>http://www.csob.cz/seznamdealeru</w:t>
      </w:r>
      <w:r w:rsidRPr="00C15F46">
        <w:rPr>
          <w:szCs w:val="22"/>
          <w:lang w:val="cs-CZ"/>
        </w:rPr>
        <w:t>). Jakákoliv změna nebo úprava Pokynu vyžaduje zrušení prvního Pokynu a udělení druhého Pokynu. Pro vyloučení pochybností platí, že Banka si vyhrazuje právo kdykoliv odmítnout uzavření Transakce.</w:t>
      </w:r>
    </w:p>
    <w:p w14:paraId="435EEFEF" w14:textId="77777777" w:rsidR="00D47942" w:rsidRPr="00C15F46" w:rsidRDefault="00D47942" w:rsidP="00D47942">
      <w:pPr>
        <w:widowControl w:val="0"/>
        <w:tabs>
          <w:tab w:val="left" w:pos="720"/>
        </w:tabs>
        <w:overflowPunct w:val="0"/>
        <w:autoSpaceDE w:val="0"/>
        <w:autoSpaceDN w:val="0"/>
        <w:adjustRightInd w:val="0"/>
        <w:ind w:left="720" w:hanging="295"/>
        <w:textAlignment w:val="baseline"/>
        <w:rPr>
          <w:szCs w:val="22"/>
          <w:lang w:val="cs-CZ"/>
        </w:rPr>
      </w:pPr>
      <w:r w:rsidRPr="00C15F46">
        <w:rPr>
          <w:szCs w:val="22"/>
          <w:lang w:val="cs-CZ"/>
        </w:rPr>
        <w:tab/>
        <w:t>(ii)</w:t>
      </w:r>
      <w:r w:rsidRPr="00C15F46">
        <w:rPr>
          <w:szCs w:val="22"/>
          <w:lang w:val="cs-CZ"/>
        </w:rPr>
        <w:tab/>
        <w:t>Klient a Banka sjednávají, že prostřednictvím vybraných služeb elektronického bankovnictví Banky může Klient předávat Bance Pokyn nebo Pokyny k následujícím druhům Transakcí:</w:t>
      </w:r>
    </w:p>
    <w:p w14:paraId="2C278190" w14:textId="77777777" w:rsidR="00D47942" w:rsidRPr="00C15F46" w:rsidRDefault="00D47942" w:rsidP="00D47942">
      <w:pPr>
        <w:pStyle w:val="msolistparagraph0"/>
        <w:widowControl w:val="0"/>
        <w:numPr>
          <w:ilvl w:val="0"/>
          <w:numId w:val="7"/>
        </w:numPr>
        <w:overflowPunct w:val="0"/>
        <w:autoSpaceDE w:val="0"/>
        <w:autoSpaceDN w:val="0"/>
        <w:adjustRightInd w:val="0"/>
        <w:jc w:val="both"/>
        <w:textAlignment w:val="baseline"/>
        <w:rPr>
          <w:szCs w:val="22"/>
          <w:lang w:val="cs-CZ"/>
        </w:rPr>
      </w:pPr>
      <w:r w:rsidRPr="00C15F46">
        <w:rPr>
          <w:szCs w:val="22"/>
          <w:lang w:val="cs-CZ"/>
        </w:rPr>
        <w:t>promptní devizový obchod (spot);</w:t>
      </w:r>
    </w:p>
    <w:p w14:paraId="02A22DB5" w14:textId="77777777" w:rsidR="00D47942" w:rsidRPr="00C15F46" w:rsidRDefault="00D47942" w:rsidP="00D47942">
      <w:pPr>
        <w:pStyle w:val="msolistparagraph0"/>
        <w:widowControl w:val="0"/>
        <w:numPr>
          <w:ilvl w:val="0"/>
          <w:numId w:val="7"/>
        </w:numPr>
        <w:overflowPunct w:val="0"/>
        <w:autoSpaceDE w:val="0"/>
        <w:autoSpaceDN w:val="0"/>
        <w:adjustRightInd w:val="0"/>
        <w:jc w:val="both"/>
        <w:textAlignment w:val="baseline"/>
        <w:rPr>
          <w:szCs w:val="22"/>
          <w:lang w:val="cs-CZ"/>
        </w:rPr>
      </w:pPr>
      <w:r w:rsidRPr="00C15F46">
        <w:rPr>
          <w:szCs w:val="22"/>
          <w:lang w:val="cs-CZ"/>
        </w:rPr>
        <w:t>termínový devizový obchod (forward).</w:t>
      </w:r>
    </w:p>
    <w:p w14:paraId="22C03BAB" w14:textId="77777777" w:rsidR="00D47942" w:rsidRPr="00C15F46" w:rsidRDefault="00D47942" w:rsidP="00D47942">
      <w:pPr>
        <w:rPr>
          <w:szCs w:val="22"/>
          <w:lang w:val="cs-CZ"/>
        </w:rPr>
      </w:pPr>
    </w:p>
    <w:p w14:paraId="43BDCA77" w14:textId="77777777" w:rsidR="00D47942" w:rsidRPr="00C15F46" w:rsidRDefault="00D47942" w:rsidP="00D47942">
      <w:pPr>
        <w:rPr>
          <w:szCs w:val="22"/>
          <w:lang w:val="cs-CZ"/>
        </w:rPr>
      </w:pPr>
    </w:p>
    <w:p w14:paraId="630D22AD" w14:textId="77777777" w:rsidR="00D47942" w:rsidRPr="00C15F46" w:rsidRDefault="00D47942" w:rsidP="00D47942">
      <w:pPr>
        <w:tabs>
          <w:tab w:val="left" w:pos="993"/>
        </w:tabs>
        <w:ind w:left="284"/>
        <w:rPr>
          <w:b/>
          <w:szCs w:val="22"/>
          <w:u w:val="single"/>
          <w:lang w:val="cs-CZ"/>
        </w:rPr>
      </w:pPr>
      <w:r w:rsidRPr="003E5A2B">
        <w:rPr>
          <w:b/>
          <w:szCs w:val="22"/>
          <w:lang w:val="cs-CZ"/>
        </w:rPr>
        <w:t>III.</w:t>
      </w:r>
      <w:r w:rsidRPr="003E5A2B">
        <w:rPr>
          <w:b/>
          <w:szCs w:val="22"/>
          <w:lang w:val="cs-CZ"/>
        </w:rPr>
        <w:tab/>
      </w:r>
      <w:r w:rsidRPr="00C15F46">
        <w:rPr>
          <w:b/>
          <w:szCs w:val="22"/>
          <w:u w:val="single"/>
          <w:lang w:val="cs-CZ"/>
        </w:rPr>
        <w:t>Zrušení Transakce</w:t>
      </w:r>
    </w:p>
    <w:p w14:paraId="09F832D3" w14:textId="77777777" w:rsidR="00D47942" w:rsidRPr="00C15F46" w:rsidRDefault="00D47942" w:rsidP="00D47942">
      <w:pPr>
        <w:rPr>
          <w:szCs w:val="22"/>
          <w:lang w:val="cs-CZ"/>
        </w:rPr>
      </w:pPr>
    </w:p>
    <w:p w14:paraId="11C27251" w14:textId="77777777" w:rsidR="00D47942" w:rsidRPr="00C15F46" w:rsidRDefault="00D47942" w:rsidP="00D47942">
      <w:pPr>
        <w:widowControl w:val="0"/>
        <w:numPr>
          <w:ilvl w:val="0"/>
          <w:numId w:val="10"/>
        </w:numPr>
        <w:overflowPunct w:val="0"/>
        <w:autoSpaceDE w:val="0"/>
        <w:autoSpaceDN w:val="0"/>
        <w:adjustRightInd w:val="0"/>
        <w:ind w:hanging="294"/>
        <w:jc w:val="both"/>
        <w:textAlignment w:val="baseline"/>
        <w:rPr>
          <w:szCs w:val="22"/>
          <w:lang w:val="cs-CZ"/>
        </w:rPr>
      </w:pPr>
      <w:r w:rsidRPr="00C15F46">
        <w:rPr>
          <w:szCs w:val="22"/>
          <w:lang w:val="cs-CZ"/>
        </w:rPr>
        <w:t>Zrušení dohodou Smluvních stran</w:t>
      </w:r>
    </w:p>
    <w:p w14:paraId="6BA84099" w14:textId="77777777" w:rsidR="00D47942" w:rsidRPr="00C15F46" w:rsidRDefault="00D47942" w:rsidP="00D47942">
      <w:pPr>
        <w:rPr>
          <w:szCs w:val="22"/>
          <w:lang w:val="cs-CZ"/>
        </w:rPr>
      </w:pPr>
    </w:p>
    <w:p w14:paraId="30C3301C" w14:textId="77777777" w:rsidR="00D47942" w:rsidRPr="00C15F46" w:rsidRDefault="00D47942" w:rsidP="00D47942">
      <w:pPr>
        <w:ind w:left="1134" w:hanging="425"/>
        <w:rPr>
          <w:szCs w:val="22"/>
          <w:lang w:val="cs-CZ"/>
        </w:rPr>
      </w:pPr>
      <w:r w:rsidRPr="00C15F46">
        <w:rPr>
          <w:szCs w:val="22"/>
          <w:lang w:val="cs-CZ"/>
        </w:rPr>
        <w:t>a)</w:t>
      </w:r>
      <w:r w:rsidRPr="00C15F46">
        <w:rPr>
          <w:szCs w:val="22"/>
          <w:lang w:val="cs-CZ"/>
        </w:rPr>
        <w:tab/>
        <w:t>Na základě dohody mezi smluvními stranami lze kteroukoliv Transakci předčasně zrušit.</w:t>
      </w:r>
    </w:p>
    <w:p w14:paraId="4B1965D5" w14:textId="77777777" w:rsidR="00D47942" w:rsidRPr="00C15F46" w:rsidRDefault="00D47942" w:rsidP="00D47942">
      <w:pPr>
        <w:ind w:left="360"/>
        <w:rPr>
          <w:szCs w:val="22"/>
          <w:lang w:val="cs-CZ"/>
        </w:rPr>
      </w:pPr>
    </w:p>
    <w:p w14:paraId="2864770B" w14:textId="77777777" w:rsidR="00D47942" w:rsidRPr="00C15F46" w:rsidRDefault="00D47942" w:rsidP="00D47942">
      <w:pPr>
        <w:ind w:left="1134" w:hanging="425"/>
        <w:rPr>
          <w:szCs w:val="22"/>
          <w:lang w:val="cs-CZ"/>
        </w:rPr>
      </w:pPr>
      <w:r w:rsidRPr="00C15F46">
        <w:rPr>
          <w:szCs w:val="22"/>
          <w:lang w:val="cs-CZ"/>
        </w:rPr>
        <w:t>b)</w:t>
      </w:r>
      <w:r w:rsidRPr="00C15F46">
        <w:rPr>
          <w:szCs w:val="22"/>
          <w:lang w:val="cs-CZ"/>
        </w:rPr>
        <w:tab/>
        <w:t>Banka vypočítá a nejpozději před uzavřením dohody dle předchozího bodu tohoto článku sdělí Klientovi vypořádací částku rušené Transakce a plátce takové vypořádací částky, přičemž Klient i Banka se zavazují poskytnout k určení vypořádací částky nezbytnou součinnost a podklady. Vypořádací částka bude vypočítána na základě obchodních zvyklostí a bude zahrnovat částku tržního ocenění rušené Transakce vypočteného k datu rušení Transakce.</w:t>
      </w:r>
    </w:p>
    <w:p w14:paraId="3137B298" w14:textId="77777777" w:rsidR="00D47942" w:rsidRPr="00C15F46" w:rsidRDefault="00D47942" w:rsidP="00D47942">
      <w:pPr>
        <w:ind w:left="360"/>
        <w:rPr>
          <w:szCs w:val="22"/>
          <w:lang w:val="cs-CZ"/>
        </w:rPr>
      </w:pPr>
    </w:p>
    <w:p w14:paraId="40CB43A4" w14:textId="77777777" w:rsidR="00D47942" w:rsidRPr="00C15F46" w:rsidRDefault="00D47942" w:rsidP="00D47942">
      <w:pPr>
        <w:ind w:left="1134" w:hanging="425"/>
        <w:rPr>
          <w:szCs w:val="22"/>
          <w:lang w:val="cs-CZ"/>
        </w:rPr>
      </w:pPr>
      <w:r w:rsidRPr="00C15F46">
        <w:rPr>
          <w:szCs w:val="22"/>
          <w:lang w:val="cs-CZ"/>
        </w:rPr>
        <w:t>c)</w:t>
      </w:r>
      <w:r w:rsidRPr="00C15F46">
        <w:rPr>
          <w:szCs w:val="22"/>
          <w:lang w:val="cs-CZ"/>
        </w:rPr>
        <w:tab/>
        <w:t>Způsob zrušení Transakce</w:t>
      </w:r>
    </w:p>
    <w:p w14:paraId="50EEBCEC" w14:textId="77777777" w:rsidR="00D47942" w:rsidRPr="00C15F46" w:rsidRDefault="00D47942" w:rsidP="00D47942">
      <w:pPr>
        <w:ind w:left="1134"/>
        <w:rPr>
          <w:szCs w:val="22"/>
          <w:lang w:val="cs-CZ"/>
        </w:rPr>
      </w:pPr>
    </w:p>
    <w:p w14:paraId="71D29B79" w14:textId="77777777" w:rsidR="00D47942" w:rsidRPr="00C15F46" w:rsidRDefault="00D47942" w:rsidP="00D47942">
      <w:pPr>
        <w:ind w:left="1134"/>
        <w:rPr>
          <w:szCs w:val="22"/>
          <w:lang w:val="cs-CZ"/>
        </w:rPr>
      </w:pPr>
      <w:r w:rsidRPr="00C15F46">
        <w:rPr>
          <w:szCs w:val="22"/>
          <w:lang w:val="cs-CZ"/>
        </w:rPr>
        <w:t xml:space="preserve">Zrušení Transakce je možné provést jedině na základě telefonické dohody s pověřenou osobou Banky (viz </w:t>
      </w:r>
      <w:r w:rsidRPr="00C15F46">
        <w:rPr>
          <w:szCs w:val="22"/>
          <w:u w:val="single"/>
          <w:lang w:val="cs-CZ"/>
        </w:rPr>
        <w:t>http://www.csob.cz/seznamdealeru</w:t>
      </w:r>
      <w:r w:rsidRPr="00C15F46">
        <w:rPr>
          <w:szCs w:val="22"/>
          <w:lang w:val="cs-CZ"/>
        </w:rPr>
        <w:t>).</w:t>
      </w:r>
    </w:p>
    <w:p w14:paraId="37A366D2" w14:textId="77777777" w:rsidR="00D47942" w:rsidRPr="00C15F46" w:rsidRDefault="00D47942" w:rsidP="00D47942">
      <w:pPr>
        <w:widowControl w:val="0"/>
        <w:overflowPunct w:val="0"/>
        <w:autoSpaceDE w:val="0"/>
        <w:autoSpaceDN w:val="0"/>
        <w:adjustRightInd w:val="0"/>
        <w:ind w:left="426"/>
        <w:textAlignment w:val="baseline"/>
        <w:rPr>
          <w:szCs w:val="22"/>
          <w:lang w:val="cs-CZ"/>
        </w:rPr>
      </w:pPr>
    </w:p>
    <w:p w14:paraId="12AC557E" w14:textId="77777777" w:rsidR="00D47942" w:rsidRPr="00C15F46" w:rsidRDefault="00D47942" w:rsidP="00D47942">
      <w:pPr>
        <w:widowControl w:val="0"/>
        <w:numPr>
          <w:ilvl w:val="0"/>
          <w:numId w:val="10"/>
        </w:numPr>
        <w:overflowPunct w:val="0"/>
        <w:autoSpaceDE w:val="0"/>
        <w:autoSpaceDN w:val="0"/>
        <w:adjustRightInd w:val="0"/>
        <w:ind w:hanging="294"/>
        <w:jc w:val="both"/>
        <w:textAlignment w:val="baseline"/>
        <w:rPr>
          <w:szCs w:val="22"/>
          <w:lang w:val="cs-CZ"/>
        </w:rPr>
      </w:pPr>
      <w:r w:rsidRPr="00C15F46">
        <w:rPr>
          <w:szCs w:val="22"/>
          <w:lang w:val="cs-CZ"/>
        </w:rPr>
        <w:t>Vynucené zrušení Transakce</w:t>
      </w:r>
    </w:p>
    <w:p w14:paraId="78587605" w14:textId="77777777" w:rsidR="00D47942" w:rsidRPr="00C15F46" w:rsidRDefault="00D47942" w:rsidP="00D47942">
      <w:pPr>
        <w:rPr>
          <w:szCs w:val="22"/>
          <w:lang w:val="cs-CZ"/>
        </w:rPr>
      </w:pPr>
    </w:p>
    <w:p w14:paraId="74B4A74F" w14:textId="77777777" w:rsidR="00D47942" w:rsidRPr="00C15F46" w:rsidRDefault="00D47942" w:rsidP="00D47942">
      <w:pPr>
        <w:ind w:left="426"/>
        <w:rPr>
          <w:szCs w:val="22"/>
          <w:lang w:val="cs-CZ"/>
        </w:rPr>
      </w:pPr>
      <w:r w:rsidRPr="00C15F46">
        <w:rPr>
          <w:szCs w:val="22"/>
          <w:lang w:val="cs-CZ"/>
        </w:rPr>
        <w:t>Banka je oprávněna jednostranně zrušit Transakci, bude-li Klient k Určenému datu plnění v prodlení se svým platebním závazkem, resp. nebude k Určenému datu plnění na příslušném účtu Klienta dostatek finančních prostředků určených k vypořádání anebo nastane-li případ porušení Rámcové smlouvy.</w:t>
      </w:r>
    </w:p>
    <w:p w14:paraId="51836787" w14:textId="77777777" w:rsidR="00D47942" w:rsidRPr="00C15F46" w:rsidRDefault="00D47942" w:rsidP="00D47942">
      <w:pPr>
        <w:ind w:left="426"/>
        <w:rPr>
          <w:szCs w:val="22"/>
          <w:lang w:val="cs-CZ"/>
        </w:rPr>
      </w:pPr>
    </w:p>
    <w:p w14:paraId="39277A30" w14:textId="77777777" w:rsidR="00D47942" w:rsidRPr="00C15F46" w:rsidRDefault="00D47942" w:rsidP="00D47942">
      <w:pPr>
        <w:ind w:left="426"/>
        <w:rPr>
          <w:szCs w:val="22"/>
          <w:lang w:val="cs-CZ"/>
        </w:rPr>
      </w:pPr>
    </w:p>
    <w:p w14:paraId="3A875C9A" w14:textId="77777777" w:rsidR="00D47942" w:rsidRPr="00C15F46" w:rsidRDefault="00D47942" w:rsidP="00D47942">
      <w:pPr>
        <w:tabs>
          <w:tab w:val="left" w:pos="993"/>
        </w:tabs>
        <w:ind w:left="284"/>
        <w:rPr>
          <w:b/>
          <w:szCs w:val="22"/>
          <w:u w:val="single"/>
          <w:lang w:val="cs-CZ"/>
        </w:rPr>
      </w:pPr>
      <w:r w:rsidRPr="003E5A2B">
        <w:rPr>
          <w:b/>
          <w:szCs w:val="22"/>
          <w:lang w:val="cs-CZ"/>
        </w:rPr>
        <w:t>IV.</w:t>
      </w:r>
      <w:r w:rsidRPr="003E5A2B">
        <w:rPr>
          <w:b/>
          <w:szCs w:val="22"/>
          <w:lang w:val="cs-CZ"/>
        </w:rPr>
        <w:tab/>
      </w:r>
      <w:r w:rsidRPr="00C15F46">
        <w:rPr>
          <w:b/>
          <w:szCs w:val="22"/>
          <w:u w:val="single"/>
          <w:lang w:val="cs-CZ"/>
        </w:rPr>
        <w:t>Obecná ustanovení</w:t>
      </w:r>
    </w:p>
    <w:p w14:paraId="75F85FA0" w14:textId="77777777" w:rsidR="00D47942" w:rsidRPr="00C15F46" w:rsidRDefault="00D47942" w:rsidP="00D47942">
      <w:pPr>
        <w:ind w:left="426"/>
        <w:rPr>
          <w:szCs w:val="22"/>
          <w:lang w:val="cs-CZ"/>
        </w:rPr>
      </w:pPr>
    </w:p>
    <w:p w14:paraId="54797B9A"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Banka si vyhrazuje právo pozastavit přístup ke sjednávání Transakcí prostřednictvím vybraných služeb elektronického bankovnictví Banky, aniž je nutné předchozí upozornění Klienta</w:t>
      </w:r>
    </w:p>
    <w:p w14:paraId="5387B429" w14:textId="77777777" w:rsidR="00D47942" w:rsidRPr="00C15F46" w:rsidRDefault="00D47942" w:rsidP="00D47942">
      <w:pPr>
        <w:ind w:left="396"/>
        <w:rPr>
          <w:szCs w:val="22"/>
          <w:lang w:val="cs-CZ"/>
        </w:rPr>
      </w:pPr>
    </w:p>
    <w:p w14:paraId="18177458"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V případě mimořádných výkyvů na devizovém trhu je Banka oprávněna vypnout automatické provádění Transakcí a převést systém do modu se zásahem pracovníků Banky s okamžitým účinkem, aniž je nutné předchozí upozornění Klienta. Zásah pracovníků Banky nastává rovněž v případě, že požadovaný objem Transakce překročí určitý objemový limit, nebo tržní kotace v obchodních informačních systémech nejsou po určitou dobu aktualizovány.</w:t>
      </w:r>
    </w:p>
    <w:p w14:paraId="56D71993" w14:textId="77777777" w:rsidR="00D47942" w:rsidRPr="00C15F46" w:rsidRDefault="00D47942" w:rsidP="00D47942">
      <w:pPr>
        <w:ind w:left="426"/>
        <w:rPr>
          <w:szCs w:val="22"/>
          <w:lang w:val="cs-CZ"/>
        </w:rPr>
      </w:pPr>
    </w:p>
    <w:p w14:paraId="14FD12CB" w14:textId="77777777" w:rsidR="00D47942" w:rsidRPr="00C15F46" w:rsidRDefault="00D47942" w:rsidP="00D47942">
      <w:pPr>
        <w:rPr>
          <w:szCs w:val="22"/>
          <w:lang w:val="cs-CZ"/>
        </w:rPr>
      </w:pPr>
    </w:p>
    <w:p w14:paraId="4BC6A8EC"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Klient se zavazuje používat vybrané služby elektronického bankovnictví Banky s náležitou péčí a výhradně k povoleným účelům a vždy v souladu s Rámcovou smlouvou a Smlouvami CEB.</w:t>
      </w:r>
    </w:p>
    <w:p w14:paraId="1F4B41E6" w14:textId="77777777" w:rsidR="00D47942" w:rsidRPr="00C15F46" w:rsidRDefault="00D47942" w:rsidP="00D47942">
      <w:pPr>
        <w:rPr>
          <w:szCs w:val="22"/>
          <w:lang w:val="cs-CZ"/>
        </w:rPr>
      </w:pPr>
    </w:p>
    <w:p w14:paraId="252BD811"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 xml:space="preserve">Klient se dále zavazuje informovat oprávněné osoby o všech závazcích, které přijal podle této Rámcové smlouvy a Smluv CEB a zavázat je k dodržování těchto závazků. </w:t>
      </w:r>
    </w:p>
    <w:p w14:paraId="1E0CD0E8" w14:textId="77777777" w:rsidR="00D47942" w:rsidRPr="00C15F46" w:rsidRDefault="00D47942" w:rsidP="00D47942">
      <w:pPr>
        <w:rPr>
          <w:szCs w:val="22"/>
          <w:lang w:val="cs-CZ"/>
        </w:rPr>
      </w:pPr>
    </w:p>
    <w:p w14:paraId="6CB707C1"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Klient souhlasí, že platná a závazná Transakce prostřednictvím vybraných služeb elektronického bankovnictví Banky se uskuteční po stisknutí tlačítka potvrzujícího uzavření Transakce a následném zobrazení specifického čísla Transakce, které se vztahuje ke každé konkrétní Transakci a zobrazení Transakce v přehledu uzavřených Transakcí ve vybraných službách elektronického bankovnictví Banky.</w:t>
      </w:r>
    </w:p>
    <w:p w14:paraId="44B16F26" w14:textId="77777777" w:rsidR="00D47942" w:rsidRPr="00C15F46" w:rsidRDefault="00D47942" w:rsidP="00D47942">
      <w:pPr>
        <w:rPr>
          <w:szCs w:val="22"/>
          <w:lang w:val="cs-CZ"/>
        </w:rPr>
      </w:pPr>
    </w:p>
    <w:p w14:paraId="6601DE58" w14:textId="77777777" w:rsidR="00D47942" w:rsidRPr="00C15F46" w:rsidRDefault="00D47942" w:rsidP="00D47942">
      <w:pPr>
        <w:widowControl w:val="0"/>
        <w:numPr>
          <w:ilvl w:val="3"/>
          <w:numId w:val="8"/>
        </w:numPr>
        <w:overflowPunct w:val="0"/>
        <w:autoSpaceDE w:val="0"/>
        <w:autoSpaceDN w:val="0"/>
        <w:adjustRightInd w:val="0"/>
        <w:jc w:val="both"/>
        <w:textAlignment w:val="baseline"/>
        <w:rPr>
          <w:szCs w:val="22"/>
          <w:lang w:val="cs-CZ"/>
        </w:rPr>
      </w:pPr>
      <w:r w:rsidRPr="00C15F46">
        <w:rPr>
          <w:szCs w:val="22"/>
          <w:lang w:val="cs-CZ"/>
        </w:rPr>
        <w:t>Po uzavření Transakce, Banka zašle Klientovi Konfirmaci, ve které potvrzuje konkrétní podrobnosti sjednané Transakce. Vypořádání veškerých uzavřených Transakcí bude prováděno v souladu s instrukcemi pro vypořádání, na kterých se Klient dohodl s Bankou.</w:t>
      </w:r>
    </w:p>
    <w:p w14:paraId="70BBB221" w14:textId="77777777" w:rsidR="00D47942" w:rsidRPr="00C15F46" w:rsidRDefault="00D47942" w:rsidP="00D47942">
      <w:pPr>
        <w:tabs>
          <w:tab w:val="left" w:pos="993"/>
        </w:tabs>
        <w:ind w:left="284"/>
        <w:rPr>
          <w:b/>
          <w:szCs w:val="22"/>
          <w:u w:val="single"/>
          <w:lang w:val="cs-CZ"/>
        </w:rPr>
      </w:pPr>
    </w:p>
    <w:p w14:paraId="6BAD85DC" w14:textId="77777777" w:rsidR="00D47942" w:rsidRPr="00C15F46" w:rsidRDefault="00D47942" w:rsidP="00D47942">
      <w:pPr>
        <w:tabs>
          <w:tab w:val="left" w:pos="993"/>
        </w:tabs>
        <w:ind w:left="284"/>
        <w:rPr>
          <w:b/>
          <w:szCs w:val="22"/>
          <w:u w:val="single"/>
          <w:lang w:val="cs-CZ"/>
        </w:rPr>
      </w:pPr>
    </w:p>
    <w:p w14:paraId="7AF53C15" w14:textId="77777777" w:rsidR="00D47942" w:rsidRPr="00C15F46" w:rsidRDefault="00D47942" w:rsidP="00D47942">
      <w:pPr>
        <w:tabs>
          <w:tab w:val="left" w:pos="993"/>
        </w:tabs>
        <w:ind w:left="284"/>
        <w:rPr>
          <w:b/>
          <w:szCs w:val="22"/>
          <w:u w:val="single"/>
          <w:lang w:val="cs-CZ"/>
        </w:rPr>
      </w:pPr>
      <w:r w:rsidRPr="003E5A2B">
        <w:rPr>
          <w:b/>
          <w:szCs w:val="22"/>
          <w:lang w:val="cs-CZ"/>
        </w:rPr>
        <w:t>V.</w:t>
      </w:r>
      <w:r w:rsidRPr="003E5A2B">
        <w:rPr>
          <w:b/>
          <w:szCs w:val="22"/>
          <w:lang w:val="cs-CZ"/>
        </w:rPr>
        <w:tab/>
      </w:r>
      <w:r w:rsidRPr="00C15F46">
        <w:rPr>
          <w:b/>
          <w:szCs w:val="22"/>
          <w:u w:val="single"/>
          <w:lang w:val="cs-CZ"/>
        </w:rPr>
        <w:t>Identifikace a autentizace Klienta – oprávněné osoby</w:t>
      </w:r>
    </w:p>
    <w:p w14:paraId="2D0EF8E0" w14:textId="77777777" w:rsidR="00D47942" w:rsidRPr="00C15F46" w:rsidRDefault="00D47942" w:rsidP="00D47942">
      <w:pPr>
        <w:rPr>
          <w:szCs w:val="22"/>
          <w:lang w:val="cs-CZ"/>
        </w:rPr>
      </w:pPr>
    </w:p>
    <w:p w14:paraId="326E7DF8" w14:textId="77777777" w:rsidR="00D47942" w:rsidRPr="00C15F46" w:rsidRDefault="00D47942" w:rsidP="00D47942">
      <w:pPr>
        <w:ind w:left="284"/>
        <w:rPr>
          <w:szCs w:val="22"/>
          <w:lang w:val="cs-CZ"/>
        </w:rPr>
      </w:pPr>
      <w:r w:rsidRPr="00C15F46">
        <w:rPr>
          <w:szCs w:val="22"/>
          <w:lang w:val="cs-CZ"/>
        </w:rPr>
        <w:t xml:space="preserve">Podmínky pro identifikaci a autentizaci Klienta jsou popsány zejména v Obchodních podmínkách pro ČSOB identitu (dale jen “Podmínky identity”), jejichž aktuální znění je k dispozici na: </w:t>
      </w:r>
      <w:hyperlink r:id="rId17" w:history="1">
        <w:r w:rsidRPr="00C15F46">
          <w:rPr>
            <w:rStyle w:val="Hypertextovodkaz"/>
            <w:szCs w:val="22"/>
            <w:lang w:val="cs-CZ"/>
          </w:rPr>
          <w:t>https://www.csob.cz/portal/o-csob/obchodni-podminky/obchodni-podminky-csob</w:t>
        </w:r>
      </w:hyperlink>
      <w:r w:rsidRPr="00C15F46">
        <w:rPr>
          <w:szCs w:val="22"/>
          <w:lang w:val="cs-CZ"/>
        </w:rPr>
        <w:t xml:space="preserve"> </w:t>
      </w:r>
    </w:p>
    <w:p w14:paraId="53E36FB4" w14:textId="77777777" w:rsidR="00D47942" w:rsidRPr="00C15F46" w:rsidRDefault="00D47942" w:rsidP="00D47942">
      <w:pPr>
        <w:rPr>
          <w:szCs w:val="22"/>
          <w:lang w:val="cs-CZ"/>
        </w:rPr>
      </w:pPr>
    </w:p>
    <w:p w14:paraId="574139B6" w14:textId="77777777" w:rsidR="00D47942" w:rsidRPr="00C15F46" w:rsidRDefault="00D47942" w:rsidP="00D47942">
      <w:pPr>
        <w:ind w:firstLine="284"/>
        <w:rPr>
          <w:szCs w:val="22"/>
          <w:lang w:val="cs-CZ"/>
        </w:rPr>
      </w:pPr>
      <w:r w:rsidRPr="00C15F46">
        <w:rPr>
          <w:szCs w:val="22"/>
          <w:lang w:val="cs-CZ"/>
        </w:rPr>
        <w:t>Klient potvrzuje, že se s Podmínkami identity seznámil, souhlasí s nimi a zavazuje se je dodržovat.</w:t>
      </w:r>
    </w:p>
    <w:p w14:paraId="7C4FD57A" w14:textId="77777777" w:rsidR="00D47942" w:rsidRPr="00C15F46" w:rsidRDefault="00D47942" w:rsidP="00D47942">
      <w:pPr>
        <w:tabs>
          <w:tab w:val="left" w:pos="993"/>
        </w:tabs>
        <w:ind w:left="284"/>
        <w:rPr>
          <w:b/>
          <w:szCs w:val="22"/>
          <w:u w:val="single"/>
          <w:lang w:val="cs-CZ"/>
        </w:rPr>
      </w:pPr>
    </w:p>
    <w:p w14:paraId="1DBDABC6" w14:textId="77777777" w:rsidR="00D47942" w:rsidRPr="00C15F46" w:rsidRDefault="00D47942" w:rsidP="00D47942">
      <w:pPr>
        <w:tabs>
          <w:tab w:val="left" w:pos="993"/>
        </w:tabs>
        <w:ind w:left="284"/>
        <w:rPr>
          <w:b/>
          <w:szCs w:val="22"/>
          <w:u w:val="single"/>
          <w:lang w:val="cs-CZ"/>
        </w:rPr>
      </w:pPr>
    </w:p>
    <w:p w14:paraId="1073878D" w14:textId="77777777" w:rsidR="00D47942" w:rsidRPr="00C15F46" w:rsidRDefault="00D47942" w:rsidP="00D47942">
      <w:pPr>
        <w:tabs>
          <w:tab w:val="left" w:pos="993"/>
        </w:tabs>
        <w:ind w:left="284"/>
        <w:rPr>
          <w:b/>
          <w:szCs w:val="22"/>
          <w:u w:val="single"/>
          <w:lang w:val="cs-CZ"/>
        </w:rPr>
      </w:pPr>
      <w:r w:rsidRPr="003E5A2B">
        <w:rPr>
          <w:b/>
          <w:szCs w:val="22"/>
          <w:lang w:val="cs-CZ"/>
        </w:rPr>
        <w:t>VI.</w:t>
      </w:r>
      <w:r w:rsidRPr="003E5A2B">
        <w:rPr>
          <w:b/>
          <w:szCs w:val="22"/>
          <w:lang w:val="cs-CZ"/>
        </w:rPr>
        <w:tab/>
      </w:r>
      <w:r w:rsidRPr="00C15F46">
        <w:rPr>
          <w:b/>
          <w:szCs w:val="22"/>
          <w:u w:val="single"/>
          <w:lang w:val="cs-CZ"/>
        </w:rPr>
        <w:t>Práva, povinnosti a odpovědnost Klienta</w:t>
      </w:r>
    </w:p>
    <w:p w14:paraId="3B23DDAD" w14:textId="77777777" w:rsidR="00D47942" w:rsidRPr="00C15F46" w:rsidRDefault="00D47942" w:rsidP="00D47942">
      <w:pPr>
        <w:rPr>
          <w:szCs w:val="22"/>
          <w:lang w:val="cs-CZ"/>
        </w:rPr>
      </w:pPr>
    </w:p>
    <w:p w14:paraId="69FC0B30" w14:textId="77777777" w:rsidR="00D47942" w:rsidRPr="00C15F46" w:rsidRDefault="00D47942" w:rsidP="00D47942">
      <w:pPr>
        <w:ind w:left="709" w:hanging="283"/>
        <w:rPr>
          <w:szCs w:val="22"/>
          <w:lang w:val="cs-CZ"/>
        </w:rPr>
      </w:pPr>
      <w:r w:rsidRPr="00C15F46">
        <w:rPr>
          <w:szCs w:val="22"/>
          <w:lang w:val="cs-CZ"/>
        </w:rPr>
        <w:t>1.</w:t>
      </w:r>
      <w:r w:rsidRPr="00C15F46">
        <w:rPr>
          <w:szCs w:val="22"/>
          <w:lang w:val="cs-CZ"/>
        </w:rPr>
        <w:tab/>
        <w:t>Klient – oprávněná osoba – je povinen užívat vybrané služby elektronického bankovnictví Banky plně v souladu s Rámcovou smlouvou a Smlouvami CEB, dbát na to, aby se žádná jiná osoba neseznámila s využívanými bezpečnostními prvky, nesmí tyto bezpečnostní prvky jiné osobě sdělit, příp. je jakkoliv zaznamenávat ve snadno rozeznatelné podobě.</w:t>
      </w:r>
    </w:p>
    <w:p w14:paraId="05462C5F" w14:textId="77777777" w:rsidR="00D47942" w:rsidRPr="00C15F46" w:rsidRDefault="00D47942" w:rsidP="00D47942">
      <w:pPr>
        <w:ind w:left="360"/>
        <w:rPr>
          <w:szCs w:val="22"/>
          <w:lang w:val="cs-CZ"/>
        </w:rPr>
      </w:pPr>
    </w:p>
    <w:p w14:paraId="7020FC9E" w14:textId="77777777" w:rsidR="00D47942" w:rsidRPr="00C15F46" w:rsidRDefault="00D47942" w:rsidP="00D47942">
      <w:pPr>
        <w:widowControl w:val="0"/>
        <w:numPr>
          <w:ilvl w:val="0"/>
          <w:numId w:val="20"/>
        </w:numPr>
        <w:tabs>
          <w:tab w:val="num" w:pos="786"/>
        </w:tabs>
        <w:overflowPunct w:val="0"/>
        <w:autoSpaceDE w:val="0"/>
        <w:autoSpaceDN w:val="0"/>
        <w:adjustRightInd w:val="0"/>
        <w:jc w:val="both"/>
        <w:textAlignment w:val="baseline"/>
        <w:rPr>
          <w:szCs w:val="22"/>
          <w:lang w:val="cs-CZ"/>
        </w:rPr>
      </w:pPr>
      <w:r w:rsidRPr="00C15F46">
        <w:rPr>
          <w:szCs w:val="22"/>
          <w:lang w:val="cs-CZ"/>
        </w:rPr>
        <w:t>Pokud Banka zjistí, že jednání Klienta – oprávněné osoby – je v rozporu s Rámcovou smlouvou nebo Smlouvami CEB, má Banka právo na okamžité zablokování vybraných služeb elektronického bankovnictví Banky a případně na následné vypovězení Rámcové smlouvy.</w:t>
      </w:r>
    </w:p>
    <w:p w14:paraId="3C883DDF" w14:textId="77777777" w:rsidR="00D47942" w:rsidRPr="00C15F46" w:rsidRDefault="00D47942" w:rsidP="00D47942">
      <w:pPr>
        <w:tabs>
          <w:tab w:val="left" w:pos="993"/>
        </w:tabs>
        <w:ind w:left="284"/>
        <w:rPr>
          <w:b/>
          <w:szCs w:val="22"/>
          <w:u w:val="single"/>
          <w:lang w:val="cs-CZ"/>
        </w:rPr>
      </w:pPr>
    </w:p>
    <w:p w14:paraId="51BA733F" w14:textId="77777777" w:rsidR="00D47942" w:rsidRPr="00C15F46" w:rsidRDefault="00D47942" w:rsidP="00D47942">
      <w:pPr>
        <w:tabs>
          <w:tab w:val="left" w:pos="993"/>
        </w:tabs>
        <w:ind w:left="284"/>
        <w:rPr>
          <w:b/>
          <w:szCs w:val="22"/>
          <w:u w:val="single"/>
          <w:lang w:val="cs-CZ"/>
        </w:rPr>
      </w:pPr>
    </w:p>
    <w:p w14:paraId="78E40C8D" w14:textId="77777777" w:rsidR="00D47942" w:rsidRPr="00C15F46" w:rsidRDefault="00D47942" w:rsidP="00D47942">
      <w:pPr>
        <w:tabs>
          <w:tab w:val="left" w:pos="993"/>
        </w:tabs>
        <w:ind w:left="284"/>
        <w:rPr>
          <w:b/>
          <w:szCs w:val="22"/>
          <w:u w:val="single"/>
          <w:lang w:val="cs-CZ"/>
        </w:rPr>
      </w:pPr>
      <w:r w:rsidRPr="003E5A2B">
        <w:rPr>
          <w:b/>
          <w:szCs w:val="22"/>
          <w:lang w:val="cs-CZ"/>
        </w:rPr>
        <w:t>VII.</w:t>
      </w:r>
      <w:r w:rsidRPr="003E5A2B">
        <w:rPr>
          <w:b/>
          <w:szCs w:val="22"/>
          <w:lang w:val="cs-CZ"/>
        </w:rPr>
        <w:tab/>
      </w:r>
      <w:r w:rsidRPr="00C15F46">
        <w:rPr>
          <w:b/>
          <w:szCs w:val="22"/>
          <w:u w:val="single"/>
          <w:lang w:val="cs-CZ"/>
        </w:rPr>
        <w:t>Práva, povinnosti a odpovědnost Banky</w:t>
      </w:r>
    </w:p>
    <w:p w14:paraId="5FC2872A" w14:textId="77777777" w:rsidR="00D47942" w:rsidRPr="00C15F46" w:rsidRDefault="00D47942" w:rsidP="00D47942">
      <w:pPr>
        <w:rPr>
          <w:szCs w:val="22"/>
          <w:lang w:val="cs-CZ"/>
        </w:rPr>
      </w:pPr>
    </w:p>
    <w:p w14:paraId="44C83F88" w14:textId="77777777" w:rsidR="00D47942" w:rsidRPr="00C15F46" w:rsidRDefault="00D47942" w:rsidP="00D47942">
      <w:pPr>
        <w:ind w:left="360"/>
        <w:rPr>
          <w:szCs w:val="22"/>
          <w:lang w:val="cs-CZ"/>
        </w:rPr>
      </w:pPr>
    </w:p>
    <w:p w14:paraId="513A261D" w14:textId="77777777" w:rsidR="00D47942" w:rsidRPr="00C15F46" w:rsidRDefault="00D47942" w:rsidP="00D47942">
      <w:pPr>
        <w:widowControl w:val="0"/>
        <w:numPr>
          <w:ilvl w:val="0"/>
          <w:numId w:val="12"/>
        </w:numPr>
        <w:overflowPunct w:val="0"/>
        <w:autoSpaceDE w:val="0"/>
        <w:autoSpaceDN w:val="0"/>
        <w:adjustRightInd w:val="0"/>
        <w:jc w:val="both"/>
        <w:textAlignment w:val="baseline"/>
        <w:rPr>
          <w:szCs w:val="22"/>
          <w:lang w:val="cs-CZ"/>
        </w:rPr>
      </w:pPr>
      <w:r w:rsidRPr="00C15F46">
        <w:rPr>
          <w:szCs w:val="22"/>
          <w:lang w:val="cs-CZ"/>
        </w:rPr>
        <w:t>Banka nese odpovědnost za:</w:t>
      </w:r>
    </w:p>
    <w:p w14:paraId="3ED4FAFB" w14:textId="77777777" w:rsidR="00D47942" w:rsidRPr="00C15F46" w:rsidRDefault="00D47942" w:rsidP="00D47942">
      <w:pPr>
        <w:widowControl w:val="0"/>
        <w:numPr>
          <w:ilvl w:val="0"/>
          <w:numId w:val="13"/>
        </w:numPr>
        <w:overflowPunct w:val="0"/>
        <w:autoSpaceDE w:val="0"/>
        <w:autoSpaceDN w:val="0"/>
        <w:adjustRightInd w:val="0"/>
        <w:ind w:left="1134" w:hanging="425"/>
        <w:jc w:val="both"/>
        <w:textAlignment w:val="baseline"/>
        <w:rPr>
          <w:szCs w:val="22"/>
          <w:lang w:val="cs-CZ"/>
        </w:rPr>
      </w:pPr>
      <w:r w:rsidRPr="00C15F46">
        <w:rPr>
          <w:szCs w:val="22"/>
          <w:lang w:val="cs-CZ"/>
        </w:rPr>
        <w:t>chybné provedení Transakce, případně za neprovedení uzavřené Transakce</w:t>
      </w:r>
    </w:p>
    <w:p w14:paraId="0BAD3DDD" w14:textId="77777777" w:rsidR="00D47942" w:rsidRPr="00C15F46" w:rsidRDefault="00D47942" w:rsidP="00D47942">
      <w:pPr>
        <w:widowControl w:val="0"/>
        <w:numPr>
          <w:ilvl w:val="0"/>
          <w:numId w:val="13"/>
        </w:numPr>
        <w:overflowPunct w:val="0"/>
        <w:autoSpaceDE w:val="0"/>
        <w:autoSpaceDN w:val="0"/>
        <w:adjustRightInd w:val="0"/>
        <w:ind w:left="1134" w:hanging="425"/>
        <w:jc w:val="both"/>
        <w:textAlignment w:val="baseline"/>
        <w:rPr>
          <w:szCs w:val="22"/>
          <w:lang w:val="cs-CZ"/>
        </w:rPr>
      </w:pPr>
      <w:r w:rsidRPr="00C15F46">
        <w:rPr>
          <w:szCs w:val="22"/>
          <w:lang w:val="cs-CZ"/>
        </w:rPr>
        <w:t>chyby nebo jiné nesrovnalosti, za jejichž původce lze považovat výhradně Banku.</w:t>
      </w:r>
    </w:p>
    <w:p w14:paraId="102AF020" w14:textId="77777777" w:rsidR="00D47942" w:rsidRPr="00C15F46" w:rsidRDefault="00D47942" w:rsidP="00D47942">
      <w:pPr>
        <w:ind w:left="709"/>
        <w:rPr>
          <w:szCs w:val="22"/>
          <w:lang w:val="cs-CZ"/>
        </w:rPr>
      </w:pPr>
    </w:p>
    <w:p w14:paraId="5A4AAEE0" w14:textId="77777777" w:rsidR="00D47942" w:rsidRPr="00C15F46" w:rsidRDefault="00D47942" w:rsidP="00D47942">
      <w:pPr>
        <w:widowControl w:val="0"/>
        <w:numPr>
          <w:ilvl w:val="0"/>
          <w:numId w:val="12"/>
        </w:numPr>
        <w:overflowPunct w:val="0"/>
        <w:autoSpaceDE w:val="0"/>
        <w:autoSpaceDN w:val="0"/>
        <w:adjustRightInd w:val="0"/>
        <w:jc w:val="both"/>
        <w:textAlignment w:val="baseline"/>
        <w:rPr>
          <w:szCs w:val="22"/>
          <w:lang w:val="cs-CZ"/>
        </w:rPr>
      </w:pPr>
      <w:r w:rsidRPr="00C15F46">
        <w:rPr>
          <w:szCs w:val="22"/>
          <w:lang w:val="cs-CZ"/>
        </w:rPr>
        <w:t>V případech uvedených v předchozím bodu poskytne Banka Klientovi:</w:t>
      </w:r>
    </w:p>
    <w:p w14:paraId="7E23AA80" w14:textId="77777777" w:rsidR="00D47942" w:rsidRPr="00C15F46" w:rsidRDefault="00D47942" w:rsidP="00D47942">
      <w:pPr>
        <w:widowControl w:val="0"/>
        <w:numPr>
          <w:ilvl w:val="0"/>
          <w:numId w:val="14"/>
        </w:numPr>
        <w:overflowPunct w:val="0"/>
        <w:autoSpaceDE w:val="0"/>
        <w:autoSpaceDN w:val="0"/>
        <w:adjustRightInd w:val="0"/>
        <w:ind w:left="1134" w:hanging="425"/>
        <w:jc w:val="both"/>
        <w:textAlignment w:val="baseline"/>
        <w:rPr>
          <w:szCs w:val="22"/>
          <w:lang w:val="cs-CZ"/>
        </w:rPr>
      </w:pPr>
      <w:r w:rsidRPr="00C15F46">
        <w:rPr>
          <w:szCs w:val="22"/>
          <w:lang w:val="cs-CZ"/>
        </w:rPr>
        <w:t>částku neprovedené nebo chybně provedené Transakce včetně případného úroku z ní,</w:t>
      </w:r>
    </w:p>
    <w:p w14:paraId="3950FC9E" w14:textId="77777777" w:rsidR="00D47942" w:rsidRPr="00C15F46" w:rsidRDefault="00D47942" w:rsidP="00D47942">
      <w:pPr>
        <w:widowControl w:val="0"/>
        <w:numPr>
          <w:ilvl w:val="0"/>
          <w:numId w:val="14"/>
        </w:numPr>
        <w:overflowPunct w:val="0"/>
        <w:autoSpaceDE w:val="0"/>
        <w:autoSpaceDN w:val="0"/>
        <w:adjustRightInd w:val="0"/>
        <w:ind w:left="1134" w:hanging="425"/>
        <w:jc w:val="both"/>
        <w:textAlignment w:val="baseline"/>
        <w:rPr>
          <w:szCs w:val="22"/>
          <w:lang w:val="cs-CZ"/>
        </w:rPr>
      </w:pPr>
      <w:r w:rsidRPr="00C15F46">
        <w:rPr>
          <w:szCs w:val="22"/>
          <w:lang w:val="cs-CZ"/>
        </w:rPr>
        <w:t>zbývající částku potřebnou k navrácení do původního stavu.</w:t>
      </w:r>
    </w:p>
    <w:p w14:paraId="72F806A6" w14:textId="77777777" w:rsidR="00D47942" w:rsidRPr="00C15F46" w:rsidRDefault="00D47942" w:rsidP="00D47942">
      <w:pPr>
        <w:ind w:left="720" w:hanging="360"/>
        <w:rPr>
          <w:szCs w:val="22"/>
          <w:lang w:val="cs-CZ"/>
        </w:rPr>
      </w:pPr>
    </w:p>
    <w:p w14:paraId="3023F28F" w14:textId="77777777" w:rsidR="00D47942" w:rsidRPr="00C15F46" w:rsidRDefault="00D47942" w:rsidP="00D47942">
      <w:pPr>
        <w:widowControl w:val="0"/>
        <w:numPr>
          <w:ilvl w:val="0"/>
          <w:numId w:val="12"/>
        </w:numPr>
        <w:overflowPunct w:val="0"/>
        <w:autoSpaceDE w:val="0"/>
        <w:autoSpaceDN w:val="0"/>
        <w:adjustRightInd w:val="0"/>
        <w:jc w:val="both"/>
        <w:textAlignment w:val="baseline"/>
        <w:rPr>
          <w:szCs w:val="22"/>
          <w:lang w:val="cs-CZ"/>
        </w:rPr>
      </w:pPr>
      <w:r w:rsidRPr="00C15F46">
        <w:rPr>
          <w:szCs w:val="22"/>
          <w:lang w:val="cs-CZ"/>
        </w:rPr>
        <w:t>Výše uvedené se nepoužije, jestliže Banka prokáže, že Klient porušil svoje povinnosti stanovené v Rámcové smlouvě nebo Smlouvách CEB.</w:t>
      </w:r>
    </w:p>
    <w:p w14:paraId="6E1D3349" w14:textId="77777777" w:rsidR="00D47942" w:rsidRPr="00C15F46" w:rsidRDefault="00D47942" w:rsidP="00D47942">
      <w:pPr>
        <w:ind w:left="360"/>
        <w:rPr>
          <w:szCs w:val="22"/>
          <w:lang w:val="cs-CZ"/>
        </w:rPr>
      </w:pPr>
    </w:p>
    <w:p w14:paraId="71456177" w14:textId="77777777" w:rsidR="00D47942" w:rsidRPr="00C15F46" w:rsidRDefault="00D47942" w:rsidP="00D47942">
      <w:pPr>
        <w:ind w:left="360"/>
        <w:rPr>
          <w:szCs w:val="22"/>
          <w:lang w:val="cs-CZ"/>
        </w:rPr>
      </w:pPr>
    </w:p>
    <w:p w14:paraId="0DB90C71" w14:textId="77777777" w:rsidR="00D47942" w:rsidRPr="00C15F46" w:rsidRDefault="00D47942" w:rsidP="00D47942">
      <w:pPr>
        <w:widowControl w:val="0"/>
        <w:numPr>
          <w:ilvl w:val="0"/>
          <w:numId w:val="12"/>
        </w:numPr>
        <w:overflowPunct w:val="0"/>
        <w:autoSpaceDE w:val="0"/>
        <w:autoSpaceDN w:val="0"/>
        <w:adjustRightInd w:val="0"/>
        <w:jc w:val="both"/>
        <w:textAlignment w:val="baseline"/>
        <w:rPr>
          <w:szCs w:val="22"/>
          <w:lang w:val="cs-CZ"/>
        </w:rPr>
      </w:pPr>
      <w:r w:rsidRPr="00C15F46">
        <w:rPr>
          <w:szCs w:val="22"/>
          <w:lang w:val="cs-CZ"/>
        </w:rPr>
        <w:t>Banka neodpovídá za neprovedení Transakce, příp. za nemožnost využití, resp. dostupnost vybraných služeb elektronického bankovnictví Banky, které bylo způsobeno přímo či nepřímo příčinami mimo kontrolu Banky nebo jejích partnerů (přerušení dodávky elektrické energie, přerušení spojení s Bankou prostřednictvím veřejné sítě internet, stávka apod.). Za škodu Klientovi vzniklou v souvislosti s nemožností využití vybraných služeb elektronického bankovnictví Banky podle předchozí věty Banka neodpovídá.</w:t>
      </w:r>
    </w:p>
    <w:p w14:paraId="0F1F086C" w14:textId="77777777" w:rsidR="00D47942" w:rsidRPr="00C15F46" w:rsidRDefault="00D47942" w:rsidP="00D47942">
      <w:pPr>
        <w:tabs>
          <w:tab w:val="left" w:pos="993"/>
        </w:tabs>
        <w:ind w:left="284"/>
        <w:rPr>
          <w:b/>
          <w:szCs w:val="22"/>
          <w:u w:val="single"/>
          <w:lang w:val="cs-CZ"/>
        </w:rPr>
      </w:pPr>
    </w:p>
    <w:p w14:paraId="3492C1A5" w14:textId="77777777" w:rsidR="00D47942" w:rsidRPr="00C15F46" w:rsidRDefault="00D47942" w:rsidP="00D47942">
      <w:pPr>
        <w:tabs>
          <w:tab w:val="left" w:pos="993"/>
        </w:tabs>
        <w:ind w:left="284"/>
        <w:rPr>
          <w:b/>
          <w:szCs w:val="22"/>
          <w:u w:val="single"/>
          <w:lang w:val="cs-CZ"/>
        </w:rPr>
      </w:pPr>
      <w:r w:rsidRPr="003E5A2B">
        <w:rPr>
          <w:b/>
          <w:szCs w:val="22"/>
          <w:lang w:val="cs-CZ"/>
        </w:rPr>
        <w:t>VIII.</w:t>
      </w:r>
      <w:r w:rsidRPr="003E5A2B">
        <w:rPr>
          <w:b/>
          <w:szCs w:val="22"/>
          <w:lang w:val="cs-CZ"/>
        </w:rPr>
        <w:tab/>
      </w:r>
      <w:r w:rsidRPr="00C15F46">
        <w:rPr>
          <w:b/>
          <w:szCs w:val="22"/>
          <w:u w:val="single"/>
          <w:lang w:val="cs-CZ"/>
        </w:rPr>
        <w:t>Bezpečnost</w:t>
      </w:r>
    </w:p>
    <w:p w14:paraId="7D1BA96F" w14:textId="77777777" w:rsidR="00D47942" w:rsidRPr="00C15F46" w:rsidRDefault="00D47942" w:rsidP="00D47942">
      <w:pPr>
        <w:rPr>
          <w:szCs w:val="22"/>
          <w:lang w:val="cs-CZ"/>
        </w:rPr>
      </w:pPr>
    </w:p>
    <w:p w14:paraId="29400701" w14:textId="77777777" w:rsidR="00D47942" w:rsidRPr="00C15F46" w:rsidRDefault="00D47942" w:rsidP="00D47942">
      <w:pPr>
        <w:widowControl w:val="0"/>
        <w:numPr>
          <w:ilvl w:val="0"/>
          <w:numId w:val="15"/>
        </w:numPr>
        <w:overflowPunct w:val="0"/>
        <w:autoSpaceDE w:val="0"/>
        <w:autoSpaceDN w:val="0"/>
        <w:adjustRightInd w:val="0"/>
        <w:jc w:val="both"/>
        <w:textAlignment w:val="baseline"/>
        <w:rPr>
          <w:szCs w:val="22"/>
          <w:lang w:val="cs-CZ"/>
        </w:rPr>
      </w:pPr>
      <w:r w:rsidRPr="00C15F46">
        <w:rPr>
          <w:szCs w:val="22"/>
          <w:lang w:val="cs-CZ"/>
        </w:rPr>
        <w:t>Informace o:</w:t>
      </w:r>
    </w:p>
    <w:p w14:paraId="1859789F" w14:textId="77777777" w:rsidR="00D47942" w:rsidRPr="00C15F46" w:rsidRDefault="00D47942" w:rsidP="00D47942">
      <w:pPr>
        <w:widowControl w:val="0"/>
        <w:numPr>
          <w:ilvl w:val="0"/>
          <w:numId w:val="16"/>
        </w:numPr>
        <w:overflowPunct w:val="0"/>
        <w:autoSpaceDE w:val="0"/>
        <w:autoSpaceDN w:val="0"/>
        <w:adjustRightInd w:val="0"/>
        <w:ind w:left="1134" w:hanging="425"/>
        <w:jc w:val="both"/>
        <w:textAlignment w:val="baseline"/>
        <w:rPr>
          <w:szCs w:val="22"/>
          <w:lang w:val="cs-CZ"/>
        </w:rPr>
      </w:pPr>
      <w:r w:rsidRPr="00C15F46">
        <w:rPr>
          <w:szCs w:val="22"/>
          <w:lang w:val="cs-CZ"/>
        </w:rPr>
        <w:t>ztrátě nebo odcizení bezpečnostních prvků nebo prostředků pro komunikaci,</w:t>
      </w:r>
    </w:p>
    <w:p w14:paraId="3B753BA3" w14:textId="77777777" w:rsidR="00D47942" w:rsidRPr="00C15F46" w:rsidRDefault="00D47942" w:rsidP="00D47942">
      <w:pPr>
        <w:widowControl w:val="0"/>
        <w:numPr>
          <w:ilvl w:val="0"/>
          <w:numId w:val="16"/>
        </w:numPr>
        <w:overflowPunct w:val="0"/>
        <w:autoSpaceDE w:val="0"/>
        <w:autoSpaceDN w:val="0"/>
        <w:adjustRightInd w:val="0"/>
        <w:ind w:left="1134" w:hanging="425"/>
        <w:jc w:val="both"/>
        <w:textAlignment w:val="baseline"/>
        <w:rPr>
          <w:szCs w:val="22"/>
          <w:lang w:val="cs-CZ"/>
        </w:rPr>
      </w:pPr>
      <w:r w:rsidRPr="00C15F46">
        <w:rPr>
          <w:szCs w:val="22"/>
          <w:lang w:val="cs-CZ"/>
        </w:rPr>
        <w:t>zjištění neoprávněné Transakce,</w:t>
      </w:r>
    </w:p>
    <w:p w14:paraId="1B7DA7D2" w14:textId="77777777" w:rsidR="00D47942" w:rsidRPr="00C15F46" w:rsidRDefault="00D47942" w:rsidP="00D47942">
      <w:pPr>
        <w:widowControl w:val="0"/>
        <w:numPr>
          <w:ilvl w:val="0"/>
          <w:numId w:val="16"/>
        </w:numPr>
        <w:overflowPunct w:val="0"/>
        <w:autoSpaceDE w:val="0"/>
        <w:autoSpaceDN w:val="0"/>
        <w:adjustRightInd w:val="0"/>
        <w:ind w:left="1134" w:hanging="425"/>
        <w:jc w:val="both"/>
        <w:textAlignment w:val="baseline"/>
        <w:rPr>
          <w:szCs w:val="22"/>
          <w:lang w:val="cs-CZ"/>
        </w:rPr>
      </w:pPr>
      <w:r w:rsidRPr="00C15F46">
        <w:rPr>
          <w:szCs w:val="22"/>
          <w:lang w:val="cs-CZ"/>
        </w:rPr>
        <w:t>chybě nebo jiné nesrovnalosti,</w:t>
      </w:r>
    </w:p>
    <w:p w14:paraId="3E9BE155" w14:textId="77777777" w:rsidR="00D47942" w:rsidRPr="00C15F46" w:rsidRDefault="00D47942" w:rsidP="00D47942">
      <w:pPr>
        <w:ind w:left="720"/>
        <w:rPr>
          <w:szCs w:val="22"/>
          <w:lang w:val="cs-CZ"/>
        </w:rPr>
      </w:pPr>
      <w:r w:rsidRPr="00C15F46">
        <w:rPr>
          <w:szCs w:val="22"/>
          <w:lang w:val="cs-CZ"/>
        </w:rPr>
        <w:t>přijímá Banka prostřednictvím všech svých poboček nebo telefonicky prostřednictvím helpdesku na telefonním čísle +420 499 900 500. V případě telefonického hlášení Banka neposkytuje Klientovi důkaz, že věc ohlásil.</w:t>
      </w:r>
    </w:p>
    <w:p w14:paraId="7D203CA3" w14:textId="77777777" w:rsidR="00D47942" w:rsidRPr="00C15F46" w:rsidRDefault="00D47942" w:rsidP="00D47942">
      <w:pPr>
        <w:ind w:left="720"/>
        <w:rPr>
          <w:szCs w:val="22"/>
          <w:lang w:val="cs-CZ"/>
        </w:rPr>
      </w:pPr>
    </w:p>
    <w:p w14:paraId="58C33359" w14:textId="77777777" w:rsidR="00D47942" w:rsidRPr="00C15F46" w:rsidRDefault="00D47942" w:rsidP="00D47942">
      <w:pPr>
        <w:widowControl w:val="0"/>
        <w:numPr>
          <w:ilvl w:val="0"/>
          <w:numId w:val="15"/>
        </w:numPr>
        <w:overflowPunct w:val="0"/>
        <w:autoSpaceDE w:val="0"/>
        <w:autoSpaceDN w:val="0"/>
        <w:adjustRightInd w:val="0"/>
        <w:jc w:val="both"/>
        <w:textAlignment w:val="baseline"/>
        <w:rPr>
          <w:szCs w:val="22"/>
          <w:lang w:val="cs-CZ"/>
        </w:rPr>
      </w:pPr>
      <w:r w:rsidRPr="00C15F46">
        <w:rPr>
          <w:szCs w:val="22"/>
          <w:lang w:val="cs-CZ"/>
        </w:rPr>
        <w:t>Služba sjednávání Transakcí prostřednictvím vybraných služeb elektronického bankovnictví Banky je poskytována prostřednictvím veřejných komunikačních a datových linek. Za jejich zabezpečení Banka neodpovídá, a proto nemůže ovlivnit skutečnost, pokud Klientovi vznikne škoda v důsledku zneužití přenášených zpráv.</w:t>
      </w:r>
    </w:p>
    <w:p w14:paraId="5395BA2B" w14:textId="77777777" w:rsidR="00D47942" w:rsidRPr="00C15F46" w:rsidRDefault="00D47942" w:rsidP="00D47942">
      <w:pPr>
        <w:widowControl w:val="0"/>
        <w:overflowPunct w:val="0"/>
        <w:autoSpaceDE w:val="0"/>
        <w:autoSpaceDN w:val="0"/>
        <w:adjustRightInd w:val="0"/>
        <w:textAlignment w:val="baseline"/>
        <w:rPr>
          <w:szCs w:val="22"/>
          <w:lang w:val="cs-CZ"/>
        </w:rPr>
      </w:pPr>
    </w:p>
    <w:p w14:paraId="3213DF7C" w14:textId="77777777" w:rsidR="00D47942" w:rsidRPr="00C15F46" w:rsidRDefault="00D47942" w:rsidP="00D47942">
      <w:pPr>
        <w:widowControl w:val="0"/>
        <w:numPr>
          <w:ilvl w:val="0"/>
          <w:numId w:val="15"/>
        </w:numPr>
        <w:overflowPunct w:val="0"/>
        <w:autoSpaceDE w:val="0"/>
        <w:autoSpaceDN w:val="0"/>
        <w:adjustRightInd w:val="0"/>
        <w:jc w:val="both"/>
        <w:textAlignment w:val="baseline"/>
        <w:rPr>
          <w:szCs w:val="22"/>
          <w:lang w:val="cs-CZ"/>
        </w:rPr>
      </w:pPr>
      <w:r w:rsidRPr="00C15F46">
        <w:rPr>
          <w:szCs w:val="22"/>
          <w:lang w:val="cs-CZ"/>
        </w:rPr>
        <w:t>Klient si je vědom, že vzhledem ke zvláštnostem komunikace prostřednictvím vybraných služeb elektronického bankovnictví Banky je možné dokumentovat jednotlivé požadavky a finanční transakce na jeho účtech. Tyto informace jsou bezpečným způsobem archivovány v elektronické podobě v Bance ve smyslu zákona č. 21/1992 Sb., o bankách, v platném znění po dostatečnou dobu tak, aby umožnily zpětné vyhledání transakcí a opravu chyb. Za bezpečný způsob archivace odpovídá Banka.</w:t>
      </w:r>
    </w:p>
    <w:p w14:paraId="3F71660C" w14:textId="77777777" w:rsidR="00D47942" w:rsidRPr="00C15F46" w:rsidRDefault="00D47942" w:rsidP="00D47942">
      <w:pPr>
        <w:rPr>
          <w:szCs w:val="22"/>
          <w:lang w:val="cs-CZ"/>
        </w:rPr>
      </w:pPr>
    </w:p>
    <w:p w14:paraId="7C64B791" w14:textId="77777777" w:rsidR="00D47942" w:rsidRPr="00C15F46" w:rsidRDefault="00D47942" w:rsidP="00D47942">
      <w:pPr>
        <w:widowControl w:val="0"/>
        <w:numPr>
          <w:ilvl w:val="0"/>
          <w:numId w:val="15"/>
        </w:numPr>
        <w:overflowPunct w:val="0"/>
        <w:autoSpaceDE w:val="0"/>
        <w:autoSpaceDN w:val="0"/>
        <w:adjustRightInd w:val="0"/>
        <w:jc w:val="both"/>
        <w:textAlignment w:val="baseline"/>
        <w:rPr>
          <w:szCs w:val="22"/>
          <w:lang w:val="cs-CZ"/>
        </w:rPr>
      </w:pPr>
      <w:r w:rsidRPr="00C15F46">
        <w:rPr>
          <w:szCs w:val="22"/>
          <w:lang w:val="cs-CZ"/>
        </w:rPr>
        <w:t>Výše uvedené záznamy mohou být použity pro ochranu oprávněných zájmů Banky jako důkazní prostředek v jakémkoli řízení před soudy nebo správními orgány.</w:t>
      </w:r>
    </w:p>
    <w:p w14:paraId="3EE33461" w14:textId="77777777" w:rsidR="00D47942" w:rsidRPr="00C15F46" w:rsidRDefault="00D47942" w:rsidP="00D47942">
      <w:pPr>
        <w:rPr>
          <w:szCs w:val="22"/>
          <w:lang w:val="cs-CZ"/>
        </w:rPr>
      </w:pPr>
    </w:p>
    <w:p w14:paraId="2D5D4D13" w14:textId="77777777" w:rsidR="00D47942" w:rsidRPr="00C15F46" w:rsidRDefault="00D47942" w:rsidP="00D47942">
      <w:pPr>
        <w:rPr>
          <w:szCs w:val="22"/>
          <w:lang w:val="cs-CZ"/>
        </w:rPr>
      </w:pPr>
    </w:p>
    <w:p w14:paraId="6F629197" w14:textId="77777777" w:rsidR="00D47942" w:rsidRPr="00C15F46" w:rsidRDefault="00D47942" w:rsidP="00D47942">
      <w:pPr>
        <w:tabs>
          <w:tab w:val="left" w:pos="993"/>
        </w:tabs>
        <w:ind w:left="284"/>
        <w:rPr>
          <w:b/>
          <w:szCs w:val="22"/>
          <w:u w:val="single"/>
          <w:lang w:val="cs-CZ"/>
        </w:rPr>
      </w:pPr>
      <w:r w:rsidRPr="003E5A2B">
        <w:rPr>
          <w:b/>
          <w:szCs w:val="22"/>
          <w:lang w:val="cs-CZ"/>
        </w:rPr>
        <w:t>IX.</w:t>
      </w:r>
      <w:r w:rsidRPr="003E5A2B">
        <w:rPr>
          <w:b/>
          <w:szCs w:val="22"/>
          <w:lang w:val="cs-CZ"/>
        </w:rPr>
        <w:tab/>
      </w:r>
      <w:r w:rsidRPr="00C15F46">
        <w:rPr>
          <w:b/>
          <w:szCs w:val="22"/>
          <w:u w:val="single"/>
          <w:lang w:val="cs-CZ"/>
        </w:rPr>
        <w:t>Závěrečná ujednání</w:t>
      </w:r>
    </w:p>
    <w:p w14:paraId="337836D5" w14:textId="77777777" w:rsidR="00D47942" w:rsidRPr="00C15F46" w:rsidRDefault="00D47942" w:rsidP="00D47942">
      <w:pPr>
        <w:rPr>
          <w:szCs w:val="22"/>
          <w:lang w:val="cs-CZ"/>
        </w:rPr>
      </w:pPr>
    </w:p>
    <w:p w14:paraId="25DC4F4A" w14:textId="77777777" w:rsidR="00D47942" w:rsidRPr="00C15F46" w:rsidRDefault="00D47942" w:rsidP="00D47942">
      <w:pPr>
        <w:rPr>
          <w:szCs w:val="22"/>
          <w:lang w:val="cs-CZ"/>
        </w:rPr>
      </w:pPr>
    </w:p>
    <w:p w14:paraId="0FDA8F6B" w14:textId="77777777" w:rsidR="00D47942" w:rsidRPr="00C15F46" w:rsidRDefault="00D47942" w:rsidP="00D47942">
      <w:pPr>
        <w:tabs>
          <w:tab w:val="left" w:pos="4820"/>
        </w:tabs>
        <w:rPr>
          <w:szCs w:val="22"/>
          <w:lang w:val="cs-CZ"/>
        </w:rPr>
      </w:pPr>
      <w:r w:rsidRPr="00C15F46">
        <w:rPr>
          <w:szCs w:val="22"/>
          <w:lang w:val="cs-CZ"/>
        </w:rPr>
        <w:t xml:space="preserve">Klient je povinen seznámit se s příručkou „ČSOB CEB elektronické bankovnictví pro firmy“, která je k dispozici na internetové adrese Banky: </w:t>
      </w:r>
      <w:hyperlink r:id="rId18" w:history="1">
        <w:r w:rsidRPr="00C15F46">
          <w:rPr>
            <w:rStyle w:val="Hypertextovodkaz"/>
            <w:szCs w:val="22"/>
            <w:lang w:val="cs-CZ"/>
          </w:rPr>
          <w:t>https://www.csob.cz/portal/documents/10710/36574/ceb-uzivatelska-prirucka-cz.pdf</w:t>
        </w:r>
      </w:hyperlink>
      <w:r w:rsidRPr="00C15F46">
        <w:rPr>
          <w:szCs w:val="22"/>
          <w:lang w:val="cs-CZ"/>
        </w:rPr>
        <w:t>. Tuto příručku je Banka oprávněna jednostranně měnit. Klient je povinen se s aktuální verzí příručky seznámit.</w:t>
      </w:r>
    </w:p>
    <w:p w14:paraId="4EBCC4ED" w14:textId="77777777" w:rsidR="00D47942" w:rsidRPr="00C15F46" w:rsidRDefault="00D47942" w:rsidP="00D47942">
      <w:pPr>
        <w:rPr>
          <w:szCs w:val="22"/>
          <w:lang w:val="cs-CZ"/>
        </w:rPr>
      </w:pPr>
    </w:p>
    <w:p w14:paraId="3ADB95C2" w14:textId="77777777" w:rsidR="00D47942" w:rsidRPr="00C15F46" w:rsidRDefault="00D47942" w:rsidP="00D47942">
      <w:pPr>
        <w:rPr>
          <w:szCs w:val="22"/>
          <w:lang w:val="cs-CZ"/>
        </w:rPr>
        <w:sectPr w:rsidR="00D47942" w:rsidRPr="00C15F46">
          <w:headerReference w:type="default" r:id="rId19"/>
          <w:pgSz w:w="11907" w:h="16840"/>
          <w:pgMar w:top="1418" w:right="1418" w:bottom="1418" w:left="1418" w:header="851" w:footer="851" w:gutter="0"/>
          <w:pgNumType w:start="1"/>
          <w:cols w:space="708"/>
        </w:sectPr>
      </w:pPr>
    </w:p>
    <w:p w14:paraId="150D0F44" w14:textId="2FDAEFCE" w:rsidR="000F16D8" w:rsidRPr="00C15F46" w:rsidRDefault="000F16D8" w:rsidP="000F16D8">
      <w:pPr>
        <w:jc w:val="center"/>
        <w:rPr>
          <w:b/>
          <w:szCs w:val="22"/>
          <w:lang w:val="cs-CZ"/>
        </w:rPr>
      </w:pPr>
      <w:r w:rsidRPr="009E6925">
        <w:rPr>
          <w:b/>
          <w:szCs w:val="22"/>
          <w:lang w:val="cs-CZ"/>
        </w:rPr>
        <w:t>P</w:t>
      </w:r>
      <w:r w:rsidR="00000626">
        <w:rPr>
          <w:b/>
          <w:szCs w:val="22"/>
          <w:lang w:val="cs-CZ"/>
        </w:rPr>
        <w:t>říloha</w:t>
      </w:r>
      <w:r w:rsidRPr="009E6925">
        <w:rPr>
          <w:b/>
          <w:szCs w:val="22"/>
          <w:lang w:val="cs-CZ"/>
        </w:rPr>
        <w:t xml:space="preserve"> </w:t>
      </w:r>
      <w:r w:rsidR="00000626">
        <w:rPr>
          <w:b/>
          <w:szCs w:val="22"/>
          <w:lang w:val="cs-CZ"/>
        </w:rPr>
        <w:t>č. 11</w:t>
      </w:r>
    </w:p>
    <w:p w14:paraId="310F6ABD" w14:textId="77777777" w:rsidR="000F16D8" w:rsidRPr="00C15F46" w:rsidRDefault="000F16D8" w:rsidP="008F56FD">
      <w:pPr>
        <w:jc w:val="center"/>
        <w:rPr>
          <w:b/>
          <w:snapToGrid w:val="0"/>
          <w:lang w:val="cs-CZ"/>
        </w:rPr>
      </w:pPr>
    </w:p>
    <w:p w14:paraId="377E8FA1" w14:textId="77777777" w:rsidR="008F56FD" w:rsidRPr="00C15F46" w:rsidRDefault="008F56FD" w:rsidP="008F56FD">
      <w:pPr>
        <w:jc w:val="center"/>
        <w:rPr>
          <w:b/>
          <w:snapToGrid w:val="0"/>
          <w:lang w:val="cs-CZ"/>
        </w:rPr>
      </w:pPr>
      <w:r w:rsidRPr="00C15F46">
        <w:rPr>
          <w:b/>
          <w:snapToGrid w:val="0"/>
          <w:lang w:val="cs-CZ"/>
        </w:rPr>
        <w:t>Pověření pro sjednávání Transakcí prostřednictvím vybraných služeb elektronického bankovnictví Banky</w:t>
      </w:r>
    </w:p>
    <w:p w14:paraId="0D58EB75" w14:textId="77777777" w:rsidR="008F56FD" w:rsidRPr="00C15F46" w:rsidRDefault="008F56FD" w:rsidP="008F56FD">
      <w:pPr>
        <w:rPr>
          <w:lang w:val="cs-CZ"/>
        </w:rPr>
      </w:pPr>
    </w:p>
    <w:p w14:paraId="274DA46C" w14:textId="35CDD538" w:rsidR="00D2226E" w:rsidRPr="00C15F46" w:rsidRDefault="00D2226E" w:rsidP="00D51AEE">
      <w:pPr>
        <w:jc w:val="center"/>
        <w:rPr>
          <w:b/>
          <w:szCs w:val="22"/>
          <w:lang w:val="cs-CZ"/>
        </w:rPr>
      </w:pPr>
      <w:r w:rsidRPr="00C15F46">
        <w:rPr>
          <w:b/>
          <w:szCs w:val="22"/>
          <w:lang w:val="cs-CZ"/>
        </w:rPr>
        <w:t>Potvrzení</w:t>
      </w:r>
    </w:p>
    <w:p w14:paraId="68A9908F" w14:textId="77777777" w:rsidR="00D2226E" w:rsidRPr="00C15F46" w:rsidRDefault="00D2226E" w:rsidP="00D2226E">
      <w:pPr>
        <w:rPr>
          <w:b/>
          <w:i/>
          <w:szCs w:val="22"/>
          <w:highlight w:val="cyan"/>
          <w:lang w:val="cs-CZ"/>
        </w:rPr>
      </w:pPr>
    </w:p>
    <w:p w14:paraId="369D5DC1" w14:textId="77777777" w:rsidR="009E6925" w:rsidRPr="009E6925" w:rsidRDefault="009E6925" w:rsidP="009E6925">
      <w:pPr>
        <w:rPr>
          <w:color w:val="000000"/>
          <w:szCs w:val="22"/>
          <w:lang w:val="cs-CZ" w:eastAsia="cs-CZ"/>
        </w:rPr>
      </w:pPr>
      <w:r w:rsidRPr="009E6925">
        <w:rPr>
          <w:b/>
          <w:bCs/>
          <w:color w:val="000000"/>
          <w:szCs w:val="22"/>
          <w:lang w:val="cs-CZ" w:eastAsia="cs-CZ"/>
        </w:rPr>
        <w:t>ČSAD Liberec, a.s.</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9E6925" w:rsidRPr="009E6925" w14:paraId="34AEF766"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4E22953F"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1FC46D74" w14:textId="77777777" w:rsidR="009E6925" w:rsidRPr="009E6925" w:rsidRDefault="009E6925" w:rsidP="009E6925">
            <w:pPr>
              <w:rPr>
                <w:color w:val="000000"/>
                <w:szCs w:val="22"/>
                <w:lang w:val="cs-CZ" w:eastAsia="cs-CZ"/>
              </w:rPr>
            </w:pPr>
            <w:r w:rsidRPr="009E6925">
              <w:rPr>
                <w:color w:val="000000"/>
                <w:szCs w:val="22"/>
                <w:lang w:val="cs-CZ" w:eastAsia="cs-CZ"/>
              </w:rPr>
              <w:t>se sídlem:</w:t>
            </w:r>
          </w:p>
        </w:tc>
        <w:tc>
          <w:tcPr>
            <w:tcW w:w="3700" w:type="pct"/>
            <w:shd w:val="clear" w:color="auto" w:fill="auto"/>
            <w:tcMar>
              <w:top w:w="15" w:type="dxa"/>
              <w:left w:w="15" w:type="dxa"/>
              <w:bottom w:w="15" w:type="dxa"/>
              <w:right w:w="15" w:type="dxa"/>
            </w:tcMar>
            <w:vAlign w:val="center"/>
            <w:hideMark/>
          </w:tcPr>
          <w:p w14:paraId="4DA7AD44" w14:textId="77777777" w:rsidR="009E6925" w:rsidRPr="009E6925" w:rsidRDefault="009E6925" w:rsidP="009E6925">
            <w:pPr>
              <w:rPr>
                <w:color w:val="000000"/>
                <w:szCs w:val="22"/>
                <w:lang w:val="cs-CZ" w:eastAsia="cs-CZ"/>
              </w:rPr>
            </w:pPr>
            <w:r w:rsidRPr="009E6925">
              <w:rPr>
                <w:color w:val="000000"/>
                <w:szCs w:val="22"/>
                <w:lang w:val="cs-CZ" w:eastAsia="cs-CZ"/>
              </w:rPr>
              <w:t>České mládeže 594/33, Liberec VI-Rochlice, 460 06 Liberec</w:t>
            </w:r>
          </w:p>
        </w:tc>
      </w:tr>
      <w:tr w:rsidR="009E6925" w:rsidRPr="009E6925" w14:paraId="1C07F10A"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3755DAE6"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73BB7109" w14:textId="77777777" w:rsidR="009E6925" w:rsidRPr="009E6925" w:rsidRDefault="009E6925" w:rsidP="009E6925">
            <w:pPr>
              <w:rPr>
                <w:color w:val="000000"/>
                <w:szCs w:val="22"/>
                <w:lang w:val="cs-CZ" w:eastAsia="cs-CZ"/>
              </w:rPr>
            </w:pPr>
            <w:r w:rsidRPr="009E6925">
              <w:rPr>
                <w:color w:val="000000"/>
                <w:szCs w:val="22"/>
                <w:lang w:val="cs-CZ" w:eastAsia="cs-CZ"/>
              </w:rPr>
              <w:t>IČO:</w:t>
            </w:r>
          </w:p>
        </w:tc>
        <w:tc>
          <w:tcPr>
            <w:tcW w:w="3700" w:type="pct"/>
            <w:shd w:val="clear" w:color="auto" w:fill="auto"/>
            <w:tcMar>
              <w:top w:w="15" w:type="dxa"/>
              <w:left w:w="15" w:type="dxa"/>
              <w:bottom w:w="15" w:type="dxa"/>
              <w:right w:w="15" w:type="dxa"/>
            </w:tcMar>
            <w:vAlign w:val="center"/>
            <w:hideMark/>
          </w:tcPr>
          <w:p w14:paraId="78EC4B0C" w14:textId="77777777" w:rsidR="009E6925" w:rsidRPr="009E6925" w:rsidRDefault="009E6925" w:rsidP="009E6925">
            <w:pPr>
              <w:rPr>
                <w:color w:val="000000"/>
                <w:szCs w:val="22"/>
                <w:lang w:val="cs-CZ" w:eastAsia="cs-CZ"/>
              </w:rPr>
            </w:pPr>
            <w:r w:rsidRPr="009E6925">
              <w:rPr>
                <w:color w:val="000000"/>
                <w:szCs w:val="22"/>
                <w:lang w:val="cs-CZ" w:eastAsia="cs-CZ"/>
              </w:rPr>
              <w:t>25045504</w:t>
            </w:r>
          </w:p>
        </w:tc>
      </w:tr>
      <w:tr w:rsidR="009E6925" w:rsidRPr="009E6925" w14:paraId="51CD7786"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77B6D2D6" w14:textId="77777777" w:rsidR="009E6925" w:rsidRPr="009E6925" w:rsidRDefault="009E6925" w:rsidP="009E6925">
            <w:pPr>
              <w:rPr>
                <w:color w:val="000000"/>
                <w:szCs w:val="22"/>
                <w:lang w:val="cs-CZ" w:eastAsia="cs-CZ"/>
              </w:rPr>
            </w:pPr>
          </w:p>
        </w:tc>
        <w:tc>
          <w:tcPr>
            <w:tcW w:w="1250" w:type="pct"/>
            <w:gridSpan w:val="2"/>
            <w:shd w:val="clear" w:color="auto" w:fill="auto"/>
            <w:tcMar>
              <w:top w:w="15" w:type="dxa"/>
              <w:left w:w="15" w:type="dxa"/>
              <w:bottom w:w="15" w:type="dxa"/>
              <w:right w:w="15" w:type="dxa"/>
            </w:tcMar>
            <w:vAlign w:val="center"/>
            <w:hideMark/>
          </w:tcPr>
          <w:p w14:paraId="3BC36383" w14:textId="77777777" w:rsidR="009E6925" w:rsidRPr="009E6925" w:rsidRDefault="009E6925" w:rsidP="009E6925">
            <w:pPr>
              <w:rPr>
                <w:color w:val="000000"/>
                <w:szCs w:val="22"/>
                <w:lang w:val="cs-CZ" w:eastAsia="cs-CZ"/>
              </w:rPr>
            </w:pPr>
            <w:r w:rsidRPr="009E6925">
              <w:rPr>
                <w:color w:val="000000"/>
                <w:szCs w:val="22"/>
                <w:lang w:val="cs-CZ" w:eastAsia="cs-CZ"/>
              </w:rPr>
              <w:t>zapsaná v obchodním rejstříku vedeném Krajským soudem v Ústí nad Labem, spisová značka B 1126</w:t>
            </w:r>
          </w:p>
        </w:tc>
      </w:tr>
    </w:tbl>
    <w:p w14:paraId="526F2ED6" w14:textId="77777777" w:rsidR="009E6925" w:rsidRPr="009E6925" w:rsidRDefault="009E6925" w:rsidP="009E6925">
      <w:pPr>
        <w:rPr>
          <w:color w:val="000000"/>
          <w:szCs w:val="22"/>
          <w:lang w:val="cs-CZ" w:eastAsia="cs-CZ"/>
        </w:rPr>
      </w:pPr>
      <w:r w:rsidRPr="009E6925">
        <w:rPr>
          <w:color w:val="000000"/>
          <w:szCs w:val="22"/>
          <w:lang w:val="cs-CZ" w:eastAsia="cs-CZ"/>
        </w:rPr>
        <w:t>(„</w:t>
      </w:r>
      <w:r w:rsidRPr="009E6925">
        <w:rPr>
          <w:b/>
          <w:bCs/>
          <w:color w:val="000000"/>
          <w:szCs w:val="22"/>
          <w:lang w:val="cs-CZ" w:eastAsia="cs-CZ"/>
        </w:rPr>
        <w:t>Klient</w:t>
      </w:r>
      <w:r w:rsidRPr="009E6925">
        <w:rPr>
          <w:color w:val="000000"/>
          <w:szCs w:val="22"/>
          <w:lang w:val="cs-CZ" w:eastAsia="cs-CZ"/>
        </w:rPr>
        <w:t>“)</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9E6925" w:rsidRPr="009E6925" w14:paraId="6885727A"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0E64BBCF"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4985B589" w14:textId="77777777" w:rsidR="009E6925" w:rsidRPr="009E6925" w:rsidRDefault="009E6925" w:rsidP="009E6925">
            <w:pPr>
              <w:rPr>
                <w:color w:val="000000"/>
                <w:szCs w:val="22"/>
                <w:lang w:val="cs-CZ" w:eastAsia="cs-CZ"/>
              </w:rPr>
            </w:pPr>
            <w:r w:rsidRPr="009E6925">
              <w:rPr>
                <w:color w:val="000000"/>
                <w:szCs w:val="22"/>
                <w:lang w:val="cs-CZ" w:eastAsia="cs-CZ"/>
              </w:rPr>
              <w:t>za Klienta:</w:t>
            </w:r>
          </w:p>
        </w:tc>
        <w:tc>
          <w:tcPr>
            <w:tcW w:w="3700" w:type="pct"/>
            <w:shd w:val="clear" w:color="auto" w:fill="auto"/>
            <w:tcMar>
              <w:top w:w="15" w:type="dxa"/>
              <w:left w:w="15" w:type="dxa"/>
              <w:bottom w:w="15" w:type="dxa"/>
              <w:right w:w="15" w:type="dxa"/>
            </w:tcMar>
            <w:vAlign w:val="center"/>
            <w:hideMark/>
          </w:tcPr>
          <w:p w14:paraId="29923199" w14:textId="3773E1FF" w:rsidR="009E6925" w:rsidRPr="009E6925" w:rsidRDefault="0001761A" w:rsidP="009E6925">
            <w:pPr>
              <w:rPr>
                <w:color w:val="000000"/>
                <w:szCs w:val="22"/>
                <w:lang w:val="cs-CZ" w:eastAsia="cs-CZ"/>
              </w:rPr>
            </w:pPr>
            <w:r>
              <w:rPr>
                <w:color w:val="000000"/>
                <w:szCs w:val="22"/>
                <w:lang w:val="cs-CZ" w:eastAsia="cs-CZ"/>
              </w:rPr>
              <w:t>xxxxxxxxxxxxxxxxxxxxxxxxx</w:t>
            </w:r>
          </w:p>
        </w:tc>
      </w:tr>
      <w:tr w:rsidR="009E6925" w:rsidRPr="009E6925" w14:paraId="5CFCD4B7"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62859F7D"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3B447133" w14:textId="77777777" w:rsidR="009E6925" w:rsidRPr="009E6925" w:rsidRDefault="009E6925" w:rsidP="009E6925">
            <w:pPr>
              <w:rPr>
                <w:color w:val="000000"/>
                <w:szCs w:val="22"/>
                <w:lang w:val="cs-CZ" w:eastAsia="cs-CZ"/>
              </w:rPr>
            </w:pPr>
          </w:p>
        </w:tc>
        <w:tc>
          <w:tcPr>
            <w:tcW w:w="3700" w:type="pct"/>
            <w:shd w:val="clear" w:color="auto" w:fill="auto"/>
            <w:tcMar>
              <w:top w:w="15" w:type="dxa"/>
              <w:left w:w="15" w:type="dxa"/>
              <w:bottom w:w="15" w:type="dxa"/>
              <w:right w:w="15" w:type="dxa"/>
            </w:tcMar>
            <w:vAlign w:val="center"/>
            <w:hideMark/>
          </w:tcPr>
          <w:p w14:paraId="4BB795DB" w14:textId="21C38546" w:rsidR="009E6925" w:rsidRPr="009E6925" w:rsidRDefault="0001761A" w:rsidP="009E6925">
            <w:pPr>
              <w:rPr>
                <w:color w:val="000000"/>
                <w:szCs w:val="22"/>
                <w:lang w:val="cs-CZ" w:eastAsia="cs-CZ"/>
              </w:rPr>
            </w:pPr>
            <w:r>
              <w:rPr>
                <w:color w:val="000000"/>
                <w:szCs w:val="22"/>
                <w:lang w:val="cs-CZ" w:eastAsia="cs-CZ"/>
              </w:rPr>
              <w:t>xxxxxxxxxxxxxxxxxxxxxxxxx</w:t>
            </w:r>
          </w:p>
        </w:tc>
      </w:tr>
    </w:tbl>
    <w:p w14:paraId="649BFEAD" w14:textId="77777777" w:rsidR="00D2226E" w:rsidRPr="00C15F46" w:rsidRDefault="00D2226E" w:rsidP="00D2226E">
      <w:pPr>
        <w:rPr>
          <w:szCs w:val="22"/>
          <w:lang w:val="cs-CZ"/>
        </w:rPr>
      </w:pPr>
    </w:p>
    <w:p w14:paraId="4F861707" w14:textId="77777777" w:rsidR="00D2226E" w:rsidRPr="00C15F46" w:rsidRDefault="00D2226E" w:rsidP="00D2226E">
      <w:pPr>
        <w:jc w:val="center"/>
        <w:rPr>
          <w:b/>
          <w:szCs w:val="22"/>
          <w:lang w:val="cs-CZ"/>
        </w:rPr>
      </w:pPr>
      <w:r w:rsidRPr="00C15F46">
        <w:rPr>
          <w:b/>
          <w:szCs w:val="22"/>
          <w:lang w:val="cs-CZ"/>
        </w:rPr>
        <w:t>potvrzuje</w:t>
      </w:r>
    </w:p>
    <w:p w14:paraId="662E3BC3" w14:textId="77777777" w:rsidR="00D2226E" w:rsidRPr="00C15F46" w:rsidRDefault="00D2226E" w:rsidP="00D2226E">
      <w:pPr>
        <w:jc w:val="center"/>
        <w:rPr>
          <w:b/>
          <w:szCs w:val="22"/>
          <w:lang w:val="cs-CZ"/>
        </w:rPr>
      </w:pPr>
    </w:p>
    <w:p w14:paraId="16B787FA" w14:textId="453AAC19" w:rsidR="00D2226E" w:rsidRPr="00C15F46" w:rsidRDefault="00D2226E" w:rsidP="00D2226E">
      <w:pPr>
        <w:jc w:val="both"/>
        <w:rPr>
          <w:szCs w:val="22"/>
          <w:lang w:val="cs-CZ"/>
        </w:rPr>
      </w:pPr>
      <w:r w:rsidRPr="00C15F46">
        <w:rPr>
          <w:bCs/>
          <w:szCs w:val="22"/>
          <w:lang w:val="cs-CZ"/>
        </w:rPr>
        <w:t xml:space="preserve">pro účely </w:t>
      </w:r>
      <w:r w:rsidRPr="00C15F46">
        <w:rPr>
          <w:szCs w:val="22"/>
          <w:lang w:val="cs-CZ"/>
        </w:rPr>
        <w:t xml:space="preserve">jednání o uzavření, uzavírání a </w:t>
      </w:r>
      <w:r w:rsidRPr="00C15F46">
        <w:rPr>
          <w:bCs/>
          <w:szCs w:val="22"/>
          <w:lang w:val="cs-CZ"/>
        </w:rPr>
        <w:t xml:space="preserve">konfirmování </w:t>
      </w:r>
      <w:r w:rsidRPr="00C15F46">
        <w:rPr>
          <w:szCs w:val="22"/>
          <w:lang w:val="cs-CZ"/>
        </w:rPr>
        <w:t xml:space="preserve">Transakcí (prostřednictvím </w:t>
      </w:r>
      <w:r w:rsidRPr="00C15F46">
        <w:rPr>
          <w:b/>
          <w:szCs w:val="22"/>
          <w:lang w:val="cs-CZ"/>
        </w:rPr>
        <w:t>vybraných služeb elektronického bankovnictví Banky)</w:t>
      </w:r>
      <w:r w:rsidRPr="00C15F46">
        <w:rPr>
          <w:szCs w:val="22"/>
          <w:lang w:val="cs-CZ"/>
        </w:rPr>
        <w:t xml:space="preserve"> dle </w:t>
      </w:r>
      <w:r w:rsidRPr="00C15F46">
        <w:rPr>
          <w:bCs/>
          <w:szCs w:val="22"/>
          <w:lang w:val="cs-CZ"/>
        </w:rPr>
        <w:t>Rámcové smlouvy č. </w:t>
      </w:r>
      <w:r w:rsidR="009E6925">
        <w:rPr>
          <w:bCs/>
          <w:szCs w:val="22"/>
          <w:lang w:val="cs-CZ"/>
        </w:rPr>
        <w:t>2020005181</w:t>
      </w:r>
      <w:r w:rsidRPr="00C15F46">
        <w:rPr>
          <w:b/>
          <w:sz w:val="26"/>
          <w:szCs w:val="26"/>
          <w:lang w:val="cs-CZ"/>
        </w:rPr>
        <w:t xml:space="preserve"> </w:t>
      </w:r>
      <w:r w:rsidRPr="00C15F46">
        <w:rPr>
          <w:szCs w:val="22"/>
          <w:lang w:val="cs-CZ"/>
        </w:rPr>
        <w:t xml:space="preserve">uzavřené dne </w:t>
      </w:r>
      <w:r w:rsidR="009E6925">
        <w:rPr>
          <w:szCs w:val="22"/>
          <w:lang w:val="cs-CZ"/>
        </w:rPr>
        <w:t>22.5.2020</w:t>
      </w:r>
      <w:r w:rsidRPr="00C15F46">
        <w:rPr>
          <w:szCs w:val="22"/>
          <w:lang w:val="cs-CZ"/>
        </w:rPr>
        <w:t xml:space="preserve"> mezi Klientem a obchodní společností Československá obchodní banka, a. s. se sídlem: Radlická 333/150, 150 57 Praha 5, IČO: 00001350, zapsaná v obchodním rejstříku vedeném Městským soudem v Praze, oddíl B: XXXVI, vložka 46 (dále jen “Banka”), níže uvedené identifikace a podpisy svých oprávněných zástupců:</w:t>
      </w:r>
    </w:p>
    <w:p w14:paraId="19E83706" w14:textId="77777777" w:rsidR="00D2226E" w:rsidRPr="00C15F46" w:rsidRDefault="00D2226E" w:rsidP="00D2226E">
      <w:pPr>
        <w:rPr>
          <w:szCs w:val="22"/>
          <w:lang w:val="cs-CZ"/>
        </w:rPr>
      </w:pPr>
    </w:p>
    <w:p w14:paraId="44870508" w14:textId="2BE8E551" w:rsidR="00D2226E" w:rsidRPr="00C15F46" w:rsidRDefault="00D2226E" w:rsidP="00D2226E">
      <w:pPr>
        <w:rPr>
          <w:szCs w:val="22"/>
          <w:lang w:val="cs-CZ"/>
        </w:rPr>
      </w:pPr>
    </w:p>
    <w:tbl>
      <w:tblPr>
        <w:tblW w:w="880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
        <w:gridCol w:w="2167"/>
        <w:gridCol w:w="2167"/>
        <w:gridCol w:w="1077"/>
        <w:gridCol w:w="1474"/>
        <w:gridCol w:w="1701"/>
      </w:tblGrid>
      <w:tr w:rsidR="00D2226E" w:rsidRPr="00C15F46" w14:paraId="1C28D9B9" w14:textId="77777777" w:rsidTr="009E6925">
        <w:trPr>
          <w:trHeight w:val="400"/>
        </w:trPr>
        <w:tc>
          <w:tcPr>
            <w:tcW w:w="216" w:type="dxa"/>
            <w:tcBorders>
              <w:top w:val="single" w:sz="12" w:space="0" w:color="auto"/>
              <w:left w:val="single" w:sz="12" w:space="0" w:color="auto"/>
              <w:bottom w:val="single" w:sz="12" w:space="0" w:color="auto"/>
              <w:right w:val="single" w:sz="4" w:space="0" w:color="auto"/>
            </w:tcBorders>
          </w:tcPr>
          <w:p w14:paraId="0AD8DAC0" w14:textId="77777777" w:rsidR="00D2226E" w:rsidRPr="00C15F46" w:rsidRDefault="00D2226E" w:rsidP="0077561E">
            <w:pPr>
              <w:widowControl w:val="0"/>
              <w:jc w:val="center"/>
              <w:outlineLvl w:val="0"/>
              <w:rPr>
                <w:b/>
                <w:szCs w:val="22"/>
                <w:lang w:val="cs-CZ"/>
              </w:rPr>
            </w:pPr>
          </w:p>
        </w:tc>
        <w:tc>
          <w:tcPr>
            <w:tcW w:w="2167" w:type="dxa"/>
            <w:tcBorders>
              <w:top w:val="single" w:sz="12" w:space="0" w:color="auto"/>
              <w:left w:val="single" w:sz="4" w:space="0" w:color="auto"/>
              <w:bottom w:val="single" w:sz="12" w:space="0" w:color="auto"/>
              <w:right w:val="single" w:sz="4" w:space="0" w:color="auto"/>
            </w:tcBorders>
            <w:vAlign w:val="center"/>
          </w:tcPr>
          <w:p w14:paraId="3C4CBF3B" w14:textId="77777777" w:rsidR="00D2226E" w:rsidRPr="00C15F46" w:rsidRDefault="00D2226E" w:rsidP="0077561E">
            <w:pPr>
              <w:widowControl w:val="0"/>
              <w:jc w:val="center"/>
              <w:outlineLvl w:val="0"/>
              <w:rPr>
                <w:b/>
                <w:szCs w:val="22"/>
                <w:lang w:val="cs-CZ"/>
              </w:rPr>
            </w:pPr>
            <w:r w:rsidRPr="00C15F46">
              <w:rPr>
                <w:b/>
                <w:szCs w:val="22"/>
                <w:lang w:val="cs-CZ"/>
              </w:rPr>
              <w:t>Jméno a příjmení/všechna jména a příjmení</w:t>
            </w:r>
          </w:p>
        </w:tc>
        <w:tc>
          <w:tcPr>
            <w:tcW w:w="2167" w:type="dxa"/>
            <w:tcBorders>
              <w:top w:val="single" w:sz="12" w:space="0" w:color="auto"/>
              <w:left w:val="single" w:sz="4" w:space="0" w:color="auto"/>
              <w:bottom w:val="single" w:sz="12" w:space="0" w:color="auto"/>
              <w:right w:val="single" w:sz="4" w:space="0" w:color="auto"/>
            </w:tcBorders>
            <w:vAlign w:val="center"/>
          </w:tcPr>
          <w:p w14:paraId="67511F36" w14:textId="77777777" w:rsidR="00D2226E" w:rsidRPr="00C15F46" w:rsidRDefault="00D2226E" w:rsidP="0077561E">
            <w:pPr>
              <w:widowControl w:val="0"/>
              <w:jc w:val="center"/>
              <w:outlineLvl w:val="0"/>
              <w:rPr>
                <w:b/>
                <w:bCs/>
                <w:szCs w:val="22"/>
                <w:lang w:val="cs-CZ"/>
              </w:rPr>
            </w:pPr>
            <w:r w:rsidRPr="00C15F46">
              <w:rPr>
                <w:b/>
                <w:szCs w:val="22"/>
                <w:lang w:val="cs-CZ"/>
              </w:rPr>
              <w:t>Trvalý pobyt/</w:t>
            </w:r>
            <w:r w:rsidRPr="00C15F46">
              <w:rPr>
                <w:b/>
                <w:szCs w:val="22"/>
                <w:lang w:val="cs-CZ"/>
              </w:rPr>
              <w:br/>
              <w:t>jiný pobyt</w:t>
            </w:r>
          </w:p>
        </w:tc>
        <w:tc>
          <w:tcPr>
            <w:tcW w:w="1077" w:type="dxa"/>
            <w:tcBorders>
              <w:top w:val="single" w:sz="12" w:space="0" w:color="auto"/>
              <w:left w:val="single" w:sz="4" w:space="0" w:color="auto"/>
              <w:bottom w:val="single" w:sz="12" w:space="0" w:color="auto"/>
              <w:right w:val="single" w:sz="4" w:space="0" w:color="auto"/>
            </w:tcBorders>
            <w:vAlign w:val="center"/>
          </w:tcPr>
          <w:p w14:paraId="2E274039" w14:textId="77777777" w:rsidR="00D2226E" w:rsidRPr="00C15F46" w:rsidRDefault="00D2226E" w:rsidP="0077561E">
            <w:pPr>
              <w:widowControl w:val="0"/>
              <w:jc w:val="center"/>
              <w:outlineLvl w:val="0"/>
              <w:rPr>
                <w:b/>
                <w:szCs w:val="22"/>
                <w:lang w:val="cs-CZ"/>
              </w:rPr>
            </w:pPr>
            <w:r w:rsidRPr="00C15F46">
              <w:rPr>
                <w:b/>
                <w:bCs/>
                <w:szCs w:val="22"/>
                <w:lang w:val="cs-CZ"/>
              </w:rPr>
              <w:t>Rodné číslo nebo datum narození</w:t>
            </w:r>
          </w:p>
        </w:tc>
        <w:tc>
          <w:tcPr>
            <w:tcW w:w="1474" w:type="dxa"/>
            <w:tcBorders>
              <w:top w:val="single" w:sz="12" w:space="0" w:color="auto"/>
              <w:left w:val="single" w:sz="4" w:space="0" w:color="auto"/>
              <w:bottom w:val="single" w:sz="12" w:space="0" w:color="auto"/>
              <w:right w:val="single" w:sz="4" w:space="0" w:color="auto"/>
            </w:tcBorders>
            <w:vAlign w:val="center"/>
          </w:tcPr>
          <w:p w14:paraId="32D789DF" w14:textId="77777777" w:rsidR="00D2226E" w:rsidRPr="00C15F46" w:rsidRDefault="00D2226E" w:rsidP="0077561E">
            <w:pPr>
              <w:widowControl w:val="0"/>
              <w:jc w:val="center"/>
              <w:outlineLvl w:val="0"/>
              <w:rPr>
                <w:b/>
                <w:szCs w:val="22"/>
                <w:lang w:val="cs-CZ"/>
              </w:rPr>
            </w:pPr>
            <w:r w:rsidRPr="00C15F46">
              <w:rPr>
                <w:b/>
                <w:bCs/>
                <w:szCs w:val="22"/>
                <w:lang w:val="cs-CZ"/>
              </w:rPr>
              <w:t>Rozsah oprávnění</w:t>
            </w:r>
          </w:p>
        </w:tc>
        <w:tc>
          <w:tcPr>
            <w:tcW w:w="1701" w:type="dxa"/>
            <w:tcBorders>
              <w:top w:val="single" w:sz="12" w:space="0" w:color="auto"/>
              <w:left w:val="single" w:sz="4" w:space="0" w:color="auto"/>
              <w:bottom w:val="single" w:sz="12" w:space="0" w:color="auto"/>
              <w:right w:val="single" w:sz="12" w:space="0" w:color="auto"/>
            </w:tcBorders>
            <w:vAlign w:val="center"/>
          </w:tcPr>
          <w:p w14:paraId="11D10E93" w14:textId="77777777" w:rsidR="00D2226E" w:rsidRPr="00C15F46" w:rsidRDefault="00D2226E" w:rsidP="0077561E">
            <w:pPr>
              <w:widowControl w:val="0"/>
              <w:jc w:val="center"/>
              <w:outlineLvl w:val="0"/>
              <w:rPr>
                <w:b/>
                <w:szCs w:val="22"/>
                <w:lang w:val="cs-CZ"/>
              </w:rPr>
            </w:pPr>
            <w:r w:rsidRPr="00C15F46">
              <w:rPr>
                <w:b/>
                <w:szCs w:val="22"/>
                <w:lang w:val="cs-CZ"/>
              </w:rPr>
              <w:t>Mobilní telefon/e-mail</w:t>
            </w:r>
          </w:p>
        </w:tc>
      </w:tr>
      <w:tr w:rsidR="00D2226E" w:rsidRPr="00C15F46" w14:paraId="56304000" w14:textId="77777777" w:rsidTr="009E6925">
        <w:trPr>
          <w:trHeight w:val="851"/>
        </w:trPr>
        <w:tc>
          <w:tcPr>
            <w:tcW w:w="216" w:type="dxa"/>
            <w:tcBorders>
              <w:top w:val="nil"/>
              <w:left w:val="single" w:sz="12" w:space="0" w:color="auto"/>
              <w:bottom w:val="single" w:sz="4" w:space="0" w:color="auto"/>
              <w:right w:val="single" w:sz="4" w:space="0" w:color="auto"/>
            </w:tcBorders>
            <w:vAlign w:val="center"/>
          </w:tcPr>
          <w:p w14:paraId="66354A26" w14:textId="77777777" w:rsidR="00D2226E" w:rsidRPr="00C15F46" w:rsidRDefault="00D2226E" w:rsidP="0077561E">
            <w:pPr>
              <w:widowControl w:val="0"/>
              <w:jc w:val="center"/>
              <w:outlineLvl w:val="0"/>
              <w:rPr>
                <w:b/>
                <w:szCs w:val="22"/>
                <w:lang w:val="cs-CZ"/>
              </w:rPr>
            </w:pPr>
            <w:r w:rsidRPr="00C15F46">
              <w:rPr>
                <w:b/>
                <w:szCs w:val="22"/>
                <w:lang w:val="cs-CZ"/>
              </w:rPr>
              <w:t>1</w:t>
            </w:r>
          </w:p>
        </w:tc>
        <w:tc>
          <w:tcPr>
            <w:tcW w:w="2167" w:type="dxa"/>
            <w:tcBorders>
              <w:top w:val="nil"/>
              <w:left w:val="single" w:sz="4" w:space="0" w:color="auto"/>
              <w:bottom w:val="single" w:sz="4" w:space="0" w:color="auto"/>
              <w:right w:val="single" w:sz="4" w:space="0" w:color="auto"/>
            </w:tcBorders>
            <w:vAlign w:val="center"/>
          </w:tcPr>
          <w:p w14:paraId="256A79A2" w14:textId="4842268F" w:rsidR="00D2226E" w:rsidRPr="00C15F46" w:rsidRDefault="0001761A" w:rsidP="0077561E">
            <w:pPr>
              <w:widowControl w:val="0"/>
              <w:outlineLvl w:val="0"/>
              <w:rPr>
                <w:szCs w:val="22"/>
                <w:lang w:val="cs-CZ"/>
              </w:rPr>
            </w:pPr>
            <w:r>
              <w:rPr>
                <w:sz w:val="16"/>
                <w:szCs w:val="16"/>
                <w:lang w:val="cs-CZ" w:eastAsia="cs-CZ"/>
              </w:rPr>
              <w:t>xxxxxxxxxxxxxxxxxxx</w:t>
            </w:r>
          </w:p>
        </w:tc>
        <w:tc>
          <w:tcPr>
            <w:tcW w:w="2167" w:type="dxa"/>
            <w:tcBorders>
              <w:top w:val="nil"/>
              <w:left w:val="single" w:sz="4" w:space="0" w:color="auto"/>
              <w:bottom w:val="single" w:sz="4" w:space="0" w:color="auto"/>
              <w:right w:val="single" w:sz="4" w:space="0" w:color="auto"/>
            </w:tcBorders>
            <w:vAlign w:val="center"/>
          </w:tcPr>
          <w:p w14:paraId="00C90FED" w14:textId="5557C5CB" w:rsidR="00D2226E" w:rsidRPr="00C15F46" w:rsidRDefault="0001761A" w:rsidP="0077561E">
            <w:pPr>
              <w:widowControl w:val="0"/>
              <w:outlineLvl w:val="0"/>
              <w:rPr>
                <w:szCs w:val="22"/>
                <w:lang w:val="cs-CZ"/>
              </w:rPr>
            </w:pPr>
            <w:r>
              <w:rPr>
                <w:sz w:val="16"/>
                <w:szCs w:val="16"/>
                <w:lang w:val="cs-CZ" w:eastAsia="cs-CZ"/>
              </w:rPr>
              <w:t>xxxxxxxxxxxxxxxxxxxxx</w:t>
            </w:r>
          </w:p>
        </w:tc>
        <w:tc>
          <w:tcPr>
            <w:tcW w:w="1077" w:type="dxa"/>
            <w:tcBorders>
              <w:top w:val="nil"/>
              <w:left w:val="single" w:sz="4" w:space="0" w:color="auto"/>
              <w:bottom w:val="single" w:sz="4" w:space="0" w:color="auto"/>
              <w:right w:val="single" w:sz="4" w:space="0" w:color="auto"/>
            </w:tcBorders>
            <w:vAlign w:val="center"/>
          </w:tcPr>
          <w:p w14:paraId="3C74A2EE" w14:textId="060F340E" w:rsidR="00D2226E" w:rsidRPr="00C15F46" w:rsidRDefault="0001761A" w:rsidP="0077561E">
            <w:pPr>
              <w:widowControl w:val="0"/>
              <w:outlineLvl w:val="0"/>
              <w:rPr>
                <w:szCs w:val="22"/>
                <w:lang w:val="cs-CZ"/>
              </w:rPr>
            </w:pPr>
            <w:r>
              <w:rPr>
                <w:sz w:val="16"/>
                <w:szCs w:val="16"/>
                <w:lang w:val="cs-CZ" w:eastAsia="cs-CZ"/>
              </w:rPr>
              <w:t>xxxxxxxxxxx</w:t>
            </w:r>
          </w:p>
        </w:tc>
        <w:tc>
          <w:tcPr>
            <w:tcW w:w="1474" w:type="dxa"/>
            <w:tcBorders>
              <w:top w:val="nil"/>
              <w:left w:val="single" w:sz="4" w:space="0" w:color="auto"/>
              <w:bottom w:val="single" w:sz="4" w:space="0" w:color="auto"/>
              <w:right w:val="single" w:sz="4" w:space="0" w:color="auto"/>
            </w:tcBorders>
            <w:vAlign w:val="center"/>
          </w:tcPr>
          <w:p w14:paraId="619B6844" w14:textId="77777777" w:rsidR="00D2226E" w:rsidRPr="00C15F46" w:rsidRDefault="00D2226E" w:rsidP="0077561E">
            <w:pPr>
              <w:widowControl w:val="0"/>
              <w:outlineLvl w:val="0"/>
              <w:rPr>
                <w:szCs w:val="22"/>
                <w:lang w:val="cs-CZ"/>
              </w:rPr>
            </w:pPr>
            <w:r w:rsidRPr="00C15F46">
              <w:rPr>
                <w:szCs w:val="22"/>
                <w:lang w:val="cs-CZ"/>
              </w:rPr>
              <w:t>uzavírání a konfirmace</w:t>
            </w:r>
          </w:p>
        </w:tc>
        <w:tc>
          <w:tcPr>
            <w:tcW w:w="1701" w:type="dxa"/>
            <w:tcBorders>
              <w:top w:val="nil"/>
              <w:left w:val="single" w:sz="4" w:space="0" w:color="auto"/>
              <w:bottom w:val="single" w:sz="4" w:space="0" w:color="auto"/>
              <w:right w:val="single" w:sz="12" w:space="0" w:color="auto"/>
            </w:tcBorders>
            <w:vAlign w:val="center"/>
          </w:tcPr>
          <w:p w14:paraId="21FBDBE9" w14:textId="59C14BEB" w:rsidR="00D2226E" w:rsidRPr="009E6925" w:rsidRDefault="0001761A" w:rsidP="0077561E">
            <w:pPr>
              <w:widowControl w:val="0"/>
              <w:outlineLvl w:val="0"/>
              <w:rPr>
                <w:szCs w:val="22"/>
                <w:lang w:val="cs-CZ"/>
              </w:rPr>
            </w:pPr>
            <w:r>
              <w:rPr>
                <w:sz w:val="16"/>
                <w:szCs w:val="16"/>
                <w:lang w:val="cs-CZ" w:eastAsia="cs-CZ"/>
              </w:rPr>
              <w:t>xxxxxxxxxxxxxxxxxx</w:t>
            </w:r>
          </w:p>
        </w:tc>
      </w:tr>
    </w:tbl>
    <w:p w14:paraId="5F82A86D" w14:textId="77777777" w:rsidR="00D2226E" w:rsidRPr="00C15F46" w:rsidRDefault="00D2226E" w:rsidP="00D2226E">
      <w:pPr>
        <w:rPr>
          <w:szCs w:val="22"/>
          <w:lang w:val="cs-CZ"/>
        </w:rPr>
      </w:pPr>
    </w:p>
    <w:p w14:paraId="13C0D6AE" w14:textId="7EC4295A" w:rsidR="009E6925" w:rsidRPr="009E6925" w:rsidRDefault="009E6925" w:rsidP="009E6925">
      <w:pPr>
        <w:rPr>
          <w:color w:val="000000"/>
          <w:szCs w:val="22"/>
          <w:lang w:val="cs-CZ" w:eastAsia="cs-CZ"/>
        </w:rPr>
      </w:pPr>
      <w:r w:rsidRPr="009E6925">
        <w:rPr>
          <w:color w:val="000000"/>
          <w:szCs w:val="22"/>
          <w:lang w:val="cs-CZ" w:eastAsia="cs-CZ"/>
        </w:rPr>
        <w:t xml:space="preserve">V Liberci dne </w:t>
      </w:r>
      <w:r>
        <w:rPr>
          <w:color w:val="000000"/>
          <w:szCs w:val="22"/>
          <w:lang w:val="cs-CZ" w:eastAsia="cs-CZ"/>
        </w:rPr>
        <w:t>17.6</w:t>
      </w:r>
      <w:r w:rsidRPr="009E6925">
        <w:rPr>
          <w:color w:val="000000"/>
          <w:szCs w:val="22"/>
          <w:lang w:val="cs-CZ" w:eastAsia="cs-CZ"/>
        </w:rPr>
        <w:t>. 2020</w:t>
      </w:r>
    </w:p>
    <w:p w14:paraId="1EC86C72" w14:textId="77777777" w:rsidR="009E6925" w:rsidRPr="00C15F46" w:rsidRDefault="00D2226E" w:rsidP="009E6925">
      <w:pPr>
        <w:widowControl w:val="0"/>
        <w:jc w:val="center"/>
        <w:rPr>
          <w:b/>
          <w:szCs w:val="22"/>
          <w:lang w:val="cs-CZ"/>
        </w:rPr>
      </w:pPr>
      <w:r w:rsidRPr="00C15F46">
        <w:rPr>
          <w:b/>
          <w:szCs w:val="22"/>
          <w:lang w:val="cs-CZ"/>
        </w:rPr>
        <w:tab/>
      </w:r>
      <w:r w:rsidR="00074119" w:rsidRPr="00C15F46">
        <w:rPr>
          <w:b/>
          <w:szCs w:val="22"/>
          <w:lang w:val="cs-CZ"/>
        </w:rPr>
        <w:tab/>
      </w:r>
      <w:r w:rsidR="00074119" w:rsidRPr="00C15F46">
        <w:rPr>
          <w:b/>
          <w:szCs w:val="22"/>
          <w:lang w:val="cs-CZ"/>
        </w:rPr>
        <w:tab/>
      </w:r>
      <w:r w:rsidR="00074119" w:rsidRPr="00C15F46">
        <w:rPr>
          <w:b/>
          <w:szCs w:val="22"/>
          <w:lang w:val="cs-CZ"/>
        </w:rPr>
        <w:tab/>
      </w:r>
      <w:r w:rsidR="00074119" w:rsidRPr="00C15F46">
        <w:rPr>
          <w:b/>
          <w:szCs w:val="22"/>
          <w:lang w:val="cs-CZ"/>
        </w:rPr>
        <w:tab/>
      </w:r>
    </w:p>
    <w:tbl>
      <w:tblPr>
        <w:tblW w:w="5000" w:type="pct"/>
        <w:tblCellSpacing w:w="-85" w:type="dxa"/>
        <w:tblLook w:val="04A0" w:firstRow="1" w:lastRow="0" w:firstColumn="1" w:lastColumn="0" w:noHBand="0" w:noVBand="1"/>
      </w:tblPr>
      <w:tblGrid>
        <w:gridCol w:w="4426"/>
        <w:gridCol w:w="220"/>
        <w:gridCol w:w="4425"/>
      </w:tblGrid>
      <w:tr w:rsidR="009E6925" w:rsidRPr="009E6925" w14:paraId="436ADD61" w14:textId="77777777" w:rsidTr="009E6B93">
        <w:trPr>
          <w:cantSplit/>
          <w:tblCellSpacing w:w="-85" w:type="dxa"/>
        </w:trPr>
        <w:tc>
          <w:tcPr>
            <w:tcW w:w="2400" w:type="pct"/>
            <w:tcMar>
              <w:top w:w="0" w:type="dxa"/>
              <w:left w:w="0" w:type="dxa"/>
              <w:bottom w:w="0" w:type="dxa"/>
              <w:right w:w="0" w:type="dxa"/>
            </w:tcMar>
            <w:hideMark/>
          </w:tcPr>
          <w:p w14:paraId="09F50857" w14:textId="42D1C7D2" w:rsidR="009E6925" w:rsidRPr="009E6925" w:rsidRDefault="009E6925" w:rsidP="0001761A">
            <w:pPr>
              <w:pBdr>
                <w:right w:val="none" w:sz="0" w:space="15" w:color="auto"/>
              </w:pBdr>
              <w:ind w:right="300"/>
              <w:rPr>
                <w:color w:val="000000"/>
                <w:szCs w:val="22"/>
                <w:lang w:val="cs-CZ" w:eastAsia="cs-CZ"/>
              </w:rPr>
            </w:pPr>
            <w:r w:rsidRPr="009E6925">
              <w:rPr>
                <w:b/>
                <w:bCs/>
                <w:color w:val="000000"/>
                <w:szCs w:val="22"/>
                <w:lang w:val="cs-CZ" w:eastAsia="cs-CZ"/>
              </w:rPr>
              <w:t>ČSAD Liberec, a.s.</w:t>
            </w:r>
            <w:r w:rsidRPr="009E6925">
              <w:rPr>
                <w:b/>
                <w:bCs/>
                <w:color w:val="000000"/>
                <w:szCs w:val="22"/>
                <w:lang w:val="cs-CZ" w:eastAsia="cs-CZ"/>
              </w:rPr>
              <w:br/>
            </w:r>
            <w:r w:rsidR="0001761A">
              <w:rPr>
                <w:color w:val="000000"/>
                <w:szCs w:val="22"/>
                <w:lang w:val="cs-CZ" w:eastAsia="cs-CZ"/>
              </w:rPr>
              <w:t>xxxxxxxxxxxxxxxxxxxxxxxxxxxx</w:t>
            </w:r>
            <w:r w:rsidRPr="009E6925">
              <w:rPr>
                <w:color w:val="000000"/>
                <w:szCs w:val="22"/>
                <w:lang w:val="cs-CZ" w:eastAsia="cs-CZ"/>
              </w:rPr>
              <w:br/>
            </w:r>
            <w:r w:rsidR="0001761A">
              <w:rPr>
                <w:color w:val="000000"/>
                <w:szCs w:val="22"/>
                <w:lang w:val="cs-CZ" w:eastAsia="cs-CZ"/>
              </w:rPr>
              <w:t>xxxxxxxxxxxxxxxxxxxxxxxxxxxx</w:t>
            </w:r>
          </w:p>
        </w:tc>
        <w:tc>
          <w:tcPr>
            <w:tcW w:w="0" w:type="auto"/>
            <w:tcMar>
              <w:top w:w="0" w:type="dxa"/>
              <w:left w:w="0" w:type="dxa"/>
              <w:bottom w:w="0" w:type="dxa"/>
              <w:right w:w="0" w:type="dxa"/>
            </w:tcMar>
            <w:vAlign w:val="center"/>
            <w:hideMark/>
          </w:tcPr>
          <w:p w14:paraId="184DAA8E" w14:textId="77777777" w:rsidR="009E6925" w:rsidRPr="009E6925" w:rsidRDefault="009E6925" w:rsidP="009E6925">
            <w:pPr>
              <w:rPr>
                <w:color w:val="000000"/>
                <w:szCs w:val="22"/>
                <w:lang w:val="cs-CZ" w:eastAsia="cs-CZ"/>
              </w:rPr>
            </w:pPr>
            <w:r w:rsidRPr="009E6925">
              <w:rPr>
                <w:color w:val="000000"/>
                <w:szCs w:val="22"/>
                <w:lang w:val="cs-CZ" w:eastAsia="cs-CZ"/>
              </w:rPr>
              <w:t>  </w:t>
            </w:r>
          </w:p>
        </w:tc>
        <w:tc>
          <w:tcPr>
            <w:tcW w:w="2400" w:type="pct"/>
            <w:tcMar>
              <w:top w:w="0" w:type="dxa"/>
              <w:left w:w="0" w:type="dxa"/>
              <w:bottom w:w="0" w:type="dxa"/>
              <w:right w:w="0" w:type="dxa"/>
            </w:tcMar>
            <w:hideMark/>
          </w:tcPr>
          <w:p w14:paraId="7694BEDB" w14:textId="77777777" w:rsidR="009E6925" w:rsidRPr="009E6925" w:rsidRDefault="009E6925" w:rsidP="009E6925">
            <w:pPr>
              <w:rPr>
                <w:color w:val="000000"/>
                <w:szCs w:val="22"/>
                <w:lang w:val="cs-CZ" w:eastAsia="cs-CZ"/>
              </w:rPr>
            </w:pPr>
          </w:p>
        </w:tc>
      </w:tr>
    </w:tbl>
    <w:p w14:paraId="75BBBBF6" w14:textId="77777777" w:rsidR="009E6925" w:rsidRPr="009E6925" w:rsidRDefault="009E6925" w:rsidP="009E6925">
      <w:pPr>
        <w:jc w:val="both"/>
        <w:rPr>
          <w:vanish/>
          <w:color w:val="000000"/>
          <w:szCs w:val="22"/>
          <w:lang w:val="cs-CZ" w:eastAsia="cs-CZ"/>
        </w:rPr>
      </w:pPr>
    </w:p>
    <w:tbl>
      <w:tblPr>
        <w:tblW w:w="5000" w:type="pct"/>
        <w:tblCellSpacing w:w="-85" w:type="dxa"/>
        <w:tblLook w:val="04A0" w:firstRow="1" w:lastRow="0" w:firstColumn="1" w:lastColumn="0" w:noHBand="0" w:noVBand="1"/>
      </w:tblPr>
      <w:tblGrid>
        <w:gridCol w:w="4426"/>
        <w:gridCol w:w="220"/>
        <w:gridCol w:w="4425"/>
      </w:tblGrid>
      <w:tr w:rsidR="009E6925" w:rsidRPr="009E6925" w14:paraId="42DF0C86" w14:textId="77777777" w:rsidTr="009E6B93">
        <w:trPr>
          <w:cantSplit/>
          <w:tblCellSpacing w:w="-85" w:type="dxa"/>
        </w:trPr>
        <w:tc>
          <w:tcPr>
            <w:tcW w:w="2400" w:type="pct"/>
            <w:tcMar>
              <w:top w:w="0" w:type="dxa"/>
              <w:left w:w="0" w:type="dxa"/>
              <w:bottom w:w="0" w:type="dxa"/>
              <w:right w:w="0" w:type="dxa"/>
            </w:tcMar>
            <w:hideMark/>
          </w:tcPr>
          <w:tbl>
            <w:tblPr>
              <w:tblW w:w="4000" w:type="pct"/>
              <w:tblCellSpacing w:w="-85" w:type="dxa"/>
              <w:tblCellMar>
                <w:top w:w="15" w:type="dxa"/>
                <w:left w:w="15" w:type="dxa"/>
                <w:bottom w:w="15" w:type="dxa"/>
                <w:right w:w="15" w:type="dxa"/>
              </w:tblCellMar>
              <w:tblLook w:val="05E0" w:firstRow="1" w:lastRow="1" w:firstColumn="1" w:lastColumn="1" w:noHBand="0" w:noVBand="1"/>
            </w:tblPr>
            <w:tblGrid>
              <w:gridCol w:w="1770"/>
              <w:gridCol w:w="1771"/>
            </w:tblGrid>
            <w:tr w:rsidR="009E6925" w:rsidRPr="009E6925" w14:paraId="40FB62B8"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3E26B185" w14:textId="77777777" w:rsidR="009E6925" w:rsidRPr="009E6925" w:rsidRDefault="009E6925" w:rsidP="009E6925">
                  <w:pPr>
                    <w:rPr>
                      <w:color w:val="FFFFFF"/>
                      <w:szCs w:val="22"/>
                      <w:lang w:val="cs-CZ" w:eastAsia="cs-CZ"/>
                    </w:rPr>
                  </w:pPr>
                  <w:r w:rsidRPr="009E6925">
                    <w:rPr>
                      <w:color w:val="FFFFFF"/>
                      <w:szCs w:val="22"/>
                      <w:lang w:val="cs-CZ" w:eastAsia="cs-CZ"/>
                    </w:rPr>
                    <w:t>*K*</w:t>
                  </w:r>
                </w:p>
              </w:tc>
              <w:tc>
                <w:tcPr>
                  <w:tcW w:w="0" w:type="auto"/>
                  <w:shd w:val="clear" w:color="auto" w:fill="auto"/>
                  <w:tcMar>
                    <w:top w:w="15" w:type="dxa"/>
                    <w:left w:w="15" w:type="dxa"/>
                    <w:bottom w:w="15" w:type="dxa"/>
                    <w:right w:w="15" w:type="dxa"/>
                  </w:tcMar>
                  <w:vAlign w:val="center"/>
                  <w:hideMark/>
                </w:tcPr>
                <w:p w14:paraId="6D751D8C" w14:textId="77777777" w:rsidR="009E6925" w:rsidRPr="009E6925" w:rsidRDefault="009E6925" w:rsidP="009E6925">
                  <w:pPr>
                    <w:rPr>
                      <w:color w:val="FFFFFF"/>
                      <w:szCs w:val="22"/>
                      <w:lang w:val="cs-CZ" w:eastAsia="cs-CZ"/>
                    </w:rPr>
                  </w:pPr>
                  <w:r w:rsidRPr="009E6925">
                    <w:rPr>
                      <w:color w:val="FFFFFF"/>
                      <w:szCs w:val="22"/>
                      <w:lang w:val="cs-CZ" w:eastAsia="cs-CZ"/>
                    </w:rPr>
                    <w:t>*K*</w:t>
                  </w:r>
                </w:p>
              </w:tc>
            </w:tr>
          </w:tbl>
          <w:p w14:paraId="39DBCBAE" w14:textId="77777777" w:rsidR="00A1539F" w:rsidRDefault="00A1539F" w:rsidP="009E6925">
            <w:pPr>
              <w:rPr>
                <w:color w:val="000000"/>
                <w:szCs w:val="22"/>
                <w:lang w:val="cs-CZ" w:eastAsia="cs-CZ"/>
              </w:rPr>
            </w:pPr>
          </w:p>
          <w:p w14:paraId="07070530" w14:textId="01F0522A" w:rsidR="009E6925" w:rsidRPr="009E6925" w:rsidRDefault="009E6925" w:rsidP="009E6925">
            <w:pPr>
              <w:rPr>
                <w:color w:val="000000"/>
                <w:szCs w:val="22"/>
                <w:lang w:val="cs-CZ" w:eastAsia="cs-CZ"/>
              </w:rPr>
            </w:pPr>
            <w:r w:rsidRPr="009E6925">
              <w:rPr>
                <w:color w:val="000000"/>
                <w:szCs w:val="22"/>
                <w:lang w:val="cs-CZ" w:eastAsia="cs-CZ"/>
              </w:rPr>
              <w:br/>
            </w:r>
          </w:p>
          <w:tbl>
            <w:tblPr>
              <w:tblW w:w="5000" w:type="pct"/>
              <w:tblCellSpacing w:w="-85" w:type="dxa"/>
              <w:tblLook w:val="04A0" w:firstRow="1" w:lastRow="0" w:firstColumn="1" w:lastColumn="0" w:noHBand="0" w:noVBand="1"/>
            </w:tblPr>
            <w:tblGrid>
              <w:gridCol w:w="3694"/>
              <w:gridCol w:w="732"/>
            </w:tblGrid>
            <w:tr w:rsidR="009E6925" w:rsidRPr="009E6925" w14:paraId="6ACFD0F6" w14:textId="77777777" w:rsidTr="009E6B93">
              <w:trPr>
                <w:cantSplit/>
                <w:tblCellSpacing w:w="-85" w:type="dxa"/>
              </w:trPr>
              <w:tc>
                <w:tcPr>
                  <w:tcW w:w="4000" w:type="pct"/>
                  <w:tcMar>
                    <w:top w:w="0" w:type="dxa"/>
                    <w:left w:w="0" w:type="dxa"/>
                    <w:bottom w:w="0" w:type="dxa"/>
                    <w:right w:w="0" w:type="dxa"/>
                  </w:tcMar>
                  <w:vAlign w:val="center"/>
                  <w:hideMark/>
                </w:tcPr>
                <w:p w14:paraId="335EBBD5" w14:textId="77777777" w:rsidR="009E6925" w:rsidRPr="009E6925" w:rsidRDefault="009E6925" w:rsidP="009E6925">
                  <w:pPr>
                    <w:pBdr>
                      <w:top w:val="dotted" w:sz="6" w:space="0" w:color="000000"/>
                      <w:bottom w:val="none" w:sz="0" w:space="7" w:color="auto"/>
                    </w:pBdr>
                    <w:jc w:val="center"/>
                    <w:rPr>
                      <w:color w:val="000000"/>
                      <w:szCs w:val="22"/>
                      <w:lang w:val="cs-CZ" w:eastAsia="cs-CZ"/>
                    </w:rPr>
                  </w:pPr>
                  <w:r w:rsidRPr="009E6925">
                    <w:rPr>
                      <w:color w:val="000000"/>
                      <w:szCs w:val="22"/>
                      <w:lang w:val="cs-CZ" w:eastAsia="cs-CZ"/>
                    </w:rPr>
                    <w:t>Klient</w:t>
                  </w:r>
                </w:p>
              </w:tc>
              <w:tc>
                <w:tcPr>
                  <w:tcW w:w="1000" w:type="pct"/>
                  <w:tcMar>
                    <w:top w:w="0" w:type="dxa"/>
                    <w:left w:w="0" w:type="dxa"/>
                    <w:bottom w:w="0" w:type="dxa"/>
                    <w:right w:w="0" w:type="dxa"/>
                  </w:tcMar>
                  <w:vAlign w:val="center"/>
                  <w:hideMark/>
                </w:tcPr>
                <w:p w14:paraId="5458B976" w14:textId="77777777" w:rsidR="009E6925" w:rsidRPr="009E6925" w:rsidRDefault="009E6925" w:rsidP="009E6925">
                  <w:pPr>
                    <w:rPr>
                      <w:color w:val="000000"/>
                      <w:szCs w:val="22"/>
                      <w:lang w:val="cs-CZ" w:eastAsia="cs-CZ"/>
                    </w:rPr>
                  </w:pPr>
                  <w:r w:rsidRPr="009E6925">
                    <w:rPr>
                      <w:color w:val="000000"/>
                      <w:szCs w:val="22"/>
                      <w:lang w:val="cs-CZ" w:eastAsia="cs-CZ"/>
                    </w:rPr>
                    <w:t> </w:t>
                  </w:r>
                </w:p>
              </w:tc>
            </w:tr>
          </w:tbl>
          <w:p w14:paraId="41905930" w14:textId="77777777" w:rsidR="009E6925" w:rsidRPr="009E6925" w:rsidRDefault="009E6925" w:rsidP="009E6925">
            <w:pPr>
              <w:jc w:val="both"/>
              <w:rPr>
                <w:vanish/>
                <w:color w:val="000000"/>
                <w:szCs w:val="22"/>
                <w:lang w:val="cs-CZ" w:eastAsia="cs-CZ"/>
              </w:rPr>
            </w:pPr>
          </w:p>
          <w:tbl>
            <w:tblPr>
              <w:tblW w:w="4000" w:type="pct"/>
              <w:tblCellSpacing w:w="-85" w:type="dxa"/>
              <w:tblCellMar>
                <w:top w:w="15" w:type="dxa"/>
                <w:left w:w="15" w:type="dxa"/>
                <w:bottom w:w="15" w:type="dxa"/>
                <w:right w:w="15" w:type="dxa"/>
              </w:tblCellMar>
              <w:tblLook w:val="05E0" w:firstRow="1" w:lastRow="1" w:firstColumn="1" w:lastColumn="1" w:noHBand="0" w:noVBand="1"/>
            </w:tblPr>
            <w:tblGrid>
              <w:gridCol w:w="1771"/>
              <w:gridCol w:w="1770"/>
            </w:tblGrid>
            <w:tr w:rsidR="009E6925" w:rsidRPr="009E6925" w14:paraId="0820A232"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59BA6EF6" w14:textId="77777777" w:rsidR="009E6925" w:rsidRPr="009E6925" w:rsidRDefault="009E6925" w:rsidP="009E6925">
                  <w:pPr>
                    <w:rPr>
                      <w:color w:val="000000"/>
                      <w:szCs w:val="22"/>
                      <w:lang w:val="cs-CZ" w:eastAsia="cs-CZ"/>
                    </w:rPr>
                  </w:pPr>
                  <w:r w:rsidRPr="009E6925">
                    <w:rPr>
                      <w:color w:val="000000"/>
                      <w:sz w:val="18"/>
                      <w:szCs w:val="18"/>
                      <w:lang w:val="cs-CZ" w:eastAsia="cs-CZ"/>
                    </w:rPr>
                    <w:t>Ověření podpisu/totožnosti:</w:t>
                  </w:r>
                </w:p>
              </w:tc>
              <w:tc>
                <w:tcPr>
                  <w:tcW w:w="0" w:type="auto"/>
                  <w:shd w:val="clear" w:color="auto" w:fill="auto"/>
                  <w:tcMar>
                    <w:top w:w="15" w:type="dxa"/>
                    <w:left w:w="15" w:type="dxa"/>
                    <w:bottom w:w="15" w:type="dxa"/>
                    <w:right w:w="15" w:type="dxa"/>
                  </w:tcMar>
                  <w:vAlign w:val="center"/>
                  <w:hideMark/>
                </w:tcPr>
                <w:p w14:paraId="603FBC1E" w14:textId="77777777" w:rsidR="009E6925" w:rsidRPr="009E6925" w:rsidRDefault="009E6925" w:rsidP="009E6925">
                  <w:pPr>
                    <w:rPr>
                      <w:color w:val="000000"/>
                      <w:szCs w:val="22"/>
                      <w:lang w:val="cs-CZ" w:eastAsia="cs-CZ"/>
                    </w:rPr>
                  </w:pPr>
                  <w:r w:rsidRPr="009E6925">
                    <w:rPr>
                      <w:color w:val="000000"/>
                      <w:sz w:val="18"/>
                      <w:szCs w:val="18"/>
                      <w:lang w:val="cs-CZ" w:eastAsia="cs-CZ"/>
                    </w:rPr>
                    <w:t>Ověření podpisu/totožnosti:</w:t>
                  </w:r>
                </w:p>
              </w:tc>
            </w:tr>
            <w:tr w:rsidR="009E6925" w:rsidRPr="009E6925" w14:paraId="33287466"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66FAFCBA" w14:textId="77777777" w:rsidR="009E6925" w:rsidRPr="009E6925" w:rsidRDefault="009E6925" w:rsidP="009E6925">
                  <w:pPr>
                    <w:rPr>
                      <w:color w:val="FFFFFF"/>
                      <w:szCs w:val="22"/>
                      <w:lang w:val="cs-CZ" w:eastAsia="cs-CZ"/>
                    </w:rPr>
                  </w:pPr>
                  <w:r w:rsidRPr="009E6925">
                    <w:rPr>
                      <w:color w:val="FFFFFF"/>
                      <w:szCs w:val="22"/>
                      <w:lang w:val="cs-CZ" w:eastAsia="cs-CZ"/>
                    </w:rPr>
                    <w:t>*O*</w:t>
                  </w:r>
                </w:p>
              </w:tc>
              <w:tc>
                <w:tcPr>
                  <w:tcW w:w="0" w:type="auto"/>
                  <w:shd w:val="clear" w:color="auto" w:fill="auto"/>
                  <w:tcMar>
                    <w:top w:w="15" w:type="dxa"/>
                    <w:left w:w="15" w:type="dxa"/>
                    <w:bottom w:w="15" w:type="dxa"/>
                    <w:right w:w="15" w:type="dxa"/>
                  </w:tcMar>
                  <w:vAlign w:val="center"/>
                  <w:hideMark/>
                </w:tcPr>
                <w:p w14:paraId="45BE5DFC" w14:textId="77777777" w:rsidR="009E6925" w:rsidRPr="009E6925" w:rsidRDefault="009E6925" w:rsidP="009E6925">
                  <w:pPr>
                    <w:rPr>
                      <w:color w:val="FFFFFF"/>
                      <w:szCs w:val="22"/>
                      <w:lang w:val="cs-CZ" w:eastAsia="cs-CZ"/>
                    </w:rPr>
                  </w:pPr>
                  <w:r w:rsidRPr="009E6925">
                    <w:rPr>
                      <w:color w:val="FFFFFF"/>
                      <w:szCs w:val="22"/>
                      <w:lang w:val="cs-CZ" w:eastAsia="cs-CZ"/>
                    </w:rPr>
                    <w:t>*O*</w:t>
                  </w:r>
                </w:p>
              </w:tc>
            </w:tr>
          </w:tbl>
          <w:p w14:paraId="32063D74" w14:textId="77777777" w:rsidR="009E6925" w:rsidRPr="009E6925" w:rsidRDefault="009E6925" w:rsidP="009E6925">
            <w:pPr>
              <w:rPr>
                <w:color w:val="000000"/>
                <w:szCs w:val="22"/>
                <w:lang w:val="cs-CZ" w:eastAsia="cs-CZ"/>
              </w:rPr>
            </w:pPr>
            <w:r w:rsidRPr="009E6925">
              <w:rPr>
                <w:color w:val="000000"/>
                <w:szCs w:val="22"/>
                <w:lang w:val="cs-CZ" w:eastAsia="cs-CZ"/>
              </w:rPr>
              <w:br/>
            </w:r>
          </w:p>
        </w:tc>
        <w:tc>
          <w:tcPr>
            <w:tcW w:w="0" w:type="auto"/>
            <w:tcMar>
              <w:top w:w="0" w:type="dxa"/>
              <w:left w:w="0" w:type="dxa"/>
              <w:bottom w:w="0" w:type="dxa"/>
              <w:right w:w="0" w:type="dxa"/>
            </w:tcMar>
            <w:vAlign w:val="center"/>
            <w:hideMark/>
          </w:tcPr>
          <w:p w14:paraId="34706129" w14:textId="77777777" w:rsidR="009E6925" w:rsidRPr="009E6925" w:rsidRDefault="009E6925" w:rsidP="009E6925">
            <w:pPr>
              <w:rPr>
                <w:color w:val="000000"/>
                <w:szCs w:val="22"/>
                <w:lang w:val="cs-CZ" w:eastAsia="cs-CZ"/>
              </w:rPr>
            </w:pPr>
            <w:r w:rsidRPr="009E6925">
              <w:rPr>
                <w:color w:val="000000"/>
                <w:szCs w:val="22"/>
                <w:lang w:val="cs-CZ" w:eastAsia="cs-CZ"/>
              </w:rPr>
              <w:t>  </w:t>
            </w:r>
          </w:p>
        </w:tc>
        <w:tc>
          <w:tcPr>
            <w:tcW w:w="2400" w:type="pct"/>
            <w:tcMar>
              <w:top w:w="0" w:type="dxa"/>
              <w:left w:w="0" w:type="dxa"/>
              <w:bottom w:w="0" w:type="dxa"/>
              <w:right w:w="0" w:type="dxa"/>
            </w:tcMar>
            <w:hideMark/>
          </w:tcPr>
          <w:p w14:paraId="564C2973" w14:textId="77777777" w:rsidR="009E6925" w:rsidRPr="009E6925" w:rsidRDefault="009E6925" w:rsidP="009E6925">
            <w:pPr>
              <w:rPr>
                <w:color w:val="000000"/>
                <w:szCs w:val="22"/>
                <w:lang w:val="cs-CZ" w:eastAsia="cs-CZ"/>
              </w:rPr>
            </w:pPr>
          </w:p>
        </w:tc>
      </w:tr>
    </w:tbl>
    <w:p w14:paraId="3939B579" w14:textId="11D12014" w:rsidR="00D2226E" w:rsidRPr="00C15F46" w:rsidRDefault="00D2226E" w:rsidP="009E6925">
      <w:pPr>
        <w:widowControl w:val="0"/>
        <w:jc w:val="center"/>
        <w:rPr>
          <w:b/>
          <w:szCs w:val="22"/>
          <w:lang w:val="cs-CZ"/>
        </w:rPr>
      </w:pPr>
    </w:p>
    <w:p w14:paraId="75F3ABEF" w14:textId="77777777" w:rsidR="00D2226E" w:rsidRPr="00C15F46" w:rsidRDefault="00D2226E" w:rsidP="00D2226E">
      <w:pPr>
        <w:rPr>
          <w:b/>
          <w:szCs w:val="22"/>
          <w:lang w:val="cs-CZ"/>
        </w:rPr>
      </w:pPr>
    </w:p>
    <w:p w14:paraId="2017ECE2" w14:textId="77777777" w:rsidR="00D2226E" w:rsidRPr="00C15F46" w:rsidRDefault="00D2226E" w:rsidP="00D2226E">
      <w:pPr>
        <w:rPr>
          <w:b/>
          <w:szCs w:val="22"/>
          <w:lang w:val="cs-CZ"/>
        </w:rPr>
      </w:pPr>
    </w:p>
    <w:p w14:paraId="20B21877" w14:textId="77777777" w:rsidR="00D51AEE" w:rsidRDefault="00D51AEE" w:rsidP="009E6925">
      <w:pPr>
        <w:jc w:val="center"/>
        <w:rPr>
          <w:b/>
          <w:szCs w:val="22"/>
          <w:lang w:val="cs-CZ"/>
        </w:rPr>
      </w:pPr>
    </w:p>
    <w:p w14:paraId="6B613E02" w14:textId="77777777" w:rsidR="00D51AEE" w:rsidRDefault="00D51AEE" w:rsidP="009E6925">
      <w:pPr>
        <w:jc w:val="center"/>
        <w:rPr>
          <w:b/>
          <w:szCs w:val="22"/>
          <w:lang w:val="cs-CZ"/>
        </w:rPr>
      </w:pPr>
    </w:p>
    <w:p w14:paraId="0C94B616" w14:textId="77777777" w:rsidR="00D51AEE" w:rsidRDefault="00D51AEE" w:rsidP="009E6925">
      <w:pPr>
        <w:jc w:val="center"/>
        <w:rPr>
          <w:b/>
          <w:szCs w:val="22"/>
          <w:lang w:val="cs-CZ"/>
        </w:rPr>
      </w:pPr>
    </w:p>
    <w:p w14:paraId="50E753B9" w14:textId="2A212F6B" w:rsidR="00D2226E" w:rsidRPr="00C15F46" w:rsidRDefault="00D2226E" w:rsidP="009E6925">
      <w:pPr>
        <w:jc w:val="center"/>
        <w:rPr>
          <w:b/>
          <w:szCs w:val="22"/>
          <w:lang w:val="cs-CZ"/>
        </w:rPr>
      </w:pPr>
      <w:r w:rsidRPr="009E6925">
        <w:rPr>
          <w:b/>
          <w:szCs w:val="22"/>
          <w:lang w:val="cs-CZ"/>
        </w:rPr>
        <w:t>P</w:t>
      </w:r>
      <w:r w:rsidR="00000626">
        <w:rPr>
          <w:b/>
          <w:szCs w:val="22"/>
          <w:lang w:val="cs-CZ"/>
        </w:rPr>
        <w:t>říloha</w:t>
      </w:r>
      <w:r w:rsidRPr="009E6925">
        <w:rPr>
          <w:b/>
          <w:szCs w:val="22"/>
          <w:lang w:val="cs-CZ"/>
        </w:rPr>
        <w:t xml:space="preserve"> </w:t>
      </w:r>
      <w:r w:rsidR="00000626">
        <w:rPr>
          <w:b/>
          <w:szCs w:val="22"/>
          <w:lang w:val="cs-CZ"/>
        </w:rPr>
        <w:t>č. 11</w:t>
      </w:r>
    </w:p>
    <w:p w14:paraId="5583ADD5" w14:textId="77777777" w:rsidR="00D2226E" w:rsidRPr="00C15F46" w:rsidRDefault="00D2226E" w:rsidP="00D2226E">
      <w:pPr>
        <w:rPr>
          <w:szCs w:val="22"/>
          <w:lang w:val="cs-CZ"/>
        </w:rPr>
      </w:pPr>
    </w:p>
    <w:p w14:paraId="37B0A51D" w14:textId="77777777" w:rsidR="00D2226E" w:rsidRPr="00C15F46" w:rsidRDefault="00D2226E" w:rsidP="00D2226E">
      <w:pPr>
        <w:jc w:val="center"/>
        <w:rPr>
          <w:b/>
          <w:snapToGrid w:val="0"/>
          <w:szCs w:val="22"/>
          <w:lang w:val="cs-CZ"/>
        </w:rPr>
      </w:pPr>
      <w:r w:rsidRPr="00C15F46">
        <w:rPr>
          <w:b/>
          <w:snapToGrid w:val="0"/>
          <w:szCs w:val="22"/>
          <w:lang w:val="cs-CZ"/>
        </w:rPr>
        <w:t>Pověření pro sjednávání Transakcí prostřednictvím vybraných služeb elektronického bankovnictví Banky</w:t>
      </w:r>
    </w:p>
    <w:p w14:paraId="0EBB101F" w14:textId="77777777" w:rsidR="00D2226E" w:rsidRPr="00C15F46" w:rsidRDefault="00D2226E" w:rsidP="00D2226E">
      <w:pPr>
        <w:rPr>
          <w:b/>
          <w:szCs w:val="22"/>
          <w:lang w:val="cs-CZ"/>
        </w:rPr>
      </w:pPr>
    </w:p>
    <w:p w14:paraId="39662CC9" w14:textId="77777777" w:rsidR="00D2226E" w:rsidRPr="00C15F46" w:rsidRDefault="00D2226E" w:rsidP="00D2226E">
      <w:pPr>
        <w:rPr>
          <w:b/>
          <w:szCs w:val="22"/>
          <w:lang w:val="cs-CZ"/>
        </w:rPr>
      </w:pPr>
    </w:p>
    <w:p w14:paraId="1FD0E55A" w14:textId="401A1813" w:rsidR="00D2226E" w:rsidRPr="00C15F46" w:rsidRDefault="00D2226E" w:rsidP="00D51AEE">
      <w:pPr>
        <w:jc w:val="center"/>
        <w:rPr>
          <w:b/>
          <w:szCs w:val="22"/>
          <w:lang w:val="cs-CZ"/>
        </w:rPr>
      </w:pPr>
      <w:r w:rsidRPr="00C15F46">
        <w:rPr>
          <w:b/>
          <w:szCs w:val="22"/>
          <w:lang w:val="cs-CZ"/>
        </w:rPr>
        <w:t>Pověření</w:t>
      </w:r>
    </w:p>
    <w:p w14:paraId="2BFB685E" w14:textId="77777777" w:rsidR="00D2226E" w:rsidRPr="00C15F46" w:rsidRDefault="00D2226E" w:rsidP="00D2226E">
      <w:pPr>
        <w:rPr>
          <w:szCs w:val="22"/>
          <w:lang w:val="cs-CZ"/>
        </w:rPr>
      </w:pPr>
    </w:p>
    <w:p w14:paraId="69DC3421" w14:textId="73EF519C" w:rsidR="009E6925" w:rsidRPr="009E6925" w:rsidRDefault="009E6925" w:rsidP="009E6925">
      <w:pPr>
        <w:rPr>
          <w:color w:val="000000"/>
          <w:szCs w:val="22"/>
          <w:lang w:val="cs-CZ" w:eastAsia="cs-CZ"/>
        </w:rPr>
      </w:pPr>
      <w:r w:rsidRPr="009E6925">
        <w:rPr>
          <w:b/>
          <w:bCs/>
          <w:color w:val="000000"/>
          <w:szCs w:val="22"/>
          <w:lang w:val="cs-CZ" w:eastAsia="cs-CZ"/>
        </w:rPr>
        <w:t>ČSAD Liberec, a.s.</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9E6925" w:rsidRPr="009E6925" w14:paraId="4557AB2A"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3FC8B5E6"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11F6FF37" w14:textId="77777777" w:rsidR="009E6925" w:rsidRPr="009E6925" w:rsidRDefault="009E6925" w:rsidP="009E6925">
            <w:pPr>
              <w:rPr>
                <w:color w:val="000000"/>
                <w:szCs w:val="22"/>
                <w:lang w:val="cs-CZ" w:eastAsia="cs-CZ"/>
              </w:rPr>
            </w:pPr>
            <w:r w:rsidRPr="009E6925">
              <w:rPr>
                <w:color w:val="000000"/>
                <w:szCs w:val="22"/>
                <w:lang w:val="cs-CZ" w:eastAsia="cs-CZ"/>
              </w:rPr>
              <w:t>se sídlem:</w:t>
            </w:r>
          </w:p>
        </w:tc>
        <w:tc>
          <w:tcPr>
            <w:tcW w:w="3700" w:type="pct"/>
            <w:shd w:val="clear" w:color="auto" w:fill="auto"/>
            <w:tcMar>
              <w:top w:w="15" w:type="dxa"/>
              <w:left w:w="15" w:type="dxa"/>
              <w:bottom w:w="15" w:type="dxa"/>
              <w:right w:w="15" w:type="dxa"/>
            </w:tcMar>
            <w:vAlign w:val="center"/>
            <w:hideMark/>
          </w:tcPr>
          <w:p w14:paraId="4BA99F78" w14:textId="77777777" w:rsidR="009E6925" w:rsidRPr="009E6925" w:rsidRDefault="009E6925" w:rsidP="009E6925">
            <w:pPr>
              <w:rPr>
                <w:color w:val="000000"/>
                <w:szCs w:val="22"/>
                <w:lang w:val="cs-CZ" w:eastAsia="cs-CZ"/>
              </w:rPr>
            </w:pPr>
            <w:r w:rsidRPr="009E6925">
              <w:rPr>
                <w:color w:val="000000"/>
                <w:szCs w:val="22"/>
                <w:lang w:val="cs-CZ" w:eastAsia="cs-CZ"/>
              </w:rPr>
              <w:t>České mládeže 594/33, Liberec VI-Rochlice, 460 06 Liberec</w:t>
            </w:r>
          </w:p>
        </w:tc>
      </w:tr>
      <w:tr w:rsidR="009E6925" w:rsidRPr="009E6925" w14:paraId="219EBC92"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4F4E4BAA"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09B997B2" w14:textId="77777777" w:rsidR="009E6925" w:rsidRPr="009E6925" w:rsidRDefault="009E6925" w:rsidP="009E6925">
            <w:pPr>
              <w:rPr>
                <w:color w:val="000000"/>
                <w:szCs w:val="22"/>
                <w:lang w:val="cs-CZ" w:eastAsia="cs-CZ"/>
              </w:rPr>
            </w:pPr>
            <w:r w:rsidRPr="009E6925">
              <w:rPr>
                <w:color w:val="000000"/>
                <w:szCs w:val="22"/>
                <w:lang w:val="cs-CZ" w:eastAsia="cs-CZ"/>
              </w:rPr>
              <w:t>IČO:</w:t>
            </w:r>
          </w:p>
        </w:tc>
        <w:tc>
          <w:tcPr>
            <w:tcW w:w="3700" w:type="pct"/>
            <w:shd w:val="clear" w:color="auto" w:fill="auto"/>
            <w:tcMar>
              <w:top w:w="15" w:type="dxa"/>
              <w:left w:w="15" w:type="dxa"/>
              <w:bottom w:w="15" w:type="dxa"/>
              <w:right w:w="15" w:type="dxa"/>
            </w:tcMar>
            <w:vAlign w:val="center"/>
            <w:hideMark/>
          </w:tcPr>
          <w:p w14:paraId="2FFD4076" w14:textId="77777777" w:rsidR="009E6925" w:rsidRPr="009E6925" w:rsidRDefault="009E6925" w:rsidP="009E6925">
            <w:pPr>
              <w:rPr>
                <w:color w:val="000000"/>
                <w:szCs w:val="22"/>
                <w:lang w:val="cs-CZ" w:eastAsia="cs-CZ"/>
              </w:rPr>
            </w:pPr>
            <w:r w:rsidRPr="009E6925">
              <w:rPr>
                <w:color w:val="000000"/>
                <w:szCs w:val="22"/>
                <w:lang w:val="cs-CZ" w:eastAsia="cs-CZ"/>
              </w:rPr>
              <w:t>25045504</w:t>
            </w:r>
          </w:p>
        </w:tc>
      </w:tr>
      <w:tr w:rsidR="009E6925" w:rsidRPr="009E6925" w14:paraId="5DF8CE49"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61B4EE60" w14:textId="77777777" w:rsidR="009E6925" w:rsidRPr="009E6925" w:rsidRDefault="009E6925" w:rsidP="009E6925">
            <w:pPr>
              <w:rPr>
                <w:color w:val="000000"/>
                <w:szCs w:val="22"/>
                <w:lang w:val="cs-CZ" w:eastAsia="cs-CZ"/>
              </w:rPr>
            </w:pPr>
          </w:p>
        </w:tc>
        <w:tc>
          <w:tcPr>
            <w:tcW w:w="1250" w:type="pct"/>
            <w:gridSpan w:val="2"/>
            <w:shd w:val="clear" w:color="auto" w:fill="auto"/>
            <w:tcMar>
              <w:top w:w="15" w:type="dxa"/>
              <w:left w:w="15" w:type="dxa"/>
              <w:bottom w:w="15" w:type="dxa"/>
              <w:right w:w="15" w:type="dxa"/>
            </w:tcMar>
            <w:vAlign w:val="center"/>
            <w:hideMark/>
          </w:tcPr>
          <w:p w14:paraId="7529C1B2" w14:textId="77777777" w:rsidR="009E6925" w:rsidRPr="009E6925" w:rsidRDefault="009E6925" w:rsidP="009E6925">
            <w:pPr>
              <w:rPr>
                <w:color w:val="000000"/>
                <w:szCs w:val="22"/>
                <w:lang w:val="cs-CZ" w:eastAsia="cs-CZ"/>
              </w:rPr>
            </w:pPr>
            <w:r w:rsidRPr="009E6925">
              <w:rPr>
                <w:color w:val="000000"/>
                <w:szCs w:val="22"/>
                <w:lang w:val="cs-CZ" w:eastAsia="cs-CZ"/>
              </w:rPr>
              <w:t>zapsaná v obchodním rejstříku vedeném Krajským soudem v Ústí nad Labem, spisová značka B 1126</w:t>
            </w:r>
          </w:p>
        </w:tc>
      </w:tr>
    </w:tbl>
    <w:p w14:paraId="2D0EB3D7" w14:textId="77777777" w:rsidR="009E6925" w:rsidRPr="009E6925" w:rsidRDefault="009E6925" w:rsidP="009E6925">
      <w:pPr>
        <w:rPr>
          <w:color w:val="000000"/>
          <w:szCs w:val="22"/>
          <w:lang w:val="cs-CZ" w:eastAsia="cs-CZ"/>
        </w:rPr>
      </w:pPr>
      <w:r w:rsidRPr="009E6925">
        <w:rPr>
          <w:color w:val="000000"/>
          <w:szCs w:val="22"/>
          <w:lang w:val="cs-CZ" w:eastAsia="cs-CZ"/>
        </w:rPr>
        <w:t>(„</w:t>
      </w:r>
      <w:r w:rsidRPr="009E6925">
        <w:rPr>
          <w:b/>
          <w:bCs/>
          <w:color w:val="000000"/>
          <w:szCs w:val="22"/>
          <w:lang w:val="cs-CZ" w:eastAsia="cs-CZ"/>
        </w:rPr>
        <w:t>Klient</w:t>
      </w:r>
      <w:r w:rsidRPr="009E6925">
        <w:rPr>
          <w:color w:val="000000"/>
          <w:szCs w:val="22"/>
          <w:lang w:val="cs-CZ" w:eastAsia="cs-CZ"/>
        </w:rPr>
        <w:t>“)</w:t>
      </w:r>
    </w:p>
    <w:tbl>
      <w:tblPr>
        <w:tblW w:w="9107" w:type="dxa"/>
        <w:tblCellSpacing w:w="-85" w:type="dxa"/>
        <w:tblInd w:w="-35" w:type="dxa"/>
        <w:tblCellMar>
          <w:top w:w="15" w:type="dxa"/>
          <w:left w:w="15" w:type="dxa"/>
          <w:bottom w:w="15" w:type="dxa"/>
          <w:right w:w="15" w:type="dxa"/>
        </w:tblCellMar>
        <w:tblLook w:val="05E0" w:firstRow="1" w:lastRow="1" w:firstColumn="1" w:lastColumn="1" w:noHBand="0" w:noVBand="1"/>
      </w:tblPr>
      <w:tblGrid>
        <w:gridCol w:w="38"/>
        <w:gridCol w:w="2277"/>
        <w:gridCol w:w="6792"/>
      </w:tblGrid>
      <w:tr w:rsidR="009E6925" w:rsidRPr="009E6925" w14:paraId="60A4F9BF"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28161979"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72DBECAE" w14:textId="77777777" w:rsidR="009E6925" w:rsidRPr="009E6925" w:rsidRDefault="009E6925" w:rsidP="009E6925">
            <w:pPr>
              <w:rPr>
                <w:color w:val="000000"/>
                <w:szCs w:val="22"/>
                <w:lang w:val="cs-CZ" w:eastAsia="cs-CZ"/>
              </w:rPr>
            </w:pPr>
            <w:r w:rsidRPr="009E6925">
              <w:rPr>
                <w:color w:val="000000"/>
                <w:szCs w:val="22"/>
                <w:lang w:val="cs-CZ" w:eastAsia="cs-CZ"/>
              </w:rPr>
              <w:t>za Klienta:</w:t>
            </w:r>
          </w:p>
        </w:tc>
        <w:tc>
          <w:tcPr>
            <w:tcW w:w="3700" w:type="pct"/>
            <w:shd w:val="clear" w:color="auto" w:fill="auto"/>
            <w:tcMar>
              <w:top w:w="15" w:type="dxa"/>
              <w:left w:w="15" w:type="dxa"/>
              <w:bottom w:w="15" w:type="dxa"/>
              <w:right w:w="15" w:type="dxa"/>
            </w:tcMar>
            <w:vAlign w:val="center"/>
            <w:hideMark/>
          </w:tcPr>
          <w:p w14:paraId="7A13B21D" w14:textId="6CDFE834" w:rsidR="009E6925" w:rsidRPr="009E6925" w:rsidRDefault="0001761A" w:rsidP="009E6925">
            <w:pPr>
              <w:rPr>
                <w:color w:val="000000"/>
                <w:szCs w:val="22"/>
                <w:lang w:val="cs-CZ" w:eastAsia="cs-CZ"/>
              </w:rPr>
            </w:pPr>
            <w:r>
              <w:rPr>
                <w:color w:val="000000"/>
                <w:szCs w:val="22"/>
                <w:lang w:val="cs-CZ" w:eastAsia="cs-CZ"/>
              </w:rPr>
              <w:t>xxxxxxxxxxxxxxxxxxxxxxxxxxxxx</w:t>
            </w:r>
          </w:p>
        </w:tc>
      </w:tr>
      <w:tr w:rsidR="009E6925" w:rsidRPr="009E6925" w14:paraId="412CF1EC" w14:textId="77777777" w:rsidTr="009E6B93">
        <w:trPr>
          <w:cantSplit/>
          <w:tblCellSpacing w:w="-85" w:type="dxa"/>
        </w:trPr>
        <w:tc>
          <w:tcPr>
            <w:tcW w:w="150" w:type="pct"/>
            <w:shd w:val="clear" w:color="auto" w:fill="auto"/>
            <w:tcMar>
              <w:top w:w="15" w:type="dxa"/>
              <w:left w:w="15" w:type="dxa"/>
              <w:bottom w:w="15" w:type="dxa"/>
              <w:right w:w="15" w:type="dxa"/>
            </w:tcMar>
            <w:vAlign w:val="center"/>
            <w:hideMark/>
          </w:tcPr>
          <w:p w14:paraId="340DEDED" w14:textId="77777777" w:rsidR="009E6925" w:rsidRPr="009E6925" w:rsidRDefault="009E6925" w:rsidP="009E6925">
            <w:pPr>
              <w:rPr>
                <w:color w:val="000000"/>
                <w:szCs w:val="22"/>
                <w:lang w:val="cs-CZ" w:eastAsia="cs-CZ"/>
              </w:rPr>
            </w:pPr>
          </w:p>
        </w:tc>
        <w:tc>
          <w:tcPr>
            <w:tcW w:w="1250" w:type="pct"/>
            <w:shd w:val="clear" w:color="auto" w:fill="auto"/>
            <w:tcMar>
              <w:top w:w="15" w:type="dxa"/>
              <w:left w:w="15" w:type="dxa"/>
              <w:bottom w:w="15" w:type="dxa"/>
              <w:right w:w="15" w:type="dxa"/>
            </w:tcMar>
            <w:hideMark/>
          </w:tcPr>
          <w:p w14:paraId="156D7943" w14:textId="77777777" w:rsidR="009E6925" w:rsidRPr="009E6925" w:rsidRDefault="009E6925" w:rsidP="009E6925">
            <w:pPr>
              <w:rPr>
                <w:color w:val="000000"/>
                <w:szCs w:val="22"/>
                <w:lang w:val="cs-CZ" w:eastAsia="cs-CZ"/>
              </w:rPr>
            </w:pPr>
          </w:p>
        </w:tc>
        <w:tc>
          <w:tcPr>
            <w:tcW w:w="3700" w:type="pct"/>
            <w:shd w:val="clear" w:color="auto" w:fill="auto"/>
            <w:tcMar>
              <w:top w:w="15" w:type="dxa"/>
              <w:left w:w="15" w:type="dxa"/>
              <w:bottom w:w="15" w:type="dxa"/>
              <w:right w:w="15" w:type="dxa"/>
            </w:tcMar>
            <w:vAlign w:val="center"/>
            <w:hideMark/>
          </w:tcPr>
          <w:p w14:paraId="23D1C2DA" w14:textId="732022A4" w:rsidR="009E6925" w:rsidRPr="009E6925" w:rsidRDefault="0001761A" w:rsidP="009E6925">
            <w:pPr>
              <w:rPr>
                <w:color w:val="000000"/>
                <w:szCs w:val="22"/>
                <w:lang w:val="cs-CZ" w:eastAsia="cs-CZ"/>
              </w:rPr>
            </w:pPr>
            <w:r>
              <w:rPr>
                <w:color w:val="000000"/>
                <w:szCs w:val="22"/>
                <w:lang w:val="cs-CZ" w:eastAsia="cs-CZ"/>
              </w:rPr>
              <w:t>xxxxxxxxxxxxxxxxxxxxxxxxxxxxx</w:t>
            </w:r>
          </w:p>
        </w:tc>
      </w:tr>
    </w:tbl>
    <w:p w14:paraId="3EB2FC86" w14:textId="5F8E1C30" w:rsidR="00D2226E" w:rsidRPr="00C15F46" w:rsidRDefault="00D2226E" w:rsidP="009E6925">
      <w:pPr>
        <w:widowControl w:val="0"/>
        <w:rPr>
          <w:szCs w:val="22"/>
          <w:lang w:val="cs-CZ"/>
        </w:rPr>
      </w:pPr>
    </w:p>
    <w:p w14:paraId="738E7DE3" w14:textId="77777777" w:rsidR="00D2226E" w:rsidRPr="00C15F46" w:rsidRDefault="00D2226E" w:rsidP="00D2226E">
      <w:pPr>
        <w:jc w:val="center"/>
        <w:rPr>
          <w:b/>
          <w:szCs w:val="22"/>
          <w:lang w:val="cs-CZ"/>
        </w:rPr>
      </w:pPr>
      <w:r w:rsidRPr="00C15F46">
        <w:rPr>
          <w:b/>
          <w:szCs w:val="22"/>
          <w:lang w:val="cs-CZ"/>
        </w:rPr>
        <w:t>pověřuje</w:t>
      </w:r>
    </w:p>
    <w:p w14:paraId="3C806C2B" w14:textId="205C8FDD" w:rsidR="00D2226E" w:rsidRPr="00C15F46" w:rsidRDefault="00D2226E" w:rsidP="00D2226E">
      <w:pPr>
        <w:jc w:val="both"/>
        <w:rPr>
          <w:szCs w:val="22"/>
          <w:lang w:val="cs-CZ"/>
        </w:rPr>
      </w:pPr>
      <w:r w:rsidRPr="00C15F46">
        <w:rPr>
          <w:szCs w:val="22"/>
          <w:lang w:val="cs-CZ"/>
        </w:rPr>
        <w:t xml:space="preserve">následující osoby k tomu, aby za Klienta jednaly o uzavření, uzavíraly a konfirmovaly prostřednictvím </w:t>
      </w:r>
      <w:r w:rsidRPr="00C15F46">
        <w:rPr>
          <w:b/>
          <w:szCs w:val="22"/>
          <w:lang w:val="cs-CZ"/>
        </w:rPr>
        <w:t xml:space="preserve">vybraných služeb elektronického bankovnictví Banky </w:t>
      </w:r>
      <w:r w:rsidRPr="00C15F46">
        <w:rPr>
          <w:szCs w:val="22"/>
          <w:lang w:val="cs-CZ"/>
        </w:rPr>
        <w:t xml:space="preserve">Transakce dle </w:t>
      </w:r>
      <w:r w:rsidRPr="00C15F46">
        <w:rPr>
          <w:bCs/>
          <w:szCs w:val="22"/>
          <w:lang w:val="cs-CZ"/>
        </w:rPr>
        <w:t xml:space="preserve">Rámcové smlouvy </w:t>
      </w:r>
      <w:r w:rsidRPr="00C15F46">
        <w:rPr>
          <w:szCs w:val="22"/>
          <w:lang w:val="cs-CZ"/>
        </w:rPr>
        <w:t>č.</w:t>
      </w:r>
      <w:r w:rsidRPr="00C15F46">
        <w:rPr>
          <w:bCs/>
          <w:szCs w:val="22"/>
          <w:lang w:val="cs-CZ"/>
        </w:rPr>
        <w:t> </w:t>
      </w:r>
      <w:r w:rsidR="009E6925">
        <w:rPr>
          <w:bCs/>
          <w:szCs w:val="22"/>
          <w:lang w:val="cs-CZ"/>
        </w:rPr>
        <w:t>2020005181</w:t>
      </w:r>
      <w:r w:rsidRPr="00C15F46">
        <w:rPr>
          <w:b/>
          <w:sz w:val="26"/>
          <w:szCs w:val="26"/>
          <w:lang w:val="cs-CZ"/>
        </w:rPr>
        <w:t xml:space="preserve"> </w:t>
      </w:r>
      <w:r w:rsidRPr="00C15F46">
        <w:rPr>
          <w:szCs w:val="22"/>
          <w:lang w:val="cs-CZ"/>
        </w:rPr>
        <w:t xml:space="preserve">uzavřené dne </w:t>
      </w:r>
      <w:r w:rsidR="009E6925">
        <w:rPr>
          <w:szCs w:val="22"/>
          <w:lang w:val="cs-CZ"/>
        </w:rPr>
        <w:t>22.5.2020</w:t>
      </w:r>
      <w:r w:rsidRPr="00C15F46">
        <w:rPr>
          <w:szCs w:val="22"/>
          <w:lang w:val="cs-CZ"/>
        </w:rPr>
        <w:t xml:space="preserve"> mezi Klientem a obchodní společností Československá obchodní banka, a. s. se sídlem: Radlická 333/150, 150 57 Praha 5, IČO: 00001350, zapsanou v obchodním rejstříku vedeném Městským soudem v Praze, oddíl B: XXXVI, vložka 46:</w:t>
      </w:r>
    </w:p>
    <w:p w14:paraId="25C28D75" w14:textId="77777777" w:rsidR="00D2226E" w:rsidRPr="00C15F46" w:rsidRDefault="00D2226E" w:rsidP="00D2226E">
      <w:pPr>
        <w:rPr>
          <w:szCs w:val="22"/>
          <w:lang w:val="cs-CZ"/>
        </w:rPr>
      </w:pPr>
    </w:p>
    <w:p w14:paraId="6E9E1DC6" w14:textId="4E7CFC53" w:rsidR="00D2226E" w:rsidRPr="00C15F46" w:rsidRDefault="00D2226E" w:rsidP="00D2226E">
      <w:pPr>
        <w:rPr>
          <w:szCs w:val="22"/>
          <w:lang w:val="cs-CZ"/>
        </w:rPr>
      </w:pPr>
    </w:p>
    <w:tbl>
      <w:tblPr>
        <w:tblW w:w="8802"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
        <w:gridCol w:w="2167"/>
        <w:gridCol w:w="2167"/>
        <w:gridCol w:w="1077"/>
        <w:gridCol w:w="1474"/>
        <w:gridCol w:w="1701"/>
      </w:tblGrid>
      <w:tr w:rsidR="00D2226E" w:rsidRPr="00C15F46" w14:paraId="03CA6F54" w14:textId="77777777" w:rsidTr="009E6925">
        <w:trPr>
          <w:trHeight w:val="400"/>
        </w:trPr>
        <w:tc>
          <w:tcPr>
            <w:tcW w:w="216" w:type="dxa"/>
            <w:tcBorders>
              <w:top w:val="single" w:sz="12" w:space="0" w:color="auto"/>
              <w:left w:val="single" w:sz="12" w:space="0" w:color="auto"/>
              <w:bottom w:val="single" w:sz="12" w:space="0" w:color="auto"/>
              <w:right w:val="single" w:sz="4" w:space="0" w:color="auto"/>
            </w:tcBorders>
          </w:tcPr>
          <w:p w14:paraId="42E92120" w14:textId="77777777" w:rsidR="00D2226E" w:rsidRPr="00C15F46" w:rsidRDefault="00D2226E" w:rsidP="0077561E">
            <w:pPr>
              <w:widowControl w:val="0"/>
              <w:jc w:val="center"/>
              <w:outlineLvl w:val="0"/>
              <w:rPr>
                <w:b/>
                <w:szCs w:val="22"/>
                <w:lang w:val="cs-CZ"/>
              </w:rPr>
            </w:pPr>
          </w:p>
        </w:tc>
        <w:tc>
          <w:tcPr>
            <w:tcW w:w="2167" w:type="dxa"/>
            <w:tcBorders>
              <w:top w:val="single" w:sz="12" w:space="0" w:color="auto"/>
              <w:left w:val="single" w:sz="4" w:space="0" w:color="auto"/>
              <w:bottom w:val="single" w:sz="12" w:space="0" w:color="auto"/>
              <w:right w:val="single" w:sz="4" w:space="0" w:color="auto"/>
            </w:tcBorders>
            <w:vAlign w:val="center"/>
          </w:tcPr>
          <w:p w14:paraId="04A8AD8F" w14:textId="77777777" w:rsidR="00D2226E" w:rsidRPr="00C15F46" w:rsidRDefault="00D2226E" w:rsidP="0077561E">
            <w:pPr>
              <w:widowControl w:val="0"/>
              <w:jc w:val="center"/>
              <w:outlineLvl w:val="0"/>
              <w:rPr>
                <w:b/>
                <w:szCs w:val="22"/>
                <w:lang w:val="cs-CZ"/>
              </w:rPr>
            </w:pPr>
            <w:r w:rsidRPr="00C15F46">
              <w:rPr>
                <w:b/>
                <w:szCs w:val="22"/>
                <w:lang w:val="cs-CZ"/>
              </w:rPr>
              <w:t>Jméno a příjmení/všechna jména a příjmení</w:t>
            </w:r>
          </w:p>
        </w:tc>
        <w:tc>
          <w:tcPr>
            <w:tcW w:w="2167" w:type="dxa"/>
            <w:tcBorders>
              <w:top w:val="single" w:sz="12" w:space="0" w:color="auto"/>
              <w:left w:val="single" w:sz="4" w:space="0" w:color="auto"/>
              <w:bottom w:val="single" w:sz="12" w:space="0" w:color="auto"/>
              <w:right w:val="single" w:sz="4" w:space="0" w:color="auto"/>
            </w:tcBorders>
            <w:vAlign w:val="center"/>
          </w:tcPr>
          <w:p w14:paraId="5616EDC3" w14:textId="77777777" w:rsidR="00D2226E" w:rsidRPr="00C15F46" w:rsidRDefault="00D2226E" w:rsidP="0077561E">
            <w:pPr>
              <w:widowControl w:val="0"/>
              <w:jc w:val="center"/>
              <w:outlineLvl w:val="0"/>
              <w:rPr>
                <w:b/>
                <w:bCs/>
                <w:szCs w:val="22"/>
                <w:lang w:val="cs-CZ"/>
              </w:rPr>
            </w:pPr>
            <w:r w:rsidRPr="00C15F46">
              <w:rPr>
                <w:b/>
                <w:szCs w:val="22"/>
                <w:lang w:val="cs-CZ"/>
              </w:rPr>
              <w:t>Trvalý pobyt/</w:t>
            </w:r>
            <w:r w:rsidRPr="00C15F46">
              <w:rPr>
                <w:b/>
                <w:szCs w:val="22"/>
                <w:lang w:val="cs-CZ"/>
              </w:rPr>
              <w:br/>
              <w:t>jiný pobyt</w:t>
            </w:r>
          </w:p>
        </w:tc>
        <w:tc>
          <w:tcPr>
            <w:tcW w:w="1077" w:type="dxa"/>
            <w:tcBorders>
              <w:top w:val="single" w:sz="12" w:space="0" w:color="auto"/>
              <w:left w:val="single" w:sz="4" w:space="0" w:color="auto"/>
              <w:bottom w:val="single" w:sz="12" w:space="0" w:color="auto"/>
              <w:right w:val="single" w:sz="4" w:space="0" w:color="auto"/>
            </w:tcBorders>
            <w:vAlign w:val="center"/>
          </w:tcPr>
          <w:p w14:paraId="48AC2F20" w14:textId="77777777" w:rsidR="00D2226E" w:rsidRPr="00C15F46" w:rsidRDefault="00D2226E" w:rsidP="0077561E">
            <w:pPr>
              <w:widowControl w:val="0"/>
              <w:jc w:val="center"/>
              <w:outlineLvl w:val="0"/>
              <w:rPr>
                <w:b/>
                <w:szCs w:val="22"/>
                <w:lang w:val="cs-CZ"/>
              </w:rPr>
            </w:pPr>
            <w:r w:rsidRPr="00C15F46">
              <w:rPr>
                <w:b/>
                <w:bCs/>
                <w:szCs w:val="22"/>
                <w:lang w:val="cs-CZ"/>
              </w:rPr>
              <w:t>Rodné číslo nebo datum narození</w:t>
            </w:r>
          </w:p>
        </w:tc>
        <w:tc>
          <w:tcPr>
            <w:tcW w:w="1474" w:type="dxa"/>
            <w:tcBorders>
              <w:top w:val="single" w:sz="12" w:space="0" w:color="auto"/>
              <w:left w:val="single" w:sz="4" w:space="0" w:color="auto"/>
              <w:bottom w:val="single" w:sz="12" w:space="0" w:color="auto"/>
              <w:right w:val="single" w:sz="4" w:space="0" w:color="auto"/>
            </w:tcBorders>
            <w:vAlign w:val="center"/>
          </w:tcPr>
          <w:p w14:paraId="1098BDF0" w14:textId="77777777" w:rsidR="00D2226E" w:rsidRPr="00C15F46" w:rsidRDefault="00D2226E" w:rsidP="0077561E">
            <w:pPr>
              <w:widowControl w:val="0"/>
              <w:jc w:val="center"/>
              <w:outlineLvl w:val="0"/>
              <w:rPr>
                <w:b/>
                <w:szCs w:val="22"/>
                <w:lang w:val="cs-CZ"/>
              </w:rPr>
            </w:pPr>
            <w:r w:rsidRPr="00C15F46">
              <w:rPr>
                <w:b/>
                <w:bCs/>
                <w:szCs w:val="22"/>
                <w:lang w:val="cs-CZ"/>
              </w:rPr>
              <w:t>Rozsah oprávnění</w:t>
            </w:r>
          </w:p>
        </w:tc>
        <w:tc>
          <w:tcPr>
            <w:tcW w:w="1701" w:type="dxa"/>
            <w:tcBorders>
              <w:top w:val="single" w:sz="12" w:space="0" w:color="auto"/>
              <w:left w:val="single" w:sz="4" w:space="0" w:color="auto"/>
              <w:bottom w:val="single" w:sz="12" w:space="0" w:color="auto"/>
              <w:right w:val="single" w:sz="12" w:space="0" w:color="auto"/>
            </w:tcBorders>
            <w:vAlign w:val="center"/>
          </w:tcPr>
          <w:p w14:paraId="4EBB5576" w14:textId="77777777" w:rsidR="00D2226E" w:rsidRPr="00C15F46" w:rsidRDefault="00D2226E" w:rsidP="0077561E">
            <w:pPr>
              <w:widowControl w:val="0"/>
              <w:jc w:val="center"/>
              <w:outlineLvl w:val="0"/>
              <w:rPr>
                <w:b/>
                <w:szCs w:val="22"/>
                <w:lang w:val="cs-CZ"/>
              </w:rPr>
            </w:pPr>
            <w:r w:rsidRPr="00C15F46">
              <w:rPr>
                <w:b/>
                <w:szCs w:val="22"/>
                <w:lang w:val="cs-CZ"/>
              </w:rPr>
              <w:t>Mobilní telefon/e-mail</w:t>
            </w:r>
          </w:p>
        </w:tc>
      </w:tr>
      <w:tr w:rsidR="00D2226E" w:rsidRPr="00C15F46" w14:paraId="788DADB0" w14:textId="77777777" w:rsidTr="009E6925">
        <w:trPr>
          <w:trHeight w:val="851"/>
        </w:trPr>
        <w:tc>
          <w:tcPr>
            <w:tcW w:w="216" w:type="dxa"/>
            <w:tcBorders>
              <w:top w:val="nil"/>
              <w:left w:val="single" w:sz="12" w:space="0" w:color="auto"/>
              <w:bottom w:val="single" w:sz="4" w:space="0" w:color="auto"/>
              <w:right w:val="single" w:sz="4" w:space="0" w:color="auto"/>
            </w:tcBorders>
            <w:vAlign w:val="center"/>
          </w:tcPr>
          <w:p w14:paraId="081DACBB" w14:textId="77777777" w:rsidR="00D2226E" w:rsidRPr="00C15F46" w:rsidRDefault="00D2226E" w:rsidP="0077561E">
            <w:pPr>
              <w:widowControl w:val="0"/>
              <w:jc w:val="center"/>
              <w:outlineLvl w:val="0"/>
              <w:rPr>
                <w:b/>
                <w:szCs w:val="22"/>
                <w:lang w:val="cs-CZ"/>
              </w:rPr>
            </w:pPr>
            <w:r w:rsidRPr="00C15F46">
              <w:rPr>
                <w:b/>
                <w:szCs w:val="22"/>
                <w:lang w:val="cs-CZ"/>
              </w:rPr>
              <w:t>1</w:t>
            </w:r>
          </w:p>
        </w:tc>
        <w:tc>
          <w:tcPr>
            <w:tcW w:w="2167" w:type="dxa"/>
            <w:tcBorders>
              <w:top w:val="nil"/>
              <w:left w:val="single" w:sz="4" w:space="0" w:color="auto"/>
              <w:bottom w:val="single" w:sz="4" w:space="0" w:color="auto"/>
              <w:right w:val="single" w:sz="4" w:space="0" w:color="auto"/>
            </w:tcBorders>
            <w:vAlign w:val="center"/>
          </w:tcPr>
          <w:p w14:paraId="757832C9" w14:textId="3C317A0C" w:rsidR="00D2226E" w:rsidRPr="00C15F46" w:rsidRDefault="0001761A" w:rsidP="0077561E">
            <w:pPr>
              <w:widowControl w:val="0"/>
              <w:outlineLvl w:val="0"/>
              <w:rPr>
                <w:szCs w:val="22"/>
                <w:lang w:val="cs-CZ"/>
              </w:rPr>
            </w:pPr>
            <w:r>
              <w:rPr>
                <w:sz w:val="16"/>
                <w:szCs w:val="16"/>
                <w:lang w:val="cs-CZ" w:eastAsia="cs-CZ"/>
              </w:rPr>
              <w:t>xxxxxxxxxxxxxxxxxxxxxx</w:t>
            </w:r>
          </w:p>
        </w:tc>
        <w:tc>
          <w:tcPr>
            <w:tcW w:w="2167" w:type="dxa"/>
            <w:tcBorders>
              <w:top w:val="nil"/>
              <w:left w:val="single" w:sz="4" w:space="0" w:color="auto"/>
              <w:bottom w:val="single" w:sz="4" w:space="0" w:color="auto"/>
              <w:right w:val="single" w:sz="4" w:space="0" w:color="auto"/>
            </w:tcBorders>
            <w:vAlign w:val="center"/>
          </w:tcPr>
          <w:p w14:paraId="1F413358" w14:textId="79C20F49" w:rsidR="00D2226E" w:rsidRPr="00C15F46" w:rsidRDefault="0001761A" w:rsidP="0077561E">
            <w:pPr>
              <w:widowControl w:val="0"/>
              <w:outlineLvl w:val="0"/>
              <w:rPr>
                <w:szCs w:val="22"/>
                <w:lang w:val="cs-CZ"/>
              </w:rPr>
            </w:pPr>
            <w:r>
              <w:rPr>
                <w:sz w:val="16"/>
                <w:szCs w:val="16"/>
                <w:lang w:val="cs-CZ" w:eastAsia="cs-CZ"/>
              </w:rPr>
              <w:t>xxxxxxxxxxxxxxxxxxxxxxxxx</w:t>
            </w:r>
          </w:p>
        </w:tc>
        <w:tc>
          <w:tcPr>
            <w:tcW w:w="1077" w:type="dxa"/>
            <w:tcBorders>
              <w:top w:val="nil"/>
              <w:left w:val="single" w:sz="4" w:space="0" w:color="auto"/>
              <w:bottom w:val="single" w:sz="4" w:space="0" w:color="auto"/>
              <w:right w:val="single" w:sz="4" w:space="0" w:color="auto"/>
            </w:tcBorders>
            <w:vAlign w:val="center"/>
          </w:tcPr>
          <w:p w14:paraId="235B8738" w14:textId="10564BB7" w:rsidR="00D2226E" w:rsidRPr="00C15F46" w:rsidRDefault="0001761A" w:rsidP="0077561E">
            <w:pPr>
              <w:widowControl w:val="0"/>
              <w:outlineLvl w:val="0"/>
              <w:rPr>
                <w:szCs w:val="22"/>
                <w:lang w:val="cs-CZ"/>
              </w:rPr>
            </w:pPr>
            <w:r>
              <w:rPr>
                <w:sz w:val="16"/>
                <w:szCs w:val="16"/>
                <w:lang w:val="cs-CZ" w:eastAsia="cs-CZ"/>
              </w:rPr>
              <w:t>xxxxxxxxxxx</w:t>
            </w:r>
          </w:p>
        </w:tc>
        <w:tc>
          <w:tcPr>
            <w:tcW w:w="1474" w:type="dxa"/>
            <w:tcBorders>
              <w:top w:val="nil"/>
              <w:left w:val="single" w:sz="4" w:space="0" w:color="auto"/>
              <w:bottom w:val="single" w:sz="4" w:space="0" w:color="auto"/>
              <w:right w:val="single" w:sz="4" w:space="0" w:color="auto"/>
            </w:tcBorders>
            <w:vAlign w:val="center"/>
          </w:tcPr>
          <w:p w14:paraId="095F376E" w14:textId="77777777" w:rsidR="00D2226E" w:rsidRPr="00C15F46" w:rsidRDefault="00D2226E" w:rsidP="0077561E">
            <w:pPr>
              <w:widowControl w:val="0"/>
              <w:outlineLvl w:val="0"/>
              <w:rPr>
                <w:szCs w:val="22"/>
                <w:lang w:val="cs-CZ"/>
              </w:rPr>
            </w:pPr>
            <w:r w:rsidRPr="00C15F46">
              <w:rPr>
                <w:szCs w:val="22"/>
                <w:lang w:val="cs-CZ"/>
              </w:rPr>
              <w:t>uzavírání a konfirmace</w:t>
            </w:r>
          </w:p>
        </w:tc>
        <w:tc>
          <w:tcPr>
            <w:tcW w:w="1701" w:type="dxa"/>
            <w:tcBorders>
              <w:top w:val="nil"/>
              <w:left w:val="single" w:sz="4" w:space="0" w:color="auto"/>
              <w:bottom w:val="single" w:sz="4" w:space="0" w:color="auto"/>
              <w:right w:val="single" w:sz="12" w:space="0" w:color="auto"/>
            </w:tcBorders>
            <w:vAlign w:val="center"/>
          </w:tcPr>
          <w:p w14:paraId="24DE2066" w14:textId="2F19A3CD" w:rsidR="00D2226E" w:rsidRPr="00C15F46" w:rsidRDefault="0001761A" w:rsidP="0077561E">
            <w:pPr>
              <w:widowControl w:val="0"/>
              <w:outlineLvl w:val="0"/>
              <w:rPr>
                <w:szCs w:val="22"/>
                <w:lang w:val="cs-CZ"/>
              </w:rPr>
            </w:pPr>
            <w:r>
              <w:rPr>
                <w:sz w:val="16"/>
                <w:szCs w:val="16"/>
                <w:lang w:val="cs-CZ" w:eastAsia="cs-CZ"/>
              </w:rPr>
              <w:t>xxxxxxxxxxxxxxxxxxx</w:t>
            </w:r>
          </w:p>
        </w:tc>
      </w:tr>
    </w:tbl>
    <w:p w14:paraId="67B54915" w14:textId="77777777" w:rsidR="00D2226E" w:rsidRPr="00C15F46" w:rsidRDefault="00D2226E" w:rsidP="00D2226E">
      <w:pPr>
        <w:rPr>
          <w:szCs w:val="22"/>
          <w:lang w:val="cs-CZ"/>
        </w:rPr>
      </w:pPr>
    </w:p>
    <w:p w14:paraId="04EFFB90" w14:textId="748C028A" w:rsidR="009E6925" w:rsidRPr="009E6925" w:rsidRDefault="009E6925" w:rsidP="009E6925">
      <w:pPr>
        <w:rPr>
          <w:color w:val="000000"/>
          <w:szCs w:val="22"/>
          <w:lang w:val="cs-CZ" w:eastAsia="cs-CZ"/>
        </w:rPr>
      </w:pPr>
      <w:r w:rsidRPr="009E6925">
        <w:rPr>
          <w:color w:val="000000"/>
          <w:szCs w:val="22"/>
          <w:lang w:val="cs-CZ" w:eastAsia="cs-CZ"/>
        </w:rPr>
        <w:t xml:space="preserve">V Liberci dne </w:t>
      </w:r>
      <w:r w:rsidR="009A3DBB">
        <w:rPr>
          <w:color w:val="000000"/>
          <w:szCs w:val="22"/>
          <w:lang w:val="cs-CZ" w:eastAsia="cs-CZ"/>
        </w:rPr>
        <w:t>17.6</w:t>
      </w:r>
      <w:r w:rsidRPr="009E6925">
        <w:rPr>
          <w:color w:val="000000"/>
          <w:szCs w:val="22"/>
          <w:lang w:val="cs-CZ" w:eastAsia="cs-CZ"/>
        </w:rPr>
        <w:t>. 2020</w:t>
      </w:r>
    </w:p>
    <w:p w14:paraId="17826627" w14:textId="77777777" w:rsidR="009E6925" w:rsidRPr="00C15F46" w:rsidRDefault="00D2226E" w:rsidP="009E6925">
      <w:pPr>
        <w:keepNext/>
        <w:tabs>
          <w:tab w:val="left" w:pos="4820"/>
        </w:tabs>
        <w:rPr>
          <w:szCs w:val="22"/>
          <w:lang w:val="cs-CZ"/>
        </w:rPr>
      </w:pPr>
      <w:r w:rsidRPr="00C15F46">
        <w:rPr>
          <w:b/>
          <w:szCs w:val="22"/>
          <w:lang w:val="cs-CZ"/>
        </w:rPr>
        <w:tab/>
      </w:r>
    </w:p>
    <w:tbl>
      <w:tblPr>
        <w:tblW w:w="5000" w:type="pct"/>
        <w:tblCellSpacing w:w="-85" w:type="dxa"/>
        <w:tblLook w:val="04A0" w:firstRow="1" w:lastRow="0" w:firstColumn="1" w:lastColumn="0" w:noHBand="0" w:noVBand="1"/>
      </w:tblPr>
      <w:tblGrid>
        <w:gridCol w:w="4426"/>
        <w:gridCol w:w="220"/>
        <w:gridCol w:w="4425"/>
      </w:tblGrid>
      <w:tr w:rsidR="009E6925" w:rsidRPr="009E6925" w14:paraId="1A01D70D" w14:textId="77777777" w:rsidTr="009E6B93">
        <w:trPr>
          <w:cantSplit/>
          <w:tblCellSpacing w:w="-85" w:type="dxa"/>
        </w:trPr>
        <w:tc>
          <w:tcPr>
            <w:tcW w:w="2400" w:type="pct"/>
            <w:tcMar>
              <w:top w:w="0" w:type="dxa"/>
              <w:left w:w="0" w:type="dxa"/>
              <w:bottom w:w="0" w:type="dxa"/>
              <w:right w:w="0" w:type="dxa"/>
            </w:tcMar>
            <w:hideMark/>
          </w:tcPr>
          <w:p w14:paraId="0095A26A" w14:textId="6C35787E" w:rsidR="009E6925" w:rsidRPr="009E6925" w:rsidRDefault="009E6925" w:rsidP="0001761A">
            <w:pPr>
              <w:pBdr>
                <w:right w:val="none" w:sz="0" w:space="15" w:color="auto"/>
              </w:pBdr>
              <w:ind w:right="300"/>
              <w:rPr>
                <w:color w:val="000000"/>
                <w:szCs w:val="22"/>
                <w:lang w:val="cs-CZ" w:eastAsia="cs-CZ"/>
              </w:rPr>
            </w:pPr>
            <w:r w:rsidRPr="009E6925">
              <w:rPr>
                <w:b/>
                <w:bCs/>
                <w:color w:val="000000"/>
                <w:szCs w:val="22"/>
                <w:lang w:val="cs-CZ" w:eastAsia="cs-CZ"/>
              </w:rPr>
              <w:t>ČSAD Liberec, a.s.</w:t>
            </w:r>
            <w:r w:rsidRPr="009E6925">
              <w:rPr>
                <w:b/>
                <w:bCs/>
                <w:color w:val="000000"/>
                <w:szCs w:val="22"/>
                <w:lang w:val="cs-CZ" w:eastAsia="cs-CZ"/>
              </w:rPr>
              <w:br/>
            </w:r>
            <w:r w:rsidR="0001761A">
              <w:rPr>
                <w:color w:val="000000"/>
                <w:szCs w:val="22"/>
                <w:lang w:val="cs-CZ" w:eastAsia="cs-CZ"/>
              </w:rPr>
              <w:t>xxxxxxxxxxxxxxxxxxxxxxxxxxxx</w:t>
            </w:r>
            <w:r w:rsidRPr="009E6925">
              <w:rPr>
                <w:color w:val="000000"/>
                <w:szCs w:val="22"/>
                <w:lang w:val="cs-CZ" w:eastAsia="cs-CZ"/>
              </w:rPr>
              <w:br/>
            </w:r>
            <w:r w:rsidR="0001761A">
              <w:rPr>
                <w:color w:val="000000"/>
                <w:szCs w:val="22"/>
                <w:lang w:val="cs-CZ" w:eastAsia="cs-CZ"/>
              </w:rPr>
              <w:t>xxxxxxxxxxxxxxxxxxxxxxxxxxxx</w:t>
            </w:r>
          </w:p>
        </w:tc>
        <w:tc>
          <w:tcPr>
            <w:tcW w:w="0" w:type="auto"/>
            <w:tcMar>
              <w:top w:w="0" w:type="dxa"/>
              <w:left w:w="0" w:type="dxa"/>
              <w:bottom w:w="0" w:type="dxa"/>
              <w:right w:w="0" w:type="dxa"/>
            </w:tcMar>
            <w:vAlign w:val="center"/>
            <w:hideMark/>
          </w:tcPr>
          <w:p w14:paraId="0784717C" w14:textId="77777777" w:rsidR="009E6925" w:rsidRPr="009E6925" w:rsidRDefault="009E6925" w:rsidP="009E6925">
            <w:pPr>
              <w:rPr>
                <w:color w:val="000000"/>
                <w:szCs w:val="22"/>
                <w:lang w:val="cs-CZ" w:eastAsia="cs-CZ"/>
              </w:rPr>
            </w:pPr>
            <w:r w:rsidRPr="009E6925">
              <w:rPr>
                <w:color w:val="000000"/>
                <w:szCs w:val="22"/>
                <w:lang w:val="cs-CZ" w:eastAsia="cs-CZ"/>
              </w:rPr>
              <w:t>  </w:t>
            </w:r>
          </w:p>
        </w:tc>
        <w:tc>
          <w:tcPr>
            <w:tcW w:w="2400" w:type="pct"/>
            <w:tcMar>
              <w:top w:w="0" w:type="dxa"/>
              <w:left w:w="0" w:type="dxa"/>
              <w:bottom w:w="0" w:type="dxa"/>
              <w:right w:w="0" w:type="dxa"/>
            </w:tcMar>
            <w:hideMark/>
          </w:tcPr>
          <w:p w14:paraId="7F0265A1" w14:textId="77777777" w:rsidR="009E6925" w:rsidRPr="009E6925" w:rsidRDefault="009E6925" w:rsidP="009E6925">
            <w:pPr>
              <w:rPr>
                <w:color w:val="000000"/>
                <w:szCs w:val="22"/>
                <w:lang w:val="cs-CZ" w:eastAsia="cs-CZ"/>
              </w:rPr>
            </w:pPr>
          </w:p>
        </w:tc>
      </w:tr>
    </w:tbl>
    <w:p w14:paraId="53A3CBD6" w14:textId="77777777" w:rsidR="009E6925" w:rsidRPr="009E6925" w:rsidRDefault="009E6925" w:rsidP="009E6925">
      <w:pPr>
        <w:jc w:val="both"/>
        <w:rPr>
          <w:vanish/>
          <w:color w:val="000000"/>
          <w:szCs w:val="22"/>
          <w:lang w:val="cs-CZ" w:eastAsia="cs-CZ"/>
        </w:rPr>
      </w:pPr>
    </w:p>
    <w:tbl>
      <w:tblPr>
        <w:tblW w:w="5000" w:type="pct"/>
        <w:tblCellSpacing w:w="-85" w:type="dxa"/>
        <w:tblLook w:val="04A0" w:firstRow="1" w:lastRow="0" w:firstColumn="1" w:lastColumn="0" w:noHBand="0" w:noVBand="1"/>
      </w:tblPr>
      <w:tblGrid>
        <w:gridCol w:w="4426"/>
        <w:gridCol w:w="220"/>
        <w:gridCol w:w="4425"/>
      </w:tblGrid>
      <w:tr w:rsidR="009E6925" w:rsidRPr="009E6925" w14:paraId="297D605C" w14:textId="77777777" w:rsidTr="009E6B93">
        <w:trPr>
          <w:cantSplit/>
          <w:tblCellSpacing w:w="-85" w:type="dxa"/>
        </w:trPr>
        <w:tc>
          <w:tcPr>
            <w:tcW w:w="2400" w:type="pct"/>
            <w:tcMar>
              <w:top w:w="0" w:type="dxa"/>
              <w:left w:w="0" w:type="dxa"/>
              <w:bottom w:w="0" w:type="dxa"/>
              <w:right w:w="0" w:type="dxa"/>
            </w:tcMar>
            <w:hideMark/>
          </w:tcPr>
          <w:tbl>
            <w:tblPr>
              <w:tblW w:w="4000" w:type="pct"/>
              <w:tblCellSpacing w:w="-85" w:type="dxa"/>
              <w:tblCellMar>
                <w:top w:w="15" w:type="dxa"/>
                <w:left w:w="15" w:type="dxa"/>
                <w:bottom w:w="15" w:type="dxa"/>
                <w:right w:w="15" w:type="dxa"/>
              </w:tblCellMar>
              <w:tblLook w:val="05E0" w:firstRow="1" w:lastRow="1" w:firstColumn="1" w:lastColumn="1" w:noHBand="0" w:noVBand="1"/>
            </w:tblPr>
            <w:tblGrid>
              <w:gridCol w:w="1770"/>
              <w:gridCol w:w="1771"/>
            </w:tblGrid>
            <w:tr w:rsidR="009E6925" w:rsidRPr="009E6925" w14:paraId="5CAD5663"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4DCFC0D6" w14:textId="77777777" w:rsidR="009E6925" w:rsidRPr="009E6925" w:rsidRDefault="009E6925" w:rsidP="009E6925">
                  <w:pPr>
                    <w:rPr>
                      <w:color w:val="FFFFFF"/>
                      <w:szCs w:val="22"/>
                      <w:lang w:val="cs-CZ" w:eastAsia="cs-CZ"/>
                    </w:rPr>
                  </w:pPr>
                  <w:r w:rsidRPr="009E6925">
                    <w:rPr>
                      <w:color w:val="FFFFFF"/>
                      <w:szCs w:val="22"/>
                      <w:lang w:val="cs-CZ" w:eastAsia="cs-CZ"/>
                    </w:rPr>
                    <w:t>*K*</w:t>
                  </w:r>
                </w:p>
              </w:tc>
              <w:tc>
                <w:tcPr>
                  <w:tcW w:w="0" w:type="auto"/>
                  <w:shd w:val="clear" w:color="auto" w:fill="auto"/>
                  <w:tcMar>
                    <w:top w:w="15" w:type="dxa"/>
                    <w:left w:w="15" w:type="dxa"/>
                    <w:bottom w:w="15" w:type="dxa"/>
                    <w:right w:w="15" w:type="dxa"/>
                  </w:tcMar>
                  <w:vAlign w:val="center"/>
                  <w:hideMark/>
                </w:tcPr>
                <w:p w14:paraId="3625A164" w14:textId="77777777" w:rsidR="009E6925" w:rsidRPr="009E6925" w:rsidRDefault="009E6925" w:rsidP="009E6925">
                  <w:pPr>
                    <w:rPr>
                      <w:color w:val="FFFFFF"/>
                      <w:szCs w:val="22"/>
                      <w:lang w:val="cs-CZ" w:eastAsia="cs-CZ"/>
                    </w:rPr>
                  </w:pPr>
                  <w:r w:rsidRPr="009E6925">
                    <w:rPr>
                      <w:color w:val="FFFFFF"/>
                      <w:szCs w:val="22"/>
                      <w:lang w:val="cs-CZ" w:eastAsia="cs-CZ"/>
                    </w:rPr>
                    <w:t>*K*</w:t>
                  </w:r>
                </w:p>
              </w:tc>
            </w:tr>
          </w:tbl>
          <w:p w14:paraId="40219B1E" w14:textId="77777777" w:rsidR="00A1539F" w:rsidRDefault="00A1539F" w:rsidP="009E6925">
            <w:pPr>
              <w:rPr>
                <w:color w:val="000000"/>
                <w:szCs w:val="22"/>
                <w:lang w:val="cs-CZ" w:eastAsia="cs-CZ"/>
              </w:rPr>
            </w:pPr>
          </w:p>
          <w:p w14:paraId="00D804BC" w14:textId="77777777" w:rsidR="009E6925" w:rsidRPr="009E6925" w:rsidRDefault="009E6925" w:rsidP="009E6925">
            <w:pPr>
              <w:rPr>
                <w:color w:val="000000"/>
                <w:szCs w:val="22"/>
                <w:lang w:val="cs-CZ" w:eastAsia="cs-CZ"/>
              </w:rPr>
            </w:pPr>
            <w:r w:rsidRPr="009E6925">
              <w:rPr>
                <w:color w:val="000000"/>
                <w:szCs w:val="22"/>
                <w:lang w:val="cs-CZ" w:eastAsia="cs-CZ"/>
              </w:rPr>
              <w:br/>
            </w:r>
            <w:r w:rsidRPr="009E6925">
              <w:rPr>
                <w:color w:val="000000"/>
                <w:szCs w:val="22"/>
                <w:lang w:val="cs-CZ" w:eastAsia="cs-CZ"/>
              </w:rPr>
              <w:br/>
            </w:r>
          </w:p>
          <w:tbl>
            <w:tblPr>
              <w:tblW w:w="5000" w:type="pct"/>
              <w:tblCellSpacing w:w="-85" w:type="dxa"/>
              <w:tblLook w:val="04A0" w:firstRow="1" w:lastRow="0" w:firstColumn="1" w:lastColumn="0" w:noHBand="0" w:noVBand="1"/>
            </w:tblPr>
            <w:tblGrid>
              <w:gridCol w:w="3694"/>
              <w:gridCol w:w="732"/>
            </w:tblGrid>
            <w:tr w:rsidR="009E6925" w:rsidRPr="009E6925" w14:paraId="262FBA49" w14:textId="77777777" w:rsidTr="009E6B93">
              <w:trPr>
                <w:cantSplit/>
                <w:tblCellSpacing w:w="-85" w:type="dxa"/>
              </w:trPr>
              <w:tc>
                <w:tcPr>
                  <w:tcW w:w="4000" w:type="pct"/>
                  <w:tcMar>
                    <w:top w:w="0" w:type="dxa"/>
                    <w:left w:w="0" w:type="dxa"/>
                    <w:bottom w:w="0" w:type="dxa"/>
                    <w:right w:w="0" w:type="dxa"/>
                  </w:tcMar>
                  <w:vAlign w:val="center"/>
                  <w:hideMark/>
                </w:tcPr>
                <w:p w14:paraId="7A3A61EE" w14:textId="77777777" w:rsidR="009E6925" w:rsidRPr="009E6925" w:rsidRDefault="009E6925" w:rsidP="009E6925">
                  <w:pPr>
                    <w:pBdr>
                      <w:top w:val="dotted" w:sz="6" w:space="0" w:color="000000"/>
                      <w:bottom w:val="none" w:sz="0" w:space="7" w:color="auto"/>
                    </w:pBdr>
                    <w:jc w:val="center"/>
                    <w:rPr>
                      <w:color w:val="000000"/>
                      <w:szCs w:val="22"/>
                      <w:lang w:val="cs-CZ" w:eastAsia="cs-CZ"/>
                    </w:rPr>
                  </w:pPr>
                  <w:r w:rsidRPr="009E6925">
                    <w:rPr>
                      <w:color w:val="000000"/>
                      <w:szCs w:val="22"/>
                      <w:lang w:val="cs-CZ" w:eastAsia="cs-CZ"/>
                    </w:rPr>
                    <w:t>Klient</w:t>
                  </w:r>
                </w:p>
              </w:tc>
              <w:tc>
                <w:tcPr>
                  <w:tcW w:w="1000" w:type="pct"/>
                  <w:tcMar>
                    <w:top w:w="0" w:type="dxa"/>
                    <w:left w:w="0" w:type="dxa"/>
                    <w:bottom w:w="0" w:type="dxa"/>
                    <w:right w:w="0" w:type="dxa"/>
                  </w:tcMar>
                  <w:vAlign w:val="center"/>
                  <w:hideMark/>
                </w:tcPr>
                <w:p w14:paraId="2CCBEC29" w14:textId="77777777" w:rsidR="009E6925" w:rsidRPr="009E6925" w:rsidRDefault="009E6925" w:rsidP="009E6925">
                  <w:pPr>
                    <w:rPr>
                      <w:color w:val="000000"/>
                      <w:szCs w:val="22"/>
                      <w:lang w:val="cs-CZ" w:eastAsia="cs-CZ"/>
                    </w:rPr>
                  </w:pPr>
                  <w:r w:rsidRPr="009E6925">
                    <w:rPr>
                      <w:color w:val="000000"/>
                      <w:szCs w:val="22"/>
                      <w:lang w:val="cs-CZ" w:eastAsia="cs-CZ"/>
                    </w:rPr>
                    <w:t> </w:t>
                  </w:r>
                </w:p>
              </w:tc>
            </w:tr>
          </w:tbl>
          <w:p w14:paraId="100A50BF" w14:textId="77777777" w:rsidR="009E6925" w:rsidRPr="009E6925" w:rsidRDefault="009E6925" w:rsidP="009E6925">
            <w:pPr>
              <w:jc w:val="both"/>
              <w:rPr>
                <w:vanish/>
                <w:color w:val="000000"/>
                <w:szCs w:val="22"/>
                <w:lang w:val="cs-CZ" w:eastAsia="cs-CZ"/>
              </w:rPr>
            </w:pPr>
          </w:p>
          <w:tbl>
            <w:tblPr>
              <w:tblW w:w="4000" w:type="pct"/>
              <w:tblCellSpacing w:w="-85" w:type="dxa"/>
              <w:tblCellMar>
                <w:top w:w="15" w:type="dxa"/>
                <w:left w:w="15" w:type="dxa"/>
                <w:bottom w:w="15" w:type="dxa"/>
                <w:right w:w="15" w:type="dxa"/>
              </w:tblCellMar>
              <w:tblLook w:val="05E0" w:firstRow="1" w:lastRow="1" w:firstColumn="1" w:lastColumn="1" w:noHBand="0" w:noVBand="1"/>
            </w:tblPr>
            <w:tblGrid>
              <w:gridCol w:w="1771"/>
              <w:gridCol w:w="1770"/>
            </w:tblGrid>
            <w:tr w:rsidR="009E6925" w:rsidRPr="009E6925" w14:paraId="2F285A1F"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76C87B23" w14:textId="77777777" w:rsidR="009E6925" w:rsidRPr="009E6925" w:rsidRDefault="009E6925" w:rsidP="009E6925">
                  <w:pPr>
                    <w:rPr>
                      <w:color w:val="000000"/>
                      <w:szCs w:val="22"/>
                      <w:lang w:val="cs-CZ" w:eastAsia="cs-CZ"/>
                    </w:rPr>
                  </w:pPr>
                  <w:r w:rsidRPr="009E6925">
                    <w:rPr>
                      <w:color w:val="000000"/>
                      <w:sz w:val="18"/>
                      <w:szCs w:val="18"/>
                      <w:lang w:val="cs-CZ" w:eastAsia="cs-CZ"/>
                    </w:rPr>
                    <w:t>Ověření podpisu/totožnosti:</w:t>
                  </w:r>
                </w:p>
              </w:tc>
              <w:tc>
                <w:tcPr>
                  <w:tcW w:w="0" w:type="auto"/>
                  <w:shd w:val="clear" w:color="auto" w:fill="auto"/>
                  <w:tcMar>
                    <w:top w:w="15" w:type="dxa"/>
                    <w:left w:w="15" w:type="dxa"/>
                    <w:bottom w:w="15" w:type="dxa"/>
                    <w:right w:w="15" w:type="dxa"/>
                  </w:tcMar>
                  <w:vAlign w:val="center"/>
                  <w:hideMark/>
                </w:tcPr>
                <w:p w14:paraId="0428E00F" w14:textId="77777777" w:rsidR="009E6925" w:rsidRPr="009E6925" w:rsidRDefault="009E6925" w:rsidP="009E6925">
                  <w:pPr>
                    <w:rPr>
                      <w:color w:val="000000"/>
                      <w:szCs w:val="22"/>
                      <w:lang w:val="cs-CZ" w:eastAsia="cs-CZ"/>
                    </w:rPr>
                  </w:pPr>
                  <w:r w:rsidRPr="009E6925">
                    <w:rPr>
                      <w:color w:val="000000"/>
                      <w:sz w:val="18"/>
                      <w:szCs w:val="18"/>
                      <w:lang w:val="cs-CZ" w:eastAsia="cs-CZ"/>
                    </w:rPr>
                    <w:t>Ověření podpisu/totožnosti:</w:t>
                  </w:r>
                </w:p>
              </w:tc>
            </w:tr>
            <w:tr w:rsidR="009E6925" w:rsidRPr="009E6925" w14:paraId="74B515B1" w14:textId="77777777" w:rsidTr="009E6B93">
              <w:trPr>
                <w:cantSplit/>
                <w:tblCellSpacing w:w="-85" w:type="dxa"/>
              </w:trPr>
              <w:tc>
                <w:tcPr>
                  <w:tcW w:w="0" w:type="auto"/>
                  <w:shd w:val="clear" w:color="auto" w:fill="auto"/>
                  <w:tcMar>
                    <w:top w:w="15" w:type="dxa"/>
                    <w:left w:w="15" w:type="dxa"/>
                    <w:bottom w:w="15" w:type="dxa"/>
                    <w:right w:w="15" w:type="dxa"/>
                  </w:tcMar>
                  <w:vAlign w:val="center"/>
                  <w:hideMark/>
                </w:tcPr>
                <w:p w14:paraId="3A16135B" w14:textId="77777777" w:rsidR="009E6925" w:rsidRPr="009E6925" w:rsidRDefault="009E6925" w:rsidP="009E6925">
                  <w:pPr>
                    <w:rPr>
                      <w:color w:val="FFFFFF"/>
                      <w:szCs w:val="22"/>
                      <w:lang w:val="cs-CZ" w:eastAsia="cs-CZ"/>
                    </w:rPr>
                  </w:pPr>
                  <w:r w:rsidRPr="009E6925">
                    <w:rPr>
                      <w:color w:val="FFFFFF"/>
                      <w:szCs w:val="22"/>
                      <w:lang w:val="cs-CZ" w:eastAsia="cs-CZ"/>
                    </w:rPr>
                    <w:t>*O*</w:t>
                  </w:r>
                </w:p>
              </w:tc>
              <w:tc>
                <w:tcPr>
                  <w:tcW w:w="0" w:type="auto"/>
                  <w:shd w:val="clear" w:color="auto" w:fill="auto"/>
                  <w:tcMar>
                    <w:top w:w="15" w:type="dxa"/>
                    <w:left w:w="15" w:type="dxa"/>
                    <w:bottom w:w="15" w:type="dxa"/>
                    <w:right w:w="15" w:type="dxa"/>
                  </w:tcMar>
                  <w:vAlign w:val="center"/>
                  <w:hideMark/>
                </w:tcPr>
                <w:p w14:paraId="7BF15775" w14:textId="77777777" w:rsidR="009E6925" w:rsidRPr="009E6925" w:rsidRDefault="009E6925" w:rsidP="009E6925">
                  <w:pPr>
                    <w:rPr>
                      <w:color w:val="FFFFFF"/>
                      <w:szCs w:val="22"/>
                      <w:lang w:val="cs-CZ" w:eastAsia="cs-CZ"/>
                    </w:rPr>
                  </w:pPr>
                  <w:r w:rsidRPr="009E6925">
                    <w:rPr>
                      <w:color w:val="FFFFFF"/>
                      <w:szCs w:val="22"/>
                      <w:lang w:val="cs-CZ" w:eastAsia="cs-CZ"/>
                    </w:rPr>
                    <w:t>*O*</w:t>
                  </w:r>
                </w:p>
              </w:tc>
            </w:tr>
          </w:tbl>
          <w:p w14:paraId="620E209C" w14:textId="77777777" w:rsidR="009E6925" w:rsidRPr="009E6925" w:rsidRDefault="009E6925" w:rsidP="009E6925">
            <w:pPr>
              <w:rPr>
                <w:color w:val="000000"/>
                <w:szCs w:val="22"/>
                <w:lang w:val="cs-CZ" w:eastAsia="cs-CZ"/>
              </w:rPr>
            </w:pPr>
            <w:r w:rsidRPr="009E6925">
              <w:rPr>
                <w:color w:val="000000"/>
                <w:szCs w:val="22"/>
                <w:lang w:val="cs-CZ" w:eastAsia="cs-CZ"/>
              </w:rPr>
              <w:br/>
            </w:r>
          </w:p>
        </w:tc>
        <w:tc>
          <w:tcPr>
            <w:tcW w:w="0" w:type="auto"/>
            <w:tcMar>
              <w:top w:w="0" w:type="dxa"/>
              <w:left w:w="0" w:type="dxa"/>
              <w:bottom w:w="0" w:type="dxa"/>
              <w:right w:w="0" w:type="dxa"/>
            </w:tcMar>
            <w:vAlign w:val="center"/>
            <w:hideMark/>
          </w:tcPr>
          <w:p w14:paraId="5305DD82" w14:textId="77777777" w:rsidR="009E6925" w:rsidRPr="009E6925" w:rsidRDefault="009E6925" w:rsidP="009E6925">
            <w:pPr>
              <w:rPr>
                <w:color w:val="000000"/>
                <w:szCs w:val="22"/>
                <w:lang w:val="cs-CZ" w:eastAsia="cs-CZ"/>
              </w:rPr>
            </w:pPr>
            <w:r w:rsidRPr="009E6925">
              <w:rPr>
                <w:color w:val="000000"/>
                <w:szCs w:val="22"/>
                <w:lang w:val="cs-CZ" w:eastAsia="cs-CZ"/>
              </w:rPr>
              <w:t>  </w:t>
            </w:r>
          </w:p>
        </w:tc>
        <w:tc>
          <w:tcPr>
            <w:tcW w:w="2400" w:type="pct"/>
            <w:tcMar>
              <w:top w:w="0" w:type="dxa"/>
              <w:left w:w="0" w:type="dxa"/>
              <w:bottom w:w="0" w:type="dxa"/>
              <w:right w:w="0" w:type="dxa"/>
            </w:tcMar>
            <w:hideMark/>
          </w:tcPr>
          <w:p w14:paraId="230FA017" w14:textId="77777777" w:rsidR="009E6925" w:rsidRPr="009E6925" w:rsidRDefault="009E6925" w:rsidP="009E6925">
            <w:pPr>
              <w:rPr>
                <w:color w:val="000000"/>
                <w:szCs w:val="22"/>
                <w:lang w:val="cs-CZ" w:eastAsia="cs-CZ"/>
              </w:rPr>
            </w:pPr>
          </w:p>
        </w:tc>
      </w:tr>
    </w:tbl>
    <w:p w14:paraId="5655126F" w14:textId="10152D95" w:rsidR="00D2226E" w:rsidRPr="00C15F46" w:rsidRDefault="00D2226E" w:rsidP="009E6925">
      <w:pPr>
        <w:keepNext/>
        <w:tabs>
          <w:tab w:val="left" w:pos="4820"/>
        </w:tabs>
        <w:rPr>
          <w:szCs w:val="22"/>
          <w:lang w:val="cs-CZ"/>
        </w:rPr>
      </w:pPr>
    </w:p>
    <w:p w14:paraId="18B1220A" w14:textId="77777777" w:rsidR="00D2226E" w:rsidRPr="00C15F46" w:rsidRDefault="00D2226E" w:rsidP="00D2226E">
      <w:pPr>
        <w:tabs>
          <w:tab w:val="left" w:pos="4820"/>
        </w:tabs>
        <w:rPr>
          <w:szCs w:val="22"/>
          <w:lang w:val="cs-CZ"/>
        </w:rPr>
      </w:pPr>
    </w:p>
    <w:p w14:paraId="5E739AD2" w14:textId="77777777" w:rsidR="00D2226E" w:rsidRPr="00C15F46" w:rsidRDefault="00D2226E" w:rsidP="00D2226E">
      <w:pPr>
        <w:rPr>
          <w:b/>
          <w:szCs w:val="22"/>
          <w:lang w:val="cs-CZ"/>
        </w:rPr>
      </w:pPr>
    </w:p>
    <w:sectPr w:rsidR="00D2226E" w:rsidRPr="00C15F46" w:rsidSect="00AF33BB">
      <w:headerReference w:type="default" r:id="rId20"/>
      <w:footerReference w:type="default" r:id="rId21"/>
      <w:pgSz w:w="11907" w:h="16840" w:code="9"/>
      <w:pgMar w:top="1418" w:right="1418" w:bottom="1418" w:left="1418"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5260" w14:textId="77777777" w:rsidR="00B80646" w:rsidRDefault="00B80646">
      <w:r>
        <w:separator/>
      </w:r>
    </w:p>
  </w:endnote>
  <w:endnote w:type="continuationSeparator" w:id="0">
    <w:p w14:paraId="6C512DE7" w14:textId="77777777" w:rsidR="00B80646" w:rsidRDefault="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vinio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1F70" w14:textId="0D625936" w:rsidR="005944B4" w:rsidRDefault="005944B4" w:rsidP="005944B4">
    <w:pPr>
      <w:pStyle w:val="Nadpis3"/>
      <w:pBdr>
        <w:top w:val="single" w:sz="4" w:space="1" w:color="auto"/>
        <w:bottom w:val="single" w:sz="2" w:space="1" w:color="auto"/>
      </w:pBdr>
      <w:tabs>
        <w:tab w:val="right" w:pos="9072"/>
      </w:tabs>
      <w:spacing w:after="0"/>
      <w:rPr>
        <w:bCs w:val="0"/>
        <w:sz w:val="18"/>
        <w:lang w:val="cs-CZ"/>
      </w:rPr>
    </w:pPr>
    <w:r>
      <w:rPr>
        <w:bCs w:val="0"/>
        <w:sz w:val="18"/>
        <w:lang w:val="cs-CZ"/>
      </w:rPr>
      <w:t>Československá obchodní banka, a. s.</w:t>
    </w:r>
    <w:r>
      <w:rPr>
        <w:bCs w:val="0"/>
        <w:sz w:val="18"/>
        <w:lang w:val="cs-CZ"/>
      </w:rPr>
      <w:tab/>
    </w:r>
    <w:r w:rsidR="00A54987">
      <w:rPr>
        <w:bCs w:val="0"/>
        <w:sz w:val="18"/>
        <w:lang w:val="cs-CZ"/>
      </w:rPr>
      <w:t>ČSAD Liberec, a.s.</w:t>
    </w:r>
  </w:p>
  <w:p w14:paraId="1236DB87" w14:textId="77777777" w:rsidR="00AA5F0F" w:rsidRPr="005944B4" w:rsidRDefault="00AA5F0F" w:rsidP="005944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C5B5" w14:textId="7BB21E6C" w:rsidR="005944B4" w:rsidRDefault="005944B4" w:rsidP="005944B4">
    <w:pPr>
      <w:pStyle w:val="Nadpis3"/>
      <w:pBdr>
        <w:top w:val="single" w:sz="4" w:space="1" w:color="auto"/>
        <w:bottom w:val="single" w:sz="2" w:space="1" w:color="auto"/>
      </w:pBdr>
      <w:tabs>
        <w:tab w:val="right" w:pos="9072"/>
      </w:tabs>
      <w:spacing w:after="0"/>
      <w:rPr>
        <w:bCs w:val="0"/>
        <w:sz w:val="18"/>
        <w:lang w:val="cs-CZ"/>
      </w:rPr>
    </w:pPr>
    <w:r>
      <w:rPr>
        <w:bCs w:val="0"/>
        <w:sz w:val="18"/>
        <w:lang w:val="cs-CZ"/>
      </w:rPr>
      <w:t>Československá obchodní banka, a. s.</w:t>
    </w:r>
    <w:r>
      <w:rPr>
        <w:bCs w:val="0"/>
        <w:sz w:val="18"/>
        <w:lang w:val="cs-CZ"/>
      </w:rPr>
      <w:tab/>
    </w:r>
    <w:r w:rsidR="00E43C59">
      <w:rPr>
        <w:bCs w:val="0"/>
        <w:sz w:val="18"/>
        <w:lang w:val="cs-CZ"/>
      </w:rPr>
      <w:t>ČSAD Liberec, a.s.</w:t>
    </w:r>
  </w:p>
  <w:p w14:paraId="43C89190" w14:textId="77777777" w:rsidR="00AA5F0F" w:rsidRPr="005944B4" w:rsidRDefault="00AA5F0F" w:rsidP="005944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D0220" w14:textId="77777777" w:rsidR="00B80646" w:rsidRDefault="00B80646">
      <w:r>
        <w:separator/>
      </w:r>
    </w:p>
  </w:footnote>
  <w:footnote w:type="continuationSeparator" w:id="0">
    <w:p w14:paraId="4C09C68B" w14:textId="77777777" w:rsidR="00B80646" w:rsidRDefault="00B80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7033" w14:textId="234A6C9E" w:rsidR="00AA5F0F" w:rsidRDefault="005944B4" w:rsidP="005944B4">
    <w:pPr>
      <w:pStyle w:val="Zhlav"/>
      <w:pBdr>
        <w:top w:val="single" w:sz="4" w:space="1" w:color="auto"/>
        <w:bottom w:val="single" w:sz="4" w:space="1" w:color="auto"/>
      </w:pBdr>
      <w:tabs>
        <w:tab w:val="clear" w:pos="4703"/>
        <w:tab w:val="clear" w:pos="9406"/>
        <w:tab w:val="right" w:pos="9071"/>
      </w:tabs>
      <w:rPr>
        <w:b/>
        <w:sz w:val="18"/>
        <w:lang w:val="cs-CZ"/>
      </w:rPr>
    </w:pPr>
    <w:r w:rsidRPr="00A54987">
      <w:rPr>
        <w:b/>
        <w:sz w:val="18"/>
        <w:lang w:val="cs-CZ"/>
      </w:rPr>
      <w:t xml:space="preserve">Rámcová smlouva č. </w:t>
    </w:r>
    <w:r w:rsidR="00A54987" w:rsidRPr="00A54987">
      <w:rPr>
        <w:b/>
        <w:sz w:val="18"/>
        <w:lang w:val="cs-CZ"/>
      </w:rPr>
      <w:t>2020005181</w:t>
    </w:r>
    <w:r w:rsidRPr="00A54987">
      <w:rPr>
        <w:b/>
        <w:sz w:val="18"/>
        <w:lang w:val="cs-CZ"/>
      </w:rPr>
      <w:t xml:space="preserve"> – </w:t>
    </w:r>
    <w:r w:rsidR="007637B9" w:rsidRPr="00A54987">
      <w:rPr>
        <w:b/>
        <w:sz w:val="18"/>
        <w:lang w:val="cs-CZ"/>
      </w:rPr>
      <w:t>d</w:t>
    </w:r>
    <w:r w:rsidRPr="00A54987">
      <w:rPr>
        <w:b/>
        <w:sz w:val="18"/>
        <w:lang w:val="cs-CZ"/>
      </w:rPr>
      <w:t xml:space="preserve">odatek č. </w:t>
    </w:r>
    <w:r w:rsidR="00A54987" w:rsidRPr="00A54987">
      <w:rPr>
        <w:b/>
        <w:sz w:val="18"/>
        <w:lang w:val="cs-CZ"/>
      </w:rPr>
      <w:t>1</w:t>
    </w:r>
    <w:r>
      <w:rPr>
        <w:b/>
        <w:sz w:val="18"/>
        <w:lang w:val="cs-CZ"/>
      </w:rPr>
      <w:tab/>
    </w:r>
    <w:r w:rsidR="00AA5F0F">
      <w:rPr>
        <w:b/>
        <w:sz w:val="18"/>
        <w:lang w:val="cs-CZ"/>
      </w:rPr>
      <w:t xml:space="preserve">strana </w:t>
    </w:r>
    <w:r w:rsidR="005F704E">
      <w:rPr>
        <w:rStyle w:val="slostrnky"/>
        <w:b/>
        <w:sz w:val="18"/>
        <w:lang w:val="cs-CZ"/>
      </w:rPr>
      <w:fldChar w:fldCharType="begin"/>
    </w:r>
    <w:r w:rsidR="00AA5F0F">
      <w:rPr>
        <w:rStyle w:val="slostrnky"/>
        <w:b/>
        <w:sz w:val="18"/>
        <w:lang w:val="cs-CZ"/>
      </w:rPr>
      <w:instrText xml:space="preserve"> PAGE </w:instrText>
    </w:r>
    <w:r w:rsidR="005F704E">
      <w:rPr>
        <w:rStyle w:val="slostrnky"/>
        <w:b/>
        <w:sz w:val="18"/>
        <w:lang w:val="cs-CZ"/>
      </w:rPr>
      <w:fldChar w:fldCharType="separate"/>
    </w:r>
    <w:r w:rsidR="00AE170C">
      <w:rPr>
        <w:rStyle w:val="slostrnky"/>
        <w:b/>
        <w:noProof/>
        <w:sz w:val="18"/>
        <w:lang w:val="cs-CZ"/>
      </w:rPr>
      <w:t>1</w:t>
    </w:r>
    <w:r w:rsidR="005F704E">
      <w:rPr>
        <w:rStyle w:val="slostrnky"/>
        <w:b/>
        <w:sz w:val="18"/>
        <w:lang w:val="cs-CZ"/>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3678" w14:textId="749FC7A6" w:rsidR="00D47942" w:rsidRPr="00C06209" w:rsidRDefault="00701E08">
    <w:pPr>
      <w:pStyle w:val="Zhlav"/>
      <w:pBdr>
        <w:top w:val="single" w:sz="4" w:space="1" w:color="auto"/>
        <w:bottom w:val="single" w:sz="4" w:space="1" w:color="auto"/>
      </w:pBdr>
      <w:rPr>
        <w:b/>
        <w:sz w:val="18"/>
      </w:rPr>
    </w:pPr>
    <w:r w:rsidRPr="00E43C59">
      <w:rPr>
        <w:b/>
        <w:sz w:val="18"/>
        <w:lang w:val="cs-CZ"/>
      </w:rPr>
      <w:t xml:space="preserve"> Rámcová smlouva č. </w:t>
    </w:r>
    <w:r w:rsidR="00E43C59" w:rsidRPr="00E43C59">
      <w:rPr>
        <w:b/>
        <w:sz w:val="18"/>
        <w:lang w:val="cs-CZ"/>
      </w:rPr>
      <w:t>2020005181</w:t>
    </w:r>
    <w:r w:rsidRPr="00E43C59">
      <w:rPr>
        <w:b/>
        <w:sz w:val="18"/>
        <w:lang w:val="cs-CZ"/>
      </w:rPr>
      <w:t xml:space="preserve"> – dodatek č. </w:t>
    </w:r>
    <w:r w:rsidR="00E43C59" w:rsidRPr="00E43C59">
      <w:rPr>
        <w:b/>
        <w:sz w:val="18"/>
        <w:lang w:val="cs-CZ"/>
      </w:rPr>
      <w:t>1</w:t>
    </w:r>
    <w:r w:rsidRPr="00E43C59">
      <w:rPr>
        <w:b/>
        <w:sz w:val="18"/>
      </w:rPr>
      <w:t xml:space="preserve"> </w:t>
    </w:r>
    <w:r w:rsidR="00D47942" w:rsidRPr="00E43C59">
      <w:rPr>
        <w:b/>
        <w:sz w:val="18"/>
      </w:rPr>
      <w:t xml:space="preserve">– </w:t>
    </w:r>
    <w:r w:rsidR="000F16D8" w:rsidRPr="00E43C59">
      <w:rPr>
        <w:b/>
        <w:sz w:val="18"/>
      </w:rPr>
      <w:t>P</w:t>
    </w:r>
    <w:r w:rsidR="00D47942" w:rsidRPr="00E43C59">
      <w:rPr>
        <w:b/>
        <w:sz w:val="18"/>
      </w:rPr>
      <w:t>říloha č.</w:t>
    </w:r>
    <w:r w:rsidR="00E43C59" w:rsidRPr="00E43C59">
      <w:rPr>
        <w:b/>
        <w:sz w:val="18"/>
      </w:rPr>
      <w:t>1</w:t>
    </w:r>
    <w:r w:rsidR="00D47942">
      <w:rPr>
        <w:b/>
        <w:sz w:val="18"/>
      </w:rPr>
      <w:t xml:space="preserve"> </w:t>
    </w:r>
    <w:r w:rsidR="00E43C59">
      <w:rPr>
        <w:b/>
        <w:sz w:val="18"/>
      </w:rPr>
      <w:t xml:space="preserve">                                                                                 </w:t>
    </w:r>
    <w:r w:rsidR="00D47942">
      <w:rPr>
        <w:b/>
        <w:sz w:val="18"/>
      </w:rPr>
      <w:t xml:space="preserve">strana </w:t>
    </w:r>
    <w:r w:rsidR="00D47942" w:rsidRPr="00324A0D">
      <w:rPr>
        <w:b/>
        <w:sz w:val="18"/>
      </w:rPr>
      <w:fldChar w:fldCharType="begin"/>
    </w:r>
    <w:r w:rsidR="00D47942" w:rsidRPr="00324A0D">
      <w:rPr>
        <w:b/>
        <w:sz w:val="18"/>
      </w:rPr>
      <w:instrText>PAGE   \* MERGEFORMAT</w:instrText>
    </w:r>
    <w:r w:rsidR="00D47942" w:rsidRPr="00324A0D">
      <w:rPr>
        <w:b/>
        <w:sz w:val="18"/>
      </w:rPr>
      <w:fldChar w:fldCharType="separate"/>
    </w:r>
    <w:r w:rsidR="00AE170C">
      <w:rPr>
        <w:b/>
        <w:noProof/>
        <w:sz w:val="18"/>
      </w:rPr>
      <w:t>1</w:t>
    </w:r>
    <w:r w:rsidR="00D47942" w:rsidRPr="00324A0D">
      <w:rPr>
        <w:b/>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4338" w14:textId="0ED96F08" w:rsidR="00AA5F0F" w:rsidRDefault="005944B4" w:rsidP="005944B4">
    <w:pPr>
      <w:pStyle w:val="Zhlav"/>
      <w:pBdr>
        <w:top w:val="single" w:sz="4" w:space="1" w:color="auto"/>
        <w:bottom w:val="single" w:sz="4" w:space="1" w:color="auto"/>
      </w:pBdr>
      <w:tabs>
        <w:tab w:val="clear" w:pos="4703"/>
        <w:tab w:val="clear" w:pos="9406"/>
        <w:tab w:val="right" w:pos="9071"/>
      </w:tabs>
      <w:rPr>
        <w:b/>
        <w:sz w:val="18"/>
        <w:lang w:val="cs-CZ"/>
      </w:rPr>
    </w:pPr>
    <w:r w:rsidRPr="009E6925">
      <w:rPr>
        <w:b/>
        <w:sz w:val="18"/>
        <w:lang w:val="cs-CZ"/>
      </w:rPr>
      <w:t xml:space="preserve">Rámcová smlouva č. </w:t>
    </w:r>
    <w:r w:rsidR="00E43C59" w:rsidRPr="009E6925">
      <w:rPr>
        <w:b/>
        <w:sz w:val="18"/>
        <w:lang w:val="cs-CZ"/>
      </w:rPr>
      <w:t>2020005181</w:t>
    </w:r>
    <w:r w:rsidR="000F16D8" w:rsidRPr="009E6925">
      <w:rPr>
        <w:b/>
        <w:sz w:val="18"/>
        <w:lang w:val="cs-CZ"/>
      </w:rPr>
      <w:t xml:space="preserve"> – d</w:t>
    </w:r>
    <w:r w:rsidRPr="009E6925">
      <w:rPr>
        <w:b/>
        <w:sz w:val="18"/>
        <w:lang w:val="cs-CZ"/>
      </w:rPr>
      <w:t>odatek č.</w:t>
    </w:r>
    <w:r w:rsidR="00E43C59" w:rsidRPr="009E6925">
      <w:rPr>
        <w:b/>
        <w:sz w:val="18"/>
        <w:lang w:val="cs-CZ"/>
      </w:rPr>
      <w:t>1</w:t>
    </w:r>
    <w:r w:rsidR="00102941" w:rsidRPr="009E6925">
      <w:rPr>
        <w:b/>
        <w:sz w:val="18"/>
        <w:lang w:val="cs-CZ"/>
      </w:rPr>
      <w:t xml:space="preserve"> - Příloha č. 2</w:t>
    </w:r>
    <w:r>
      <w:rPr>
        <w:b/>
        <w:sz w:val="18"/>
        <w:lang w:val="cs-CZ"/>
      </w:rPr>
      <w:tab/>
    </w:r>
    <w:r w:rsidR="00AA5F0F">
      <w:rPr>
        <w:b/>
        <w:sz w:val="18"/>
        <w:lang w:val="cs-CZ"/>
      </w:rPr>
      <w:t xml:space="preserve">strana </w:t>
    </w:r>
    <w:r w:rsidR="005F704E">
      <w:rPr>
        <w:rStyle w:val="slostrnky"/>
        <w:b/>
        <w:sz w:val="18"/>
        <w:lang w:val="cs-CZ"/>
      </w:rPr>
      <w:fldChar w:fldCharType="begin"/>
    </w:r>
    <w:r w:rsidR="00AA5F0F">
      <w:rPr>
        <w:rStyle w:val="slostrnky"/>
        <w:b/>
        <w:sz w:val="18"/>
        <w:lang w:val="cs-CZ"/>
      </w:rPr>
      <w:instrText xml:space="preserve"> PAGE </w:instrText>
    </w:r>
    <w:r w:rsidR="005F704E">
      <w:rPr>
        <w:rStyle w:val="slostrnky"/>
        <w:b/>
        <w:sz w:val="18"/>
        <w:lang w:val="cs-CZ"/>
      </w:rPr>
      <w:fldChar w:fldCharType="separate"/>
    </w:r>
    <w:r w:rsidR="00AE170C">
      <w:rPr>
        <w:rStyle w:val="slostrnky"/>
        <w:b/>
        <w:noProof/>
        <w:sz w:val="18"/>
        <w:lang w:val="cs-CZ"/>
      </w:rPr>
      <w:t>2</w:t>
    </w:r>
    <w:r w:rsidR="005F704E">
      <w:rPr>
        <w:rStyle w:val="slostrnky"/>
        <w:b/>
        <w:sz w:val="18"/>
        <w:lang w:val="cs-CZ"/>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ind w:left="720" w:hanging="720"/>
      </w:pPr>
    </w:lvl>
    <w:lvl w:ilvl="1">
      <w:start w:val="1"/>
      <w:numFmt w:val="lowerLetter"/>
      <w:lvlText w:val="%2)"/>
      <w:lvlJc w:val="left"/>
      <w:pPr>
        <w:ind w:left="1440" w:hanging="87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3669DC"/>
    <w:multiLevelType w:val="hybridMultilevel"/>
    <w:tmpl w:val="79C60BCE"/>
    <w:lvl w:ilvl="0" w:tplc="D1AC2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357D84"/>
    <w:multiLevelType w:val="hybridMultilevel"/>
    <w:tmpl w:val="2000F5AC"/>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CC44FC"/>
    <w:multiLevelType w:val="hybridMultilevel"/>
    <w:tmpl w:val="6CDEFAE0"/>
    <w:lvl w:ilvl="0" w:tplc="E60A8D7C">
      <w:start w:val="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301CA7"/>
    <w:multiLevelType w:val="hybridMultilevel"/>
    <w:tmpl w:val="C28C09FA"/>
    <w:lvl w:ilvl="0" w:tplc="B6BCF0FA">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9D5B08"/>
    <w:multiLevelType w:val="multilevel"/>
    <w:tmpl w:val="AB22CFFA"/>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C17780D"/>
    <w:multiLevelType w:val="multilevel"/>
    <w:tmpl w:val="AAA2A03E"/>
    <w:lvl w:ilvl="0">
      <w:start w:val="1"/>
      <w:numFmt w:val="none"/>
      <w:suff w:val="nothing"/>
      <w:lvlText w:val=""/>
      <w:lvlJc w:val="center"/>
      <w:pPr>
        <w:ind w:left="851" w:hanging="563"/>
      </w:pPr>
      <w:rPr>
        <w:rFonts w:ascii="Times New Roman" w:hAnsi="Times New Roman" w:hint="default"/>
        <w:b/>
        <w:i w:val="0"/>
        <w:sz w:val="24"/>
      </w:rPr>
    </w:lvl>
    <w:lvl w:ilvl="1">
      <w:start w:val="1"/>
      <w:numFmt w:val="decimal"/>
      <w:lvlText w:val="2%1.%2"/>
      <w:lvlJc w:val="left"/>
      <w:pPr>
        <w:tabs>
          <w:tab w:val="num" w:pos="851"/>
        </w:tabs>
        <w:ind w:left="851" w:hanging="851"/>
      </w:pPr>
      <w:rPr>
        <w:rFonts w:ascii="Times New Roman" w:hAnsi="Times New Roman" w:hint="default"/>
        <w:b w:val="0"/>
        <w:i w:val="0"/>
        <w:sz w:val="24"/>
      </w:rPr>
    </w:lvl>
    <w:lvl w:ilvl="2">
      <w:start w:val="1"/>
      <w:numFmt w:val="decimal"/>
      <w:lvlText w:val="%1.%2.%3"/>
      <w:lvlJc w:val="left"/>
      <w:pPr>
        <w:tabs>
          <w:tab w:val="num" w:pos="851"/>
        </w:tabs>
        <w:ind w:left="851" w:hanging="851"/>
      </w:pPr>
      <w:rPr>
        <w:rFonts w:ascii="Times New Roman" w:hAnsi="Times New Roman" w:hint="default"/>
        <w:b w:val="0"/>
        <w:i w:val="0"/>
        <w:sz w:val="22"/>
      </w:rPr>
    </w:lvl>
    <w:lvl w:ilvl="3">
      <w:start w:val="1"/>
      <w:numFmt w:val="decimal"/>
      <w:lvlText w:val="%1.%2.%3.%4"/>
      <w:lvlJc w:val="left"/>
      <w:pPr>
        <w:tabs>
          <w:tab w:val="num" w:pos="851"/>
        </w:tabs>
        <w:ind w:left="851" w:hanging="851"/>
      </w:pPr>
      <w:rPr>
        <w:rFonts w:ascii="Times New Roman" w:hAnsi="Times New Roman" w:hint="default"/>
        <w:b w:val="0"/>
        <w:i w:val="0"/>
        <w:sz w:val="20"/>
      </w:rPr>
    </w:lvl>
    <w:lvl w:ilvl="4">
      <w:start w:val="1"/>
      <w:numFmt w:val="decimal"/>
      <w:lvlText w:val="%1.%2.%3.%4.%5"/>
      <w:lvlJc w:val="left"/>
      <w:pPr>
        <w:tabs>
          <w:tab w:val="num" w:pos="1134"/>
        </w:tabs>
        <w:ind w:left="1134" w:hanging="1134"/>
      </w:pPr>
      <w:rPr>
        <w:rFonts w:ascii="Times New Roman" w:hAnsi="Times New Roman" w:hint="default"/>
        <w:b w:val="0"/>
        <w:i/>
        <w:sz w:val="20"/>
      </w:rPr>
    </w:lvl>
    <w:lvl w:ilvl="5">
      <w:start w:val="1"/>
      <w:numFmt w:val="decimal"/>
      <w:pStyle w:val="Nadpis6"/>
      <w:lvlText w:val="%1.%2.%3.%4.%5.%6"/>
      <w:lvlJc w:val="left"/>
      <w:pPr>
        <w:tabs>
          <w:tab w:val="num" w:pos="1134"/>
        </w:tabs>
        <w:ind w:left="1134" w:hanging="1134"/>
      </w:pPr>
      <w:rPr>
        <w:rFonts w:ascii="Times New Roman" w:hAnsi="Times New Roman" w:hint="default"/>
        <w:b w:val="0"/>
        <w:i w:val="0"/>
        <w:sz w:val="20"/>
      </w:rPr>
    </w:lvl>
    <w:lvl w:ilvl="6">
      <w:start w:val="1"/>
      <w:numFmt w:val="decimal"/>
      <w:pStyle w:val="Nadpis7"/>
      <w:lvlText w:val="%1.%2.%3.%4.%5.%6.%7"/>
      <w:lvlJc w:val="left"/>
      <w:pPr>
        <w:tabs>
          <w:tab w:val="num" w:pos="1134"/>
        </w:tabs>
        <w:ind w:left="1134" w:hanging="1134"/>
      </w:pPr>
      <w:rPr>
        <w:rFonts w:ascii="Times New Roman" w:hAnsi="Times New Roman" w:hint="default"/>
        <w:b w:val="0"/>
        <w:i w:val="0"/>
        <w:sz w:val="20"/>
        <w:u w:val="none"/>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0E31833"/>
    <w:multiLevelType w:val="hybridMultilevel"/>
    <w:tmpl w:val="47C49FB4"/>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1550FF0"/>
    <w:multiLevelType w:val="hybridMultilevel"/>
    <w:tmpl w:val="192E4C9E"/>
    <w:lvl w:ilvl="0" w:tplc="723AA990">
      <w:start w:val="2"/>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4A5DBE"/>
    <w:multiLevelType w:val="hybridMultilevel"/>
    <w:tmpl w:val="39F6F44C"/>
    <w:lvl w:ilvl="0" w:tplc="12DAB5BC">
      <w:start w:val="1"/>
      <w:numFmt w:val="decimal"/>
      <w:lvlText w:val="%1."/>
      <w:lvlJc w:val="left"/>
      <w:pPr>
        <w:tabs>
          <w:tab w:val="num" w:pos="786"/>
        </w:tabs>
        <w:ind w:left="786" w:hanging="360"/>
      </w:pPr>
    </w:lvl>
    <w:lvl w:ilvl="1" w:tplc="04050019" w:tentative="1">
      <w:start w:val="1"/>
      <w:numFmt w:val="lowerLetter"/>
      <w:lvlText w:val="%2."/>
      <w:lvlJc w:val="left"/>
      <w:pPr>
        <w:tabs>
          <w:tab w:val="num" w:pos="1470"/>
        </w:tabs>
        <w:ind w:left="1470" w:hanging="360"/>
      </w:p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0" w15:restartNumberingAfterBreak="0">
    <w:nsid w:val="42A32016"/>
    <w:multiLevelType w:val="hybridMultilevel"/>
    <w:tmpl w:val="1F3A6A8C"/>
    <w:lvl w:ilvl="0" w:tplc="F2207D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04"/>
        </w:tabs>
        <w:ind w:left="1404" w:hanging="360"/>
      </w:pPr>
    </w:lvl>
    <w:lvl w:ilvl="2" w:tplc="0405001B" w:tentative="1">
      <w:start w:val="1"/>
      <w:numFmt w:val="lowerRoman"/>
      <w:lvlText w:val="%3."/>
      <w:lvlJc w:val="right"/>
      <w:pPr>
        <w:tabs>
          <w:tab w:val="num" w:pos="2124"/>
        </w:tabs>
        <w:ind w:left="2124" w:hanging="180"/>
      </w:pPr>
    </w:lvl>
    <w:lvl w:ilvl="3" w:tplc="0405000F" w:tentative="1">
      <w:start w:val="1"/>
      <w:numFmt w:val="decimal"/>
      <w:lvlText w:val="%4."/>
      <w:lvlJc w:val="left"/>
      <w:pPr>
        <w:tabs>
          <w:tab w:val="num" w:pos="2844"/>
        </w:tabs>
        <w:ind w:left="2844" w:hanging="360"/>
      </w:pPr>
    </w:lvl>
    <w:lvl w:ilvl="4" w:tplc="04050019" w:tentative="1">
      <w:start w:val="1"/>
      <w:numFmt w:val="lowerLetter"/>
      <w:lvlText w:val="%5."/>
      <w:lvlJc w:val="left"/>
      <w:pPr>
        <w:tabs>
          <w:tab w:val="num" w:pos="3564"/>
        </w:tabs>
        <w:ind w:left="3564" w:hanging="360"/>
      </w:pPr>
    </w:lvl>
    <w:lvl w:ilvl="5" w:tplc="0405001B" w:tentative="1">
      <w:start w:val="1"/>
      <w:numFmt w:val="lowerRoman"/>
      <w:lvlText w:val="%6."/>
      <w:lvlJc w:val="right"/>
      <w:pPr>
        <w:tabs>
          <w:tab w:val="num" w:pos="4284"/>
        </w:tabs>
        <w:ind w:left="4284" w:hanging="180"/>
      </w:pPr>
    </w:lvl>
    <w:lvl w:ilvl="6" w:tplc="0405000F" w:tentative="1">
      <w:start w:val="1"/>
      <w:numFmt w:val="decimal"/>
      <w:lvlText w:val="%7."/>
      <w:lvlJc w:val="left"/>
      <w:pPr>
        <w:tabs>
          <w:tab w:val="num" w:pos="5004"/>
        </w:tabs>
        <w:ind w:left="5004" w:hanging="360"/>
      </w:pPr>
    </w:lvl>
    <w:lvl w:ilvl="7" w:tplc="04050019" w:tentative="1">
      <w:start w:val="1"/>
      <w:numFmt w:val="lowerLetter"/>
      <w:lvlText w:val="%8."/>
      <w:lvlJc w:val="left"/>
      <w:pPr>
        <w:tabs>
          <w:tab w:val="num" w:pos="5724"/>
        </w:tabs>
        <w:ind w:left="5724" w:hanging="360"/>
      </w:pPr>
    </w:lvl>
    <w:lvl w:ilvl="8" w:tplc="0405001B" w:tentative="1">
      <w:start w:val="1"/>
      <w:numFmt w:val="lowerRoman"/>
      <w:lvlText w:val="%9."/>
      <w:lvlJc w:val="right"/>
      <w:pPr>
        <w:tabs>
          <w:tab w:val="num" w:pos="6444"/>
        </w:tabs>
        <w:ind w:left="6444" w:hanging="180"/>
      </w:pPr>
    </w:lvl>
  </w:abstractNum>
  <w:abstractNum w:abstractNumId="11" w15:restartNumberingAfterBreak="0">
    <w:nsid w:val="448A2542"/>
    <w:multiLevelType w:val="multilevel"/>
    <w:tmpl w:val="363E7340"/>
    <w:name w:val="zzmpCSOBAgree||CSOB Agree|3|1|1|4|2|9||1|2|5||1|2|1||1|2|0||1|2|0||1|4|0||1|4|0||1|4|0||1|4|0||"/>
    <w:lvl w:ilvl="0">
      <w:start w:val="1"/>
      <w:numFmt w:val="decimal"/>
      <w:lvlText w:val="7.%1"/>
      <w:lvlJc w:val="left"/>
      <w:pPr>
        <w:tabs>
          <w:tab w:val="num" w:pos="567"/>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5BA3C1F"/>
    <w:multiLevelType w:val="hybridMultilevel"/>
    <w:tmpl w:val="4A66B092"/>
    <w:lvl w:ilvl="0" w:tplc="75940AE8">
      <w:start w:val="1"/>
      <w:numFmt w:val="decimal"/>
      <w:lvlText w:val="%1."/>
      <w:lvlJc w:val="left"/>
      <w:pPr>
        <w:tabs>
          <w:tab w:val="num" w:pos="720"/>
        </w:tabs>
        <w:ind w:left="720" w:hanging="360"/>
      </w:pPr>
      <w:rPr>
        <w:rFonts w:hint="default"/>
      </w:rPr>
    </w:lvl>
    <w:lvl w:ilvl="1" w:tplc="C55A942C"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3" w15:restartNumberingAfterBreak="0">
    <w:nsid w:val="49A922E5"/>
    <w:multiLevelType w:val="hybridMultilevel"/>
    <w:tmpl w:val="CA083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104B36"/>
    <w:multiLevelType w:val="hybridMultilevel"/>
    <w:tmpl w:val="CE4A6CB4"/>
    <w:lvl w:ilvl="0" w:tplc="04050017">
      <w:start w:val="26"/>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F812194"/>
    <w:multiLevelType w:val="hybridMultilevel"/>
    <w:tmpl w:val="EB2CB14E"/>
    <w:name w:val="bada"/>
    <w:lvl w:ilvl="0" w:tplc="56E0643C">
      <w:start w:val="1"/>
      <w:numFmt w:val="decimal"/>
      <w:lvlText w:val="%1."/>
      <w:lvlJc w:val="left"/>
      <w:pPr>
        <w:tabs>
          <w:tab w:val="num" w:pos="720"/>
        </w:tabs>
        <w:ind w:left="720" w:hanging="360"/>
      </w:pPr>
    </w:lvl>
    <w:lvl w:ilvl="1" w:tplc="42AC1DF2" w:tentative="1">
      <w:start w:val="1"/>
      <w:numFmt w:val="lowerLetter"/>
      <w:lvlText w:val="%2."/>
      <w:lvlJc w:val="left"/>
      <w:pPr>
        <w:tabs>
          <w:tab w:val="num" w:pos="1404"/>
        </w:tabs>
        <w:ind w:left="1404" w:hanging="360"/>
      </w:pPr>
    </w:lvl>
    <w:lvl w:ilvl="2" w:tplc="695AFC52" w:tentative="1">
      <w:start w:val="1"/>
      <w:numFmt w:val="lowerRoman"/>
      <w:lvlText w:val="%3."/>
      <w:lvlJc w:val="right"/>
      <w:pPr>
        <w:tabs>
          <w:tab w:val="num" w:pos="2124"/>
        </w:tabs>
        <w:ind w:left="2124" w:hanging="180"/>
      </w:pPr>
    </w:lvl>
    <w:lvl w:ilvl="3" w:tplc="0405000F" w:tentative="1">
      <w:start w:val="1"/>
      <w:numFmt w:val="decimal"/>
      <w:lvlText w:val="%4."/>
      <w:lvlJc w:val="left"/>
      <w:pPr>
        <w:tabs>
          <w:tab w:val="num" w:pos="2844"/>
        </w:tabs>
        <w:ind w:left="2844" w:hanging="360"/>
      </w:pPr>
    </w:lvl>
    <w:lvl w:ilvl="4" w:tplc="04050019" w:tentative="1">
      <w:start w:val="1"/>
      <w:numFmt w:val="lowerLetter"/>
      <w:lvlText w:val="%5."/>
      <w:lvlJc w:val="left"/>
      <w:pPr>
        <w:tabs>
          <w:tab w:val="num" w:pos="3564"/>
        </w:tabs>
        <w:ind w:left="3564" w:hanging="360"/>
      </w:pPr>
    </w:lvl>
    <w:lvl w:ilvl="5" w:tplc="0405001B" w:tentative="1">
      <w:start w:val="1"/>
      <w:numFmt w:val="lowerRoman"/>
      <w:lvlText w:val="%6."/>
      <w:lvlJc w:val="right"/>
      <w:pPr>
        <w:tabs>
          <w:tab w:val="num" w:pos="4284"/>
        </w:tabs>
        <w:ind w:left="4284" w:hanging="180"/>
      </w:pPr>
    </w:lvl>
    <w:lvl w:ilvl="6" w:tplc="0405000F" w:tentative="1">
      <w:start w:val="1"/>
      <w:numFmt w:val="decimal"/>
      <w:lvlText w:val="%7."/>
      <w:lvlJc w:val="left"/>
      <w:pPr>
        <w:tabs>
          <w:tab w:val="num" w:pos="5004"/>
        </w:tabs>
        <w:ind w:left="5004" w:hanging="360"/>
      </w:pPr>
    </w:lvl>
    <w:lvl w:ilvl="7" w:tplc="04050019" w:tentative="1">
      <w:start w:val="1"/>
      <w:numFmt w:val="lowerLetter"/>
      <w:lvlText w:val="%8."/>
      <w:lvlJc w:val="left"/>
      <w:pPr>
        <w:tabs>
          <w:tab w:val="num" w:pos="5724"/>
        </w:tabs>
        <w:ind w:left="5724" w:hanging="360"/>
      </w:pPr>
    </w:lvl>
    <w:lvl w:ilvl="8" w:tplc="0405001B" w:tentative="1">
      <w:start w:val="1"/>
      <w:numFmt w:val="lowerRoman"/>
      <w:lvlText w:val="%9."/>
      <w:lvlJc w:val="right"/>
      <w:pPr>
        <w:tabs>
          <w:tab w:val="num" w:pos="6444"/>
        </w:tabs>
        <w:ind w:left="6444" w:hanging="180"/>
      </w:pPr>
    </w:lvl>
  </w:abstractNum>
  <w:abstractNum w:abstractNumId="16" w15:restartNumberingAfterBreak="0">
    <w:nsid w:val="600269CD"/>
    <w:multiLevelType w:val="multilevel"/>
    <w:tmpl w:val="3E0CCF06"/>
    <w:lvl w:ilvl="0">
      <w:start w:val="1"/>
      <w:numFmt w:val="decimal"/>
      <w:lvlText w:val="2.%1"/>
      <w:lvlJc w:val="left"/>
      <w:pPr>
        <w:tabs>
          <w:tab w:val="num" w:pos="567"/>
        </w:tabs>
        <w:ind w:left="567" w:hanging="567"/>
      </w:pPr>
      <w:rPr>
        <w:rFonts w:hint="default"/>
      </w:rPr>
    </w:lvl>
    <w:lvl w:ilvl="1">
      <w:start w:val="5"/>
      <w:numFmt w:val="lowerLetter"/>
      <w:lvlText w:val="(%2)"/>
      <w:lvlJc w:val="left"/>
      <w:pPr>
        <w:tabs>
          <w:tab w:val="num" w:pos="567"/>
        </w:tabs>
        <w:ind w:left="1134"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1F65D24"/>
    <w:multiLevelType w:val="hybridMultilevel"/>
    <w:tmpl w:val="5636D200"/>
    <w:lvl w:ilvl="0" w:tplc="2BD6088C">
      <w:start w:val="1"/>
      <w:numFmt w:val="decimal"/>
      <w:lvlText w:val="%1."/>
      <w:lvlJc w:val="left"/>
      <w:pPr>
        <w:tabs>
          <w:tab w:val="num" w:pos="-1044"/>
        </w:tabs>
        <w:ind w:left="-1044" w:hanging="360"/>
      </w:pPr>
      <w:rPr>
        <w:rFonts w:hint="default"/>
      </w:rPr>
    </w:lvl>
    <w:lvl w:ilvl="1" w:tplc="04050019">
      <w:start w:val="1"/>
      <w:numFmt w:val="decimal"/>
      <w:lvlText w:val="%2."/>
      <w:lvlJc w:val="left"/>
      <w:pPr>
        <w:tabs>
          <w:tab w:val="num" w:pos="-684"/>
        </w:tabs>
        <w:ind w:left="-684" w:hanging="360"/>
      </w:pPr>
      <w:rPr>
        <w:rFonts w:hint="default"/>
      </w:rPr>
    </w:lvl>
    <w:lvl w:ilvl="2" w:tplc="0405001B">
      <w:start w:val="1"/>
      <w:numFmt w:val="lowerLetter"/>
      <w:lvlText w:val="%3)"/>
      <w:lvlJc w:val="left"/>
      <w:pPr>
        <w:tabs>
          <w:tab w:val="num" w:pos="216"/>
        </w:tabs>
        <w:ind w:left="216" w:hanging="360"/>
      </w:pPr>
      <w:rPr>
        <w:rFonts w:hint="default"/>
      </w:rPr>
    </w:lvl>
    <w:lvl w:ilvl="3" w:tplc="0405000F">
      <w:start w:val="1"/>
      <w:numFmt w:val="decimal"/>
      <w:lvlText w:val="%4."/>
      <w:lvlJc w:val="left"/>
      <w:pPr>
        <w:tabs>
          <w:tab w:val="num" w:pos="756"/>
        </w:tabs>
        <w:ind w:left="756" w:hanging="360"/>
      </w:pPr>
    </w:lvl>
    <w:lvl w:ilvl="4" w:tplc="04050019">
      <w:start w:val="1"/>
      <w:numFmt w:val="lowerLetter"/>
      <w:lvlText w:val="%5."/>
      <w:lvlJc w:val="left"/>
      <w:pPr>
        <w:tabs>
          <w:tab w:val="num" w:pos="1476"/>
        </w:tabs>
        <w:ind w:left="1476" w:hanging="360"/>
      </w:pPr>
    </w:lvl>
    <w:lvl w:ilvl="5" w:tplc="0405001B" w:tentative="1">
      <w:start w:val="1"/>
      <w:numFmt w:val="lowerRoman"/>
      <w:lvlText w:val="%6."/>
      <w:lvlJc w:val="right"/>
      <w:pPr>
        <w:tabs>
          <w:tab w:val="num" w:pos="2196"/>
        </w:tabs>
        <w:ind w:left="2196" w:hanging="180"/>
      </w:pPr>
    </w:lvl>
    <w:lvl w:ilvl="6" w:tplc="0405000F" w:tentative="1">
      <w:start w:val="1"/>
      <w:numFmt w:val="decimal"/>
      <w:lvlText w:val="%7."/>
      <w:lvlJc w:val="left"/>
      <w:pPr>
        <w:tabs>
          <w:tab w:val="num" w:pos="2916"/>
        </w:tabs>
        <w:ind w:left="2916" w:hanging="360"/>
      </w:pPr>
    </w:lvl>
    <w:lvl w:ilvl="7" w:tplc="04050019" w:tentative="1">
      <w:start w:val="1"/>
      <w:numFmt w:val="lowerLetter"/>
      <w:lvlText w:val="%8."/>
      <w:lvlJc w:val="left"/>
      <w:pPr>
        <w:tabs>
          <w:tab w:val="num" w:pos="3636"/>
        </w:tabs>
        <w:ind w:left="3636" w:hanging="360"/>
      </w:pPr>
    </w:lvl>
    <w:lvl w:ilvl="8" w:tplc="0405001B" w:tentative="1">
      <w:start w:val="1"/>
      <w:numFmt w:val="lowerRoman"/>
      <w:lvlText w:val="%9."/>
      <w:lvlJc w:val="right"/>
      <w:pPr>
        <w:tabs>
          <w:tab w:val="num" w:pos="4356"/>
        </w:tabs>
        <w:ind w:left="4356" w:hanging="180"/>
      </w:pPr>
    </w:lvl>
  </w:abstractNum>
  <w:abstractNum w:abstractNumId="18" w15:restartNumberingAfterBreak="0">
    <w:nsid w:val="669E1511"/>
    <w:multiLevelType w:val="multilevel"/>
    <w:tmpl w:val="D5FE1DF8"/>
    <w:lvl w:ilvl="0">
      <w:start w:val="2"/>
      <w:numFmt w:val="decimal"/>
      <w:lvlText w:val="%1"/>
      <w:lvlJc w:val="left"/>
      <w:pPr>
        <w:ind w:left="360" w:hanging="360"/>
      </w:pPr>
      <w:rPr>
        <w:rFonts w:hint="default"/>
        <w:b/>
        <w:u w:val="single"/>
      </w:rPr>
    </w:lvl>
    <w:lvl w:ilvl="1">
      <w:start w:val="15"/>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9" w15:restartNumberingAfterBreak="0">
    <w:nsid w:val="6B834D64"/>
    <w:multiLevelType w:val="hybridMultilevel"/>
    <w:tmpl w:val="8758D2EE"/>
    <w:lvl w:ilvl="0" w:tplc="A77CAD2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F393BA8"/>
    <w:multiLevelType w:val="hybridMultilevel"/>
    <w:tmpl w:val="A8C0560C"/>
    <w:lvl w:ilvl="0" w:tplc="A54CBC66">
      <w:start w:val="13"/>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7135BF"/>
    <w:multiLevelType w:val="hybridMultilevel"/>
    <w:tmpl w:val="58B0C374"/>
    <w:lvl w:ilvl="0" w:tplc="DBBAEB0C">
      <w:start w:val="13"/>
      <w:numFmt w:val="decimal"/>
      <w:lvlText w:val="%1."/>
      <w:lvlJc w:val="left"/>
      <w:pPr>
        <w:ind w:left="360" w:hanging="360"/>
      </w:pPr>
      <w:rPr>
        <w:rFonts w:hint="default"/>
        <w:b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4E54328"/>
    <w:multiLevelType w:val="hybridMultilevel"/>
    <w:tmpl w:val="973A0472"/>
    <w:lvl w:ilvl="0" w:tplc="26C017D4">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ind w:left="324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61E1FE5"/>
    <w:multiLevelType w:val="singleLevel"/>
    <w:tmpl w:val="B816DC18"/>
    <w:lvl w:ilvl="0">
      <w:start w:val="1"/>
      <w:numFmt w:val="bullet"/>
      <w:pStyle w:val="odrka"/>
      <w:lvlText w:val=""/>
      <w:lvlJc w:val="left"/>
      <w:pPr>
        <w:tabs>
          <w:tab w:val="num" w:pos="360"/>
        </w:tabs>
        <w:ind w:left="360" w:hanging="360"/>
      </w:pPr>
      <w:rPr>
        <w:rFonts w:ascii="Symbol" w:hAnsi="Symbol" w:hint="default"/>
      </w:rPr>
    </w:lvl>
  </w:abstractNum>
  <w:abstractNum w:abstractNumId="24" w15:restartNumberingAfterBreak="0">
    <w:nsid w:val="7F2F054F"/>
    <w:multiLevelType w:val="hybridMultilevel"/>
    <w:tmpl w:val="C3B81722"/>
    <w:lvl w:ilvl="0" w:tplc="B4D49B3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3204"/>
        </w:tabs>
        <w:ind w:left="3204" w:hanging="360"/>
      </w:pPr>
    </w:lvl>
    <w:lvl w:ilvl="2" w:tplc="4992B4BA" w:tentative="1">
      <w:start w:val="1"/>
      <w:numFmt w:val="lowerRoman"/>
      <w:lvlText w:val="%3."/>
      <w:lvlJc w:val="right"/>
      <w:pPr>
        <w:tabs>
          <w:tab w:val="num" w:pos="3924"/>
        </w:tabs>
        <w:ind w:left="3924" w:hanging="180"/>
      </w:pPr>
    </w:lvl>
    <w:lvl w:ilvl="3" w:tplc="0874C1EC"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num w:numId="1">
    <w:abstractNumId w:val="6"/>
  </w:num>
  <w:num w:numId="2">
    <w:abstractNumId w:val="14"/>
  </w:num>
  <w:num w:numId="3">
    <w:abstractNumId w:val="23"/>
  </w:num>
  <w:num w:numId="4">
    <w:abstractNumId w:val="5"/>
  </w:num>
  <w:num w:numId="5">
    <w:abstractNumId w:val="13"/>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8"/>
  </w:num>
  <w:num w:numId="20">
    <w:abstractNumId w:val="8"/>
  </w:num>
  <w:num w:numId="21">
    <w:abstractNumId w:val="21"/>
  </w:num>
  <w:num w:numId="22">
    <w:abstractNumId w:val="20"/>
  </w:num>
  <w:num w:numId="23">
    <w:abstractNumId w:val="0"/>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258m07JTIJAgdJ1sLCs+4C+hAPaiAa1PYsyxaaXIPOOw+Vgnq7Z07FcP+as49dnGi4m6g+DOo8TKRFWtulQwcA==" w:salt="Adlx5FhLPU787xmNON65Yg=="/>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BB"/>
    <w:rsid w:val="00000626"/>
    <w:rsid w:val="00003B1B"/>
    <w:rsid w:val="0001761A"/>
    <w:rsid w:val="00024F40"/>
    <w:rsid w:val="000276C3"/>
    <w:rsid w:val="00030C66"/>
    <w:rsid w:val="00053143"/>
    <w:rsid w:val="00061B3E"/>
    <w:rsid w:val="00062589"/>
    <w:rsid w:val="0006767E"/>
    <w:rsid w:val="00070A96"/>
    <w:rsid w:val="00074119"/>
    <w:rsid w:val="00083246"/>
    <w:rsid w:val="00085178"/>
    <w:rsid w:val="000855FA"/>
    <w:rsid w:val="00092555"/>
    <w:rsid w:val="000A3E9D"/>
    <w:rsid w:val="000A4CC3"/>
    <w:rsid w:val="000B7994"/>
    <w:rsid w:val="000C41F1"/>
    <w:rsid w:val="000C48E4"/>
    <w:rsid w:val="000C4EE0"/>
    <w:rsid w:val="000E36F9"/>
    <w:rsid w:val="000E4332"/>
    <w:rsid w:val="000E44B8"/>
    <w:rsid w:val="000E47BB"/>
    <w:rsid w:val="000F16D8"/>
    <w:rsid w:val="00102941"/>
    <w:rsid w:val="00107F2A"/>
    <w:rsid w:val="00113F11"/>
    <w:rsid w:val="001154B9"/>
    <w:rsid w:val="00121C88"/>
    <w:rsid w:val="0012263C"/>
    <w:rsid w:val="00123CDF"/>
    <w:rsid w:val="00131A95"/>
    <w:rsid w:val="00134202"/>
    <w:rsid w:val="00137D03"/>
    <w:rsid w:val="001467CB"/>
    <w:rsid w:val="0014755D"/>
    <w:rsid w:val="0015260F"/>
    <w:rsid w:val="00153629"/>
    <w:rsid w:val="00155F73"/>
    <w:rsid w:val="00173EC1"/>
    <w:rsid w:val="0018062F"/>
    <w:rsid w:val="00183E6F"/>
    <w:rsid w:val="00184C4B"/>
    <w:rsid w:val="001A0ED3"/>
    <w:rsid w:val="001C140D"/>
    <w:rsid w:val="001C5E44"/>
    <w:rsid w:val="001C6318"/>
    <w:rsid w:val="001D20B0"/>
    <w:rsid w:val="001D694C"/>
    <w:rsid w:val="001E15E1"/>
    <w:rsid w:val="001E4A7E"/>
    <w:rsid w:val="001F0B0A"/>
    <w:rsid w:val="001F1060"/>
    <w:rsid w:val="001F4A59"/>
    <w:rsid w:val="001F4D6C"/>
    <w:rsid w:val="001F7EBE"/>
    <w:rsid w:val="00201D71"/>
    <w:rsid w:val="00205B17"/>
    <w:rsid w:val="0024286E"/>
    <w:rsid w:val="002578EF"/>
    <w:rsid w:val="00261D7F"/>
    <w:rsid w:val="002643A7"/>
    <w:rsid w:val="00264544"/>
    <w:rsid w:val="00272F38"/>
    <w:rsid w:val="0027356A"/>
    <w:rsid w:val="0027463A"/>
    <w:rsid w:val="00282C91"/>
    <w:rsid w:val="00293945"/>
    <w:rsid w:val="002A23E3"/>
    <w:rsid w:val="002B1A7D"/>
    <w:rsid w:val="002B5CF8"/>
    <w:rsid w:val="002B7BA6"/>
    <w:rsid w:val="002B7EDC"/>
    <w:rsid w:val="002C3252"/>
    <w:rsid w:val="002C54AF"/>
    <w:rsid w:val="002D4141"/>
    <w:rsid w:val="002D5A87"/>
    <w:rsid w:val="002E03C4"/>
    <w:rsid w:val="002E2284"/>
    <w:rsid w:val="002F4C70"/>
    <w:rsid w:val="00310D58"/>
    <w:rsid w:val="00312F2D"/>
    <w:rsid w:val="00334FF6"/>
    <w:rsid w:val="00336E1D"/>
    <w:rsid w:val="00345538"/>
    <w:rsid w:val="003507EA"/>
    <w:rsid w:val="003531FE"/>
    <w:rsid w:val="00355C32"/>
    <w:rsid w:val="00357A9A"/>
    <w:rsid w:val="00361A36"/>
    <w:rsid w:val="00362860"/>
    <w:rsid w:val="003629DA"/>
    <w:rsid w:val="0036420E"/>
    <w:rsid w:val="00370A47"/>
    <w:rsid w:val="003730DE"/>
    <w:rsid w:val="00381817"/>
    <w:rsid w:val="00382A08"/>
    <w:rsid w:val="0038422A"/>
    <w:rsid w:val="00386C00"/>
    <w:rsid w:val="00393FA5"/>
    <w:rsid w:val="003A4A93"/>
    <w:rsid w:val="003B3C9C"/>
    <w:rsid w:val="003C0F62"/>
    <w:rsid w:val="003C10FE"/>
    <w:rsid w:val="003D3B48"/>
    <w:rsid w:val="003D4773"/>
    <w:rsid w:val="003D4DB1"/>
    <w:rsid w:val="003E5A2B"/>
    <w:rsid w:val="003E7BE1"/>
    <w:rsid w:val="003F038D"/>
    <w:rsid w:val="003F57F6"/>
    <w:rsid w:val="003F5B86"/>
    <w:rsid w:val="00400CE3"/>
    <w:rsid w:val="0040145F"/>
    <w:rsid w:val="004024FA"/>
    <w:rsid w:val="00402EC3"/>
    <w:rsid w:val="00405E6A"/>
    <w:rsid w:val="00407866"/>
    <w:rsid w:val="00413C28"/>
    <w:rsid w:val="00420AC7"/>
    <w:rsid w:val="00422709"/>
    <w:rsid w:val="0042621B"/>
    <w:rsid w:val="0042761A"/>
    <w:rsid w:val="00431DEB"/>
    <w:rsid w:val="00443EBA"/>
    <w:rsid w:val="00450624"/>
    <w:rsid w:val="00456AC6"/>
    <w:rsid w:val="0046284E"/>
    <w:rsid w:val="004705A2"/>
    <w:rsid w:val="00484717"/>
    <w:rsid w:val="00485A08"/>
    <w:rsid w:val="00495955"/>
    <w:rsid w:val="004A3375"/>
    <w:rsid w:val="004A6360"/>
    <w:rsid w:val="004B16EB"/>
    <w:rsid w:val="004B2466"/>
    <w:rsid w:val="004B336A"/>
    <w:rsid w:val="004C0561"/>
    <w:rsid w:val="004C2EAD"/>
    <w:rsid w:val="004C5574"/>
    <w:rsid w:val="004C69DD"/>
    <w:rsid w:val="004C6DFA"/>
    <w:rsid w:val="004C7377"/>
    <w:rsid w:val="004D06E2"/>
    <w:rsid w:val="004D0A25"/>
    <w:rsid w:val="004E0722"/>
    <w:rsid w:val="004E1DDD"/>
    <w:rsid w:val="004E4081"/>
    <w:rsid w:val="004E5E05"/>
    <w:rsid w:val="004E7519"/>
    <w:rsid w:val="004F1352"/>
    <w:rsid w:val="00502400"/>
    <w:rsid w:val="00503928"/>
    <w:rsid w:val="00505391"/>
    <w:rsid w:val="00505531"/>
    <w:rsid w:val="0050670C"/>
    <w:rsid w:val="00511B85"/>
    <w:rsid w:val="00517887"/>
    <w:rsid w:val="005204AC"/>
    <w:rsid w:val="005207E4"/>
    <w:rsid w:val="00520F01"/>
    <w:rsid w:val="0052353E"/>
    <w:rsid w:val="005252D3"/>
    <w:rsid w:val="00526CD9"/>
    <w:rsid w:val="00530B1E"/>
    <w:rsid w:val="00547CCC"/>
    <w:rsid w:val="00563F15"/>
    <w:rsid w:val="00564F33"/>
    <w:rsid w:val="00571D8F"/>
    <w:rsid w:val="00572C9D"/>
    <w:rsid w:val="00573656"/>
    <w:rsid w:val="00576FE7"/>
    <w:rsid w:val="00580CE1"/>
    <w:rsid w:val="00590B22"/>
    <w:rsid w:val="00593B46"/>
    <w:rsid w:val="005944B4"/>
    <w:rsid w:val="005A0096"/>
    <w:rsid w:val="005A67EB"/>
    <w:rsid w:val="005B211B"/>
    <w:rsid w:val="005B6C73"/>
    <w:rsid w:val="005C07EF"/>
    <w:rsid w:val="005C6BCF"/>
    <w:rsid w:val="005D55D0"/>
    <w:rsid w:val="005D6D92"/>
    <w:rsid w:val="005F14E9"/>
    <w:rsid w:val="005F1908"/>
    <w:rsid w:val="005F26FB"/>
    <w:rsid w:val="005F704E"/>
    <w:rsid w:val="006030A3"/>
    <w:rsid w:val="00606ACE"/>
    <w:rsid w:val="00611CE9"/>
    <w:rsid w:val="006279C0"/>
    <w:rsid w:val="006412EB"/>
    <w:rsid w:val="00644916"/>
    <w:rsid w:val="006566B4"/>
    <w:rsid w:val="00661461"/>
    <w:rsid w:val="0066683F"/>
    <w:rsid w:val="00675916"/>
    <w:rsid w:val="0068006B"/>
    <w:rsid w:val="006828A7"/>
    <w:rsid w:val="00682A63"/>
    <w:rsid w:val="006846E7"/>
    <w:rsid w:val="006939D4"/>
    <w:rsid w:val="0069659E"/>
    <w:rsid w:val="006A6D94"/>
    <w:rsid w:val="006A7D02"/>
    <w:rsid w:val="006B0340"/>
    <w:rsid w:val="006B4E7A"/>
    <w:rsid w:val="006C1E64"/>
    <w:rsid w:val="006C28E1"/>
    <w:rsid w:val="006C5F86"/>
    <w:rsid w:val="006C644B"/>
    <w:rsid w:val="006C74FD"/>
    <w:rsid w:val="006D4F9B"/>
    <w:rsid w:val="006E0614"/>
    <w:rsid w:val="006E54D5"/>
    <w:rsid w:val="006F13ED"/>
    <w:rsid w:val="006F7283"/>
    <w:rsid w:val="007016C6"/>
    <w:rsid w:val="00701E08"/>
    <w:rsid w:val="00712274"/>
    <w:rsid w:val="00720934"/>
    <w:rsid w:val="00723B82"/>
    <w:rsid w:val="00730CBE"/>
    <w:rsid w:val="007414D2"/>
    <w:rsid w:val="0076081F"/>
    <w:rsid w:val="007637B9"/>
    <w:rsid w:val="0077526B"/>
    <w:rsid w:val="0078156E"/>
    <w:rsid w:val="00795FF2"/>
    <w:rsid w:val="007A0C02"/>
    <w:rsid w:val="007A5C0A"/>
    <w:rsid w:val="007B352D"/>
    <w:rsid w:val="007B5096"/>
    <w:rsid w:val="007C2A84"/>
    <w:rsid w:val="007C65FD"/>
    <w:rsid w:val="007D2F73"/>
    <w:rsid w:val="007D762D"/>
    <w:rsid w:val="007E4427"/>
    <w:rsid w:val="007E47E1"/>
    <w:rsid w:val="00800C06"/>
    <w:rsid w:val="00802406"/>
    <w:rsid w:val="00815A3A"/>
    <w:rsid w:val="008230EF"/>
    <w:rsid w:val="0082486A"/>
    <w:rsid w:val="0083051D"/>
    <w:rsid w:val="008372E7"/>
    <w:rsid w:val="00837945"/>
    <w:rsid w:val="00846037"/>
    <w:rsid w:val="008550BE"/>
    <w:rsid w:val="00857E2D"/>
    <w:rsid w:val="00864604"/>
    <w:rsid w:val="00866A04"/>
    <w:rsid w:val="0087663F"/>
    <w:rsid w:val="00892450"/>
    <w:rsid w:val="008A13EC"/>
    <w:rsid w:val="008A2025"/>
    <w:rsid w:val="008A4904"/>
    <w:rsid w:val="008B5C8E"/>
    <w:rsid w:val="008B6B2B"/>
    <w:rsid w:val="008C15DC"/>
    <w:rsid w:val="008C2D41"/>
    <w:rsid w:val="008C398E"/>
    <w:rsid w:val="008C65F8"/>
    <w:rsid w:val="008C7E39"/>
    <w:rsid w:val="008D1DD2"/>
    <w:rsid w:val="008F0D8A"/>
    <w:rsid w:val="008F56FD"/>
    <w:rsid w:val="00906AAA"/>
    <w:rsid w:val="00910419"/>
    <w:rsid w:val="00910AE3"/>
    <w:rsid w:val="00912B99"/>
    <w:rsid w:val="009137BF"/>
    <w:rsid w:val="00915D84"/>
    <w:rsid w:val="00920FFA"/>
    <w:rsid w:val="009263C0"/>
    <w:rsid w:val="009273B1"/>
    <w:rsid w:val="00950BC6"/>
    <w:rsid w:val="009603A6"/>
    <w:rsid w:val="009661D2"/>
    <w:rsid w:val="00974C11"/>
    <w:rsid w:val="00977210"/>
    <w:rsid w:val="009814FC"/>
    <w:rsid w:val="00983F05"/>
    <w:rsid w:val="00984133"/>
    <w:rsid w:val="00986F53"/>
    <w:rsid w:val="009969A3"/>
    <w:rsid w:val="009A25EA"/>
    <w:rsid w:val="009A3DBB"/>
    <w:rsid w:val="009A5B70"/>
    <w:rsid w:val="009B1926"/>
    <w:rsid w:val="009B7AF0"/>
    <w:rsid w:val="009C63FB"/>
    <w:rsid w:val="009C79CF"/>
    <w:rsid w:val="009D4707"/>
    <w:rsid w:val="009E13CA"/>
    <w:rsid w:val="009E660D"/>
    <w:rsid w:val="009E6925"/>
    <w:rsid w:val="009E6A90"/>
    <w:rsid w:val="00A12DD1"/>
    <w:rsid w:val="00A1539F"/>
    <w:rsid w:val="00A16869"/>
    <w:rsid w:val="00A25F07"/>
    <w:rsid w:val="00A3337E"/>
    <w:rsid w:val="00A37529"/>
    <w:rsid w:val="00A41BA1"/>
    <w:rsid w:val="00A42C03"/>
    <w:rsid w:val="00A46EF7"/>
    <w:rsid w:val="00A52F65"/>
    <w:rsid w:val="00A532D2"/>
    <w:rsid w:val="00A54987"/>
    <w:rsid w:val="00A54D1A"/>
    <w:rsid w:val="00A63F5C"/>
    <w:rsid w:val="00A6465A"/>
    <w:rsid w:val="00A652AD"/>
    <w:rsid w:val="00A778A5"/>
    <w:rsid w:val="00A83EBC"/>
    <w:rsid w:val="00A87F4A"/>
    <w:rsid w:val="00AA388B"/>
    <w:rsid w:val="00AA5F0F"/>
    <w:rsid w:val="00AB7E9C"/>
    <w:rsid w:val="00AD1356"/>
    <w:rsid w:val="00AD4155"/>
    <w:rsid w:val="00AD5A46"/>
    <w:rsid w:val="00AD63E6"/>
    <w:rsid w:val="00AE170C"/>
    <w:rsid w:val="00AE1E01"/>
    <w:rsid w:val="00AE2B42"/>
    <w:rsid w:val="00AF33BB"/>
    <w:rsid w:val="00AF410F"/>
    <w:rsid w:val="00B0114E"/>
    <w:rsid w:val="00B029F0"/>
    <w:rsid w:val="00B11C18"/>
    <w:rsid w:val="00B209DC"/>
    <w:rsid w:val="00B34F04"/>
    <w:rsid w:val="00B4691C"/>
    <w:rsid w:val="00B521F9"/>
    <w:rsid w:val="00B6085A"/>
    <w:rsid w:val="00B6382F"/>
    <w:rsid w:val="00B80646"/>
    <w:rsid w:val="00B93C9E"/>
    <w:rsid w:val="00B95D6B"/>
    <w:rsid w:val="00BA2214"/>
    <w:rsid w:val="00BC5705"/>
    <w:rsid w:val="00BC5DDA"/>
    <w:rsid w:val="00BD0481"/>
    <w:rsid w:val="00BD0ECD"/>
    <w:rsid w:val="00BD1BDA"/>
    <w:rsid w:val="00BD33B8"/>
    <w:rsid w:val="00BD4538"/>
    <w:rsid w:val="00BE14B4"/>
    <w:rsid w:val="00BE36D1"/>
    <w:rsid w:val="00BE73FC"/>
    <w:rsid w:val="00BF6504"/>
    <w:rsid w:val="00BF66C1"/>
    <w:rsid w:val="00BF782D"/>
    <w:rsid w:val="00C05176"/>
    <w:rsid w:val="00C06209"/>
    <w:rsid w:val="00C124C8"/>
    <w:rsid w:val="00C12E6E"/>
    <w:rsid w:val="00C15F46"/>
    <w:rsid w:val="00C32AE4"/>
    <w:rsid w:val="00C3454A"/>
    <w:rsid w:val="00C3509E"/>
    <w:rsid w:val="00C42F28"/>
    <w:rsid w:val="00C533C4"/>
    <w:rsid w:val="00C5452C"/>
    <w:rsid w:val="00C6770D"/>
    <w:rsid w:val="00C70211"/>
    <w:rsid w:val="00C7797E"/>
    <w:rsid w:val="00C80112"/>
    <w:rsid w:val="00C80456"/>
    <w:rsid w:val="00C81A14"/>
    <w:rsid w:val="00C82487"/>
    <w:rsid w:val="00C924DC"/>
    <w:rsid w:val="00C960E4"/>
    <w:rsid w:val="00CA2778"/>
    <w:rsid w:val="00CB0058"/>
    <w:rsid w:val="00CB1BCC"/>
    <w:rsid w:val="00CB2267"/>
    <w:rsid w:val="00CB65D6"/>
    <w:rsid w:val="00CB7422"/>
    <w:rsid w:val="00CB7608"/>
    <w:rsid w:val="00CC1325"/>
    <w:rsid w:val="00CC33C2"/>
    <w:rsid w:val="00CD0B0E"/>
    <w:rsid w:val="00CD267D"/>
    <w:rsid w:val="00CE05AE"/>
    <w:rsid w:val="00CE2BB6"/>
    <w:rsid w:val="00CE5BDD"/>
    <w:rsid w:val="00CF7BCD"/>
    <w:rsid w:val="00D029BA"/>
    <w:rsid w:val="00D062D0"/>
    <w:rsid w:val="00D07CA2"/>
    <w:rsid w:val="00D147A7"/>
    <w:rsid w:val="00D171F8"/>
    <w:rsid w:val="00D2226E"/>
    <w:rsid w:val="00D35F77"/>
    <w:rsid w:val="00D47942"/>
    <w:rsid w:val="00D501F7"/>
    <w:rsid w:val="00D51AEE"/>
    <w:rsid w:val="00D6065E"/>
    <w:rsid w:val="00D60830"/>
    <w:rsid w:val="00D627E2"/>
    <w:rsid w:val="00D71270"/>
    <w:rsid w:val="00D75C5C"/>
    <w:rsid w:val="00D8523C"/>
    <w:rsid w:val="00D874BE"/>
    <w:rsid w:val="00D9394B"/>
    <w:rsid w:val="00D972D1"/>
    <w:rsid w:val="00DA6D49"/>
    <w:rsid w:val="00DB1C6F"/>
    <w:rsid w:val="00DB3EB1"/>
    <w:rsid w:val="00DB4955"/>
    <w:rsid w:val="00DB7DC6"/>
    <w:rsid w:val="00DC2773"/>
    <w:rsid w:val="00DC31FA"/>
    <w:rsid w:val="00DC441D"/>
    <w:rsid w:val="00DC45B7"/>
    <w:rsid w:val="00DC58BB"/>
    <w:rsid w:val="00DC6D3D"/>
    <w:rsid w:val="00DD4E67"/>
    <w:rsid w:val="00DD58A8"/>
    <w:rsid w:val="00DE2BAF"/>
    <w:rsid w:val="00DE2C06"/>
    <w:rsid w:val="00DE4502"/>
    <w:rsid w:val="00E0062B"/>
    <w:rsid w:val="00E00E8A"/>
    <w:rsid w:val="00E0309B"/>
    <w:rsid w:val="00E101D5"/>
    <w:rsid w:val="00E11052"/>
    <w:rsid w:val="00E2073D"/>
    <w:rsid w:val="00E21A04"/>
    <w:rsid w:val="00E27162"/>
    <w:rsid w:val="00E3552C"/>
    <w:rsid w:val="00E43C59"/>
    <w:rsid w:val="00E552E1"/>
    <w:rsid w:val="00E61BCE"/>
    <w:rsid w:val="00E62352"/>
    <w:rsid w:val="00E66697"/>
    <w:rsid w:val="00E66DBD"/>
    <w:rsid w:val="00E758EB"/>
    <w:rsid w:val="00E9680B"/>
    <w:rsid w:val="00EA08F8"/>
    <w:rsid w:val="00EA14D5"/>
    <w:rsid w:val="00EA7732"/>
    <w:rsid w:val="00EB2C2C"/>
    <w:rsid w:val="00EC1F6A"/>
    <w:rsid w:val="00ED2130"/>
    <w:rsid w:val="00ED726E"/>
    <w:rsid w:val="00EE44BD"/>
    <w:rsid w:val="00EF1EE2"/>
    <w:rsid w:val="00EF4803"/>
    <w:rsid w:val="00F0130D"/>
    <w:rsid w:val="00F02F2F"/>
    <w:rsid w:val="00F079CD"/>
    <w:rsid w:val="00F07FA9"/>
    <w:rsid w:val="00F11D68"/>
    <w:rsid w:val="00F14BE6"/>
    <w:rsid w:val="00F4434D"/>
    <w:rsid w:val="00F565E3"/>
    <w:rsid w:val="00F579DF"/>
    <w:rsid w:val="00F606D0"/>
    <w:rsid w:val="00F6241D"/>
    <w:rsid w:val="00F65B30"/>
    <w:rsid w:val="00F74BE8"/>
    <w:rsid w:val="00F77E0F"/>
    <w:rsid w:val="00F80CB3"/>
    <w:rsid w:val="00F83FA6"/>
    <w:rsid w:val="00F86275"/>
    <w:rsid w:val="00F95E7F"/>
    <w:rsid w:val="00FA51A2"/>
    <w:rsid w:val="00FA6A26"/>
    <w:rsid w:val="00FB3200"/>
    <w:rsid w:val="00FC220E"/>
    <w:rsid w:val="00FD013F"/>
    <w:rsid w:val="00FD0195"/>
    <w:rsid w:val="00FD101D"/>
    <w:rsid w:val="00FD14AA"/>
    <w:rsid w:val="00FD323B"/>
    <w:rsid w:val="00FE073F"/>
    <w:rsid w:val="00FE65D6"/>
    <w:rsid w:val="00FF2751"/>
    <w:rsid w:val="00FF2E5B"/>
    <w:rsid w:val="00FF4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FB6E21"/>
  <w15:chartTrackingRefBased/>
  <w15:docId w15:val="{48826A0D-339F-44BF-A65D-1CB474CA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4CEA"/>
    <w:rPr>
      <w:sz w:val="22"/>
      <w:szCs w:val="24"/>
      <w:lang w:val="en-US" w:eastAsia="en-US"/>
    </w:rPr>
  </w:style>
  <w:style w:type="paragraph" w:styleId="Nadpis1">
    <w:name w:val="heading 1"/>
    <w:basedOn w:val="Normln"/>
    <w:next w:val="Normln"/>
    <w:qFormat/>
    <w:rsid w:val="00324CEA"/>
    <w:pPr>
      <w:keepNext/>
      <w:keepLines/>
      <w:spacing w:after="240"/>
      <w:jc w:val="center"/>
      <w:outlineLvl w:val="0"/>
    </w:pPr>
    <w:rPr>
      <w:b/>
      <w:bCs/>
      <w:caps/>
      <w:kern w:val="32"/>
    </w:rPr>
  </w:style>
  <w:style w:type="paragraph" w:styleId="Nadpis2">
    <w:name w:val="heading 2"/>
    <w:basedOn w:val="Normln"/>
    <w:next w:val="Normln"/>
    <w:qFormat/>
    <w:rsid w:val="00324CEA"/>
    <w:pPr>
      <w:keepNext/>
      <w:spacing w:after="240"/>
      <w:outlineLvl w:val="1"/>
    </w:pPr>
    <w:rPr>
      <w:b/>
      <w:bCs/>
      <w:iCs/>
      <w:szCs w:val="28"/>
      <w:u w:val="single"/>
    </w:rPr>
  </w:style>
  <w:style w:type="paragraph" w:styleId="Nadpis3">
    <w:name w:val="heading 3"/>
    <w:basedOn w:val="Normln"/>
    <w:next w:val="Normln"/>
    <w:qFormat/>
    <w:rsid w:val="00324CEA"/>
    <w:pPr>
      <w:keepNext/>
      <w:spacing w:after="240"/>
      <w:outlineLvl w:val="2"/>
    </w:pPr>
    <w:rPr>
      <w:b/>
      <w:bCs/>
    </w:rPr>
  </w:style>
  <w:style w:type="paragraph" w:styleId="Nadpis4">
    <w:name w:val="heading 4"/>
    <w:basedOn w:val="Normln"/>
    <w:next w:val="Normln"/>
    <w:qFormat/>
    <w:rsid w:val="00324CEA"/>
    <w:pPr>
      <w:keepNext/>
      <w:tabs>
        <w:tab w:val="num" w:pos="851"/>
      </w:tabs>
      <w:spacing w:before="240" w:after="60"/>
      <w:ind w:left="851" w:hanging="851"/>
      <w:jc w:val="both"/>
      <w:outlineLvl w:val="3"/>
    </w:pPr>
    <w:rPr>
      <w:rFonts w:ascii="Arial" w:hAnsi="Arial"/>
      <w:b/>
      <w:color w:val="000000"/>
      <w:sz w:val="24"/>
      <w:szCs w:val="20"/>
      <w:lang w:val="cs-CZ" w:eastAsia="cs-CZ"/>
    </w:rPr>
  </w:style>
  <w:style w:type="paragraph" w:styleId="Nadpis5">
    <w:name w:val="heading 5"/>
    <w:basedOn w:val="Normln"/>
    <w:next w:val="Normln"/>
    <w:qFormat/>
    <w:rsid w:val="00324CEA"/>
    <w:pPr>
      <w:keepNext/>
      <w:jc w:val="center"/>
      <w:outlineLvl w:val="4"/>
    </w:pPr>
    <w:rPr>
      <w:b/>
      <w:color w:val="000000"/>
    </w:rPr>
  </w:style>
  <w:style w:type="paragraph" w:styleId="Nadpis6">
    <w:name w:val="heading 6"/>
    <w:basedOn w:val="Normln"/>
    <w:next w:val="Normln"/>
    <w:qFormat/>
    <w:rsid w:val="00324CEA"/>
    <w:pPr>
      <w:numPr>
        <w:ilvl w:val="5"/>
        <w:numId w:val="1"/>
      </w:numPr>
      <w:spacing w:before="240" w:after="60"/>
      <w:outlineLvl w:val="5"/>
    </w:pPr>
    <w:rPr>
      <w:i/>
      <w:color w:val="000000"/>
    </w:rPr>
  </w:style>
  <w:style w:type="paragraph" w:styleId="Nadpis7">
    <w:name w:val="heading 7"/>
    <w:basedOn w:val="Normln"/>
    <w:next w:val="Normln"/>
    <w:qFormat/>
    <w:rsid w:val="00324CEA"/>
    <w:pPr>
      <w:numPr>
        <w:ilvl w:val="6"/>
        <w:numId w:val="1"/>
      </w:numPr>
      <w:spacing w:before="240" w:after="60"/>
      <w:outlineLvl w:val="6"/>
    </w:pPr>
    <w:rPr>
      <w:color w:val="000000"/>
      <w:sz w:val="20"/>
    </w:rPr>
  </w:style>
  <w:style w:type="paragraph" w:styleId="Nadpis8">
    <w:name w:val="heading 8"/>
    <w:basedOn w:val="Normln"/>
    <w:next w:val="Normln"/>
    <w:qFormat/>
    <w:rsid w:val="00324CEA"/>
    <w:pPr>
      <w:keepNext/>
      <w:jc w:val="center"/>
      <w:outlineLvl w:val="7"/>
    </w:pPr>
    <w:rPr>
      <w:b/>
      <w:szCs w:val="20"/>
      <w:lang w:val="cs-CZ" w:eastAsia="cs-CZ"/>
    </w:rPr>
  </w:style>
  <w:style w:type="paragraph" w:styleId="Nadpis9">
    <w:name w:val="heading 9"/>
    <w:basedOn w:val="Normln"/>
    <w:next w:val="Normln"/>
    <w:qFormat/>
    <w:rsid w:val="00324CEA"/>
    <w:pPr>
      <w:keepNext/>
      <w:ind w:left="720" w:hanging="720"/>
      <w:jc w:val="center"/>
      <w:outlineLvl w:val="8"/>
    </w:pPr>
    <w:rPr>
      <w:b/>
      <w:bCs/>
      <w:snapToGrid w:val="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24CEA"/>
    <w:pPr>
      <w:tabs>
        <w:tab w:val="center" w:pos="4703"/>
        <w:tab w:val="right" w:pos="9406"/>
      </w:tabs>
    </w:pPr>
  </w:style>
  <w:style w:type="paragraph" w:styleId="Zpat">
    <w:name w:val="footer"/>
    <w:basedOn w:val="Normln"/>
    <w:link w:val="ZpatChar"/>
    <w:rsid w:val="00324CEA"/>
    <w:pPr>
      <w:tabs>
        <w:tab w:val="center" w:pos="4703"/>
        <w:tab w:val="right" w:pos="9406"/>
      </w:tabs>
    </w:pPr>
  </w:style>
  <w:style w:type="character" w:styleId="Hypertextovodkaz">
    <w:name w:val="Hyperlink"/>
    <w:basedOn w:val="Standardnpsmoodstavce"/>
    <w:rsid w:val="00324CEA"/>
    <w:rPr>
      <w:rFonts w:ascii="Times New Roman" w:hAnsi="Times New Roman" w:cs="Times New Roman"/>
      <w:color w:val="0000FF"/>
      <w:u w:val="single"/>
    </w:rPr>
  </w:style>
  <w:style w:type="character" w:styleId="slostrnky">
    <w:name w:val="page number"/>
    <w:basedOn w:val="Standardnpsmoodstavce"/>
    <w:rsid w:val="00324CEA"/>
    <w:rPr>
      <w:rFonts w:ascii="Times New Roman" w:hAnsi="Times New Roman" w:cs="Times New Roman"/>
    </w:rPr>
  </w:style>
  <w:style w:type="table" w:styleId="Jednoduchtabulka1">
    <w:name w:val="Table Simple 1"/>
    <w:basedOn w:val="Normlntabulka"/>
    <w:rsid w:val="00324C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xtbubliny">
    <w:name w:val="Balloon Text"/>
    <w:basedOn w:val="Normln"/>
    <w:rsid w:val="00324CEA"/>
    <w:rPr>
      <w:rFonts w:ascii="Tahoma" w:hAnsi="Tahoma" w:cs="Tahoma"/>
      <w:sz w:val="16"/>
      <w:szCs w:val="16"/>
    </w:rPr>
  </w:style>
  <w:style w:type="paragraph" w:styleId="Textpoznpodarou">
    <w:name w:val="footnote text"/>
    <w:basedOn w:val="Normln"/>
    <w:rsid w:val="00324CEA"/>
    <w:pPr>
      <w:jc w:val="both"/>
    </w:pPr>
    <w:rPr>
      <w:szCs w:val="20"/>
      <w:lang w:val="cs-CZ" w:eastAsia="cs-CZ"/>
    </w:rPr>
  </w:style>
  <w:style w:type="paragraph" w:customStyle="1" w:styleId="Zhlavplohy">
    <w:name w:val="Záhlaví přílohy"/>
    <w:basedOn w:val="Zhlav"/>
    <w:rsid w:val="00324CEA"/>
    <w:pPr>
      <w:pBdr>
        <w:bottom w:val="single" w:sz="4" w:space="1" w:color="auto"/>
      </w:pBdr>
      <w:tabs>
        <w:tab w:val="clear" w:pos="4703"/>
        <w:tab w:val="clear" w:pos="9406"/>
        <w:tab w:val="center" w:pos="4536"/>
        <w:tab w:val="right" w:pos="9072"/>
      </w:tabs>
      <w:spacing w:before="120"/>
      <w:jc w:val="right"/>
    </w:pPr>
    <w:rPr>
      <w:rFonts w:ascii="Tahoma" w:hAnsi="Tahoma"/>
      <w:kern w:val="20"/>
      <w:sz w:val="16"/>
      <w:szCs w:val="20"/>
      <w:lang w:val="cs-CZ" w:eastAsia="cs-CZ"/>
    </w:rPr>
  </w:style>
  <w:style w:type="character" w:styleId="Sledovanodkaz">
    <w:name w:val="FollowedHyperlink"/>
    <w:basedOn w:val="Standardnpsmoodstavce"/>
    <w:rsid w:val="00324CEA"/>
    <w:rPr>
      <w:color w:val="800080"/>
      <w:u w:val="single"/>
    </w:rPr>
  </w:style>
  <w:style w:type="paragraph" w:styleId="Textkomente">
    <w:name w:val="annotation text"/>
    <w:basedOn w:val="Normln"/>
    <w:rsid w:val="00324CEA"/>
    <w:pPr>
      <w:jc w:val="both"/>
    </w:pPr>
    <w:rPr>
      <w:sz w:val="20"/>
      <w:szCs w:val="20"/>
      <w:lang w:val="cs-CZ" w:eastAsia="cs-CZ"/>
    </w:rPr>
  </w:style>
  <w:style w:type="paragraph" w:styleId="Pedmtkomente">
    <w:name w:val="annotation subject"/>
    <w:basedOn w:val="Textkomente"/>
    <w:next w:val="Textkomente"/>
    <w:rsid w:val="00324CEA"/>
    <w:rPr>
      <w:b/>
      <w:bCs/>
    </w:rPr>
  </w:style>
  <w:style w:type="paragraph" w:styleId="Nzev">
    <w:name w:val="Title"/>
    <w:basedOn w:val="Normln"/>
    <w:link w:val="NzevChar"/>
    <w:qFormat/>
    <w:rsid w:val="00324CEA"/>
    <w:pPr>
      <w:widowControl w:val="0"/>
      <w:ind w:left="990"/>
      <w:jc w:val="center"/>
    </w:pPr>
    <w:rPr>
      <w:b/>
      <w:color w:val="FF0000"/>
      <w:sz w:val="40"/>
      <w:szCs w:val="20"/>
      <w:lang w:val="cs-CZ" w:eastAsia="cs-CZ"/>
    </w:rPr>
  </w:style>
  <w:style w:type="paragraph" w:customStyle="1" w:styleId="TextOdstavce">
    <w:name w:val="Text Odstavce"/>
    <w:basedOn w:val="Normln"/>
    <w:link w:val="TextOdstavceChar"/>
    <w:rsid w:val="00324CEA"/>
    <w:pPr>
      <w:widowControl w:val="0"/>
      <w:ind w:left="810" w:firstLine="180"/>
    </w:pPr>
    <w:rPr>
      <w:szCs w:val="20"/>
      <w:lang w:val="cs-CZ" w:eastAsia="cs-CZ"/>
    </w:rPr>
  </w:style>
  <w:style w:type="character" w:customStyle="1" w:styleId="TextOdstavceChar">
    <w:name w:val="Text Odstavce Char"/>
    <w:basedOn w:val="Standardnpsmoodstavce"/>
    <w:link w:val="TextOdstavce"/>
    <w:rsid w:val="00324CEA"/>
    <w:rPr>
      <w:sz w:val="22"/>
      <w:lang w:val="cs-CZ" w:eastAsia="cs-CZ" w:bidi="ar-SA"/>
    </w:rPr>
  </w:style>
  <w:style w:type="paragraph" w:customStyle="1" w:styleId="TextOdstavceZa">
    <w:name w:val="Text Odstavce Zaè."/>
    <w:basedOn w:val="TextOdstavce"/>
    <w:next w:val="TextOdstavce"/>
    <w:rsid w:val="00324CEA"/>
    <w:pPr>
      <w:ind w:left="0" w:firstLine="0"/>
    </w:pPr>
    <w:rPr>
      <w:sz w:val="20"/>
    </w:rPr>
  </w:style>
  <w:style w:type="paragraph" w:customStyle="1" w:styleId="Textodstavce0">
    <w:name w:val="Text odstavce"/>
    <w:basedOn w:val="Normln"/>
    <w:link w:val="TextodstavceChar0"/>
    <w:rsid w:val="00324CEA"/>
    <w:pPr>
      <w:tabs>
        <w:tab w:val="num" w:pos="785"/>
        <w:tab w:val="left" w:pos="851"/>
      </w:tabs>
      <w:spacing w:before="120" w:after="120"/>
      <w:ind w:firstLine="425"/>
      <w:jc w:val="both"/>
      <w:outlineLvl w:val="6"/>
    </w:pPr>
    <w:rPr>
      <w:sz w:val="24"/>
      <w:szCs w:val="20"/>
      <w:lang w:val="cs-CZ" w:eastAsia="cs-CZ"/>
    </w:rPr>
  </w:style>
  <w:style w:type="character" w:customStyle="1" w:styleId="TextodstavceChar0">
    <w:name w:val="Text odstavce Char"/>
    <w:basedOn w:val="Standardnpsmoodstavce"/>
    <w:link w:val="Textodstavce0"/>
    <w:rsid w:val="00324CEA"/>
    <w:rPr>
      <w:sz w:val="24"/>
      <w:lang w:val="cs-CZ" w:eastAsia="cs-CZ" w:bidi="ar-SA"/>
    </w:rPr>
  </w:style>
  <w:style w:type="paragraph" w:customStyle="1" w:styleId="Textbodu">
    <w:name w:val="Text bodu"/>
    <w:basedOn w:val="Normln"/>
    <w:rsid w:val="00324CEA"/>
    <w:pPr>
      <w:tabs>
        <w:tab w:val="num" w:pos="851"/>
      </w:tabs>
      <w:ind w:left="851" w:hanging="426"/>
      <w:jc w:val="both"/>
      <w:outlineLvl w:val="8"/>
    </w:pPr>
    <w:rPr>
      <w:sz w:val="24"/>
      <w:szCs w:val="20"/>
      <w:lang w:val="cs-CZ" w:eastAsia="cs-CZ"/>
    </w:rPr>
  </w:style>
  <w:style w:type="character" w:styleId="Siln">
    <w:name w:val="Strong"/>
    <w:basedOn w:val="Standardnpsmoodstavce"/>
    <w:qFormat/>
    <w:rsid w:val="00324CEA"/>
    <w:rPr>
      <w:b/>
      <w:bCs/>
      <w:sz w:val="23"/>
      <w:szCs w:val="23"/>
    </w:rPr>
  </w:style>
  <w:style w:type="paragraph" w:styleId="Normlnweb">
    <w:name w:val="Normal (Web)"/>
    <w:basedOn w:val="Normln"/>
    <w:rsid w:val="00324CEA"/>
    <w:pPr>
      <w:spacing w:before="100" w:beforeAutospacing="1" w:after="100" w:afterAutospacing="1"/>
    </w:pPr>
    <w:rPr>
      <w:sz w:val="24"/>
      <w:lang w:val="cs-CZ" w:eastAsia="cs-CZ"/>
    </w:rPr>
  </w:style>
  <w:style w:type="paragraph" w:customStyle="1" w:styleId="StylTextOdstavceZarovnatdoblokuPed6b">
    <w:name w:val="Styl Text Odstavce + Zarovnat do bloku Před:  6 b."/>
    <w:basedOn w:val="TextOdstavce"/>
    <w:rsid w:val="00324CEA"/>
    <w:pPr>
      <w:spacing w:before="120"/>
      <w:ind w:left="567" w:firstLine="0"/>
      <w:jc w:val="both"/>
    </w:pPr>
  </w:style>
  <w:style w:type="paragraph" w:styleId="Zkladntext">
    <w:name w:val="Body Text"/>
    <w:basedOn w:val="Normln"/>
    <w:link w:val="ZkladntextChar"/>
    <w:rsid w:val="00324CEA"/>
    <w:pPr>
      <w:jc w:val="both"/>
    </w:pPr>
    <w:rPr>
      <w:szCs w:val="20"/>
      <w:lang w:val="cs-CZ" w:eastAsia="cs-CZ"/>
    </w:rPr>
  </w:style>
  <w:style w:type="character" w:customStyle="1" w:styleId="ZkladntextChar">
    <w:name w:val="Základní text Char"/>
    <w:basedOn w:val="Standardnpsmoodstavce"/>
    <w:link w:val="Zkladntext"/>
    <w:rsid w:val="00324CEA"/>
    <w:rPr>
      <w:sz w:val="22"/>
      <w:lang w:val="cs-CZ" w:eastAsia="cs-CZ" w:bidi="ar-SA"/>
    </w:rPr>
  </w:style>
  <w:style w:type="paragraph" w:styleId="Obsah1">
    <w:name w:val="toc 1"/>
    <w:basedOn w:val="Normln"/>
    <w:next w:val="Normln"/>
    <w:autoRedefine/>
    <w:rsid w:val="00324CEA"/>
    <w:pPr>
      <w:tabs>
        <w:tab w:val="left" w:pos="480"/>
        <w:tab w:val="right" w:leader="dot" w:pos="9396"/>
      </w:tabs>
    </w:pPr>
    <w:rPr>
      <w:rFonts w:eastAsia="SimSun"/>
      <w:noProof/>
      <w:snapToGrid w:val="0"/>
      <w:szCs w:val="22"/>
      <w:lang w:val="cs-CZ" w:eastAsia="nl-NL"/>
    </w:rPr>
  </w:style>
  <w:style w:type="paragraph" w:customStyle="1" w:styleId="Export0">
    <w:name w:val="Export 0"/>
    <w:rsid w:val="00324CEA"/>
    <w:pPr>
      <w:ind w:left="1440"/>
    </w:pPr>
    <w:rPr>
      <w:rFonts w:ascii="Avinion" w:hAnsi="Avinion"/>
      <w:color w:val="000000"/>
      <w:sz w:val="24"/>
    </w:rPr>
  </w:style>
  <w:style w:type="paragraph" w:customStyle="1" w:styleId="katka">
    <w:name w:val="katka"/>
    <w:basedOn w:val="Normln"/>
    <w:rsid w:val="00324CEA"/>
    <w:pPr>
      <w:jc w:val="both"/>
    </w:pPr>
    <w:rPr>
      <w:sz w:val="24"/>
      <w:szCs w:val="20"/>
      <w:lang w:val="cs-CZ" w:eastAsia="cs-CZ"/>
    </w:rPr>
  </w:style>
  <w:style w:type="paragraph" w:styleId="Zkladntextodsazen">
    <w:name w:val="Body Text Indent"/>
    <w:basedOn w:val="Normln"/>
    <w:rsid w:val="00324CEA"/>
    <w:pPr>
      <w:ind w:left="851" w:hanging="851"/>
      <w:jc w:val="both"/>
    </w:pPr>
    <w:rPr>
      <w:color w:val="000000"/>
      <w:szCs w:val="20"/>
      <w:lang w:val="cs-CZ" w:eastAsia="cs-CZ"/>
    </w:rPr>
  </w:style>
  <w:style w:type="paragraph" w:styleId="Zkladntextodsazen2">
    <w:name w:val="Body Text Indent 2"/>
    <w:basedOn w:val="Normln"/>
    <w:link w:val="Zkladntextodsazen2Char"/>
    <w:rsid w:val="00324CEA"/>
    <w:pPr>
      <w:ind w:firstLine="720"/>
      <w:jc w:val="both"/>
    </w:pPr>
    <w:rPr>
      <w:szCs w:val="20"/>
      <w:lang w:val="cs-CZ" w:eastAsia="cs-CZ"/>
    </w:rPr>
  </w:style>
  <w:style w:type="paragraph" w:styleId="Zkladntext2">
    <w:name w:val="Body Text 2"/>
    <w:basedOn w:val="Normln"/>
    <w:rsid w:val="00324CEA"/>
    <w:pPr>
      <w:jc w:val="both"/>
    </w:pPr>
    <w:rPr>
      <w:szCs w:val="20"/>
      <w:lang w:val="cs-CZ" w:eastAsia="cs-CZ"/>
    </w:rPr>
  </w:style>
  <w:style w:type="paragraph" w:customStyle="1" w:styleId="NormalJustified">
    <w:name w:val="Normal (Justified)"/>
    <w:basedOn w:val="Normln"/>
    <w:rsid w:val="00324CEA"/>
    <w:pPr>
      <w:jc w:val="both"/>
    </w:pPr>
    <w:rPr>
      <w:kern w:val="28"/>
      <w:sz w:val="24"/>
      <w:szCs w:val="20"/>
      <w:lang w:eastAsia="cs-CZ"/>
    </w:rPr>
  </w:style>
  <w:style w:type="paragraph" w:customStyle="1" w:styleId="textsmlouvy">
    <w:name w:val="textsmlouvy"/>
    <w:basedOn w:val="Normln"/>
    <w:rsid w:val="00324CEA"/>
    <w:pPr>
      <w:widowControl w:val="0"/>
      <w:tabs>
        <w:tab w:val="left" w:pos="567"/>
        <w:tab w:val="left" w:pos="851"/>
        <w:tab w:val="left" w:pos="1134"/>
        <w:tab w:val="left" w:pos="1418"/>
        <w:tab w:val="left" w:pos="1701"/>
      </w:tabs>
      <w:overflowPunct w:val="0"/>
      <w:autoSpaceDE w:val="0"/>
      <w:autoSpaceDN w:val="0"/>
      <w:adjustRightInd w:val="0"/>
      <w:spacing w:line="360" w:lineRule="auto"/>
      <w:jc w:val="both"/>
      <w:textAlignment w:val="baseline"/>
    </w:pPr>
    <w:rPr>
      <w:sz w:val="24"/>
      <w:szCs w:val="20"/>
      <w:lang w:val="cs-CZ" w:eastAsia="cs-CZ"/>
    </w:rPr>
  </w:style>
  <w:style w:type="paragraph" w:customStyle="1" w:styleId="Underline">
    <w:name w:val="Underline"/>
    <w:basedOn w:val="Normln"/>
    <w:rsid w:val="00324CEA"/>
    <w:pPr>
      <w:tabs>
        <w:tab w:val="left" w:pos="720"/>
        <w:tab w:val="left" w:pos="1440"/>
        <w:tab w:val="right" w:leader="underscore" w:pos="9072"/>
      </w:tabs>
      <w:jc w:val="both"/>
    </w:pPr>
    <w:rPr>
      <w:kern w:val="28"/>
      <w:sz w:val="24"/>
      <w:szCs w:val="20"/>
      <w:lang w:eastAsia="cs-CZ"/>
    </w:rPr>
  </w:style>
  <w:style w:type="paragraph" w:customStyle="1" w:styleId="Mirek">
    <w:name w:val="Mirek"/>
    <w:basedOn w:val="Normln"/>
    <w:rsid w:val="00324CEA"/>
    <w:pPr>
      <w:widowControl w:val="0"/>
      <w:spacing w:after="120"/>
      <w:jc w:val="both"/>
    </w:pPr>
    <w:rPr>
      <w:snapToGrid w:val="0"/>
      <w:sz w:val="24"/>
      <w:szCs w:val="20"/>
      <w:lang w:val="cs-CZ"/>
    </w:rPr>
  </w:style>
  <w:style w:type="paragraph" w:styleId="Zkladntext3">
    <w:name w:val="Body Text 3"/>
    <w:basedOn w:val="Normln"/>
    <w:rsid w:val="00324CEA"/>
    <w:pPr>
      <w:widowControl w:val="0"/>
      <w:jc w:val="center"/>
    </w:pPr>
    <w:rPr>
      <w:color w:val="000000"/>
      <w:szCs w:val="20"/>
      <w:lang w:val="cs-CZ" w:eastAsia="cs-CZ"/>
    </w:rPr>
  </w:style>
  <w:style w:type="paragraph" w:styleId="Zkladntextodsazen3">
    <w:name w:val="Body Text Indent 3"/>
    <w:basedOn w:val="Normln"/>
    <w:rsid w:val="00324CEA"/>
    <w:pPr>
      <w:ind w:left="705" w:hanging="705"/>
      <w:jc w:val="both"/>
    </w:pPr>
    <w:rPr>
      <w:sz w:val="24"/>
      <w:szCs w:val="20"/>
      <w:lang w:val="cs-CZ" w:eastAsia="cs-CZ"/>
    </w:rPr>
  </w:style>
  <w:style w:type="paragraph" w:customStyle="1" w:styleId="NzevOdstavce">
    <w:name w:val="Název Odstavce"/>
    <w:basedOn w:val="Nadpis1"/>
    <w:next w:val="Normln"/>
    <w:rsid w:val="00324CEA"/>
    <w:pPr>
      <w:keepLines w:val="0"/>
      <w:widowControl w:val="0"/>
      <w:tabs>
        <w:tab w:val="num" w:pos="750"/>
        <w:tab w:val="left" w:pos="1440"/>
      </w:tabs>
      <w:spacing w:before="240" w:after="60"/>
      <w:ind w:left="750" w:hanging="750"/>
      <w:outlineLvl w:val="9"/>
    </w:pPr>
    <w:rPr>
      <w:bCs w:val="0"/>
      <w:kern w:val="28"/>
      <w:sz w:val="24"/>
      <w:szCs w:val="20"/>
      <w:lang w:val="cs-CZ" w:eastAsia="cs-CZ"/>
    </w:rPr>
  </w:style>
  <w:style w:type="paragraph" w:customStyle="1" w:styleId="prdelka">
    <w:name w:val="prdelka"/>
    <w:basedOn w:val="TextOdstavce"/>
    <w:rsid w:val="00324CEA"/>
    <w:pPr>
      <w:tabs>
        <w:tab w:val="num" w:pos="1080"/>
      </w:tabs>
      <w:ind w:left="1080" w:hanging="540"/>
      <w:jc w:val="both"/>
    </w:pPr>
    <w:rPr>
      <w:rFonts w:ascii="Arial" w:hAnsi="Arial" w:cs="Arial"/>
      <w:sz w:val="20"/>
    </w:rPr>
  </w:style>
  <w:style w:type="paragraph" w:customStyle="1" w:styleId="Jornslovan2">
    <w:name w:val="Jorn číslovaný 2"/>
    <w:basedOn w:val="Normln"/>
    <w:rsid w:val="00324CEA"/>
    <w:pPr>
      <w:tabs>
        <w:tab w:val="num" w:pos="2779"/>
      </w:tabs>
      <w:ind w:left="2779" w:hanging="709"/>
      <w:jc w:val="both"/>
    </w:pPr>
    <w:rPr>
      <w:sz w:val="24"/>
      <w:lang w:val="cs-CZ" w:eastAsia="cs-CZ"/>
    </w:rPr>
  </w:style>
  <w:style w:type="paragraph" w:customStyle="1" w:styleId="CSOBAgreeL1">
    <w:name w:val="CSOBAgree_L1"/>
    <w:basedOn w:val="Normln"/>
    <w:next w:val="Zkladntext"/>
    <w:rsid w:val="00324CEA"/>
    <w:pPr>
      <w:tabs>
        <w:tab w:val="num" w:pos="720"/>
      </w:tabs>
      <w:spacing w:after="240"/>
      <w:jc w:val="center"/>
      <w:outlineLvl w:val="0"/>
    </w:pPr>
    <w:rPr>
      <w:szCs w:val="20"/>
    </w:rPr>
  </w:style>
  <w:style w:type="paragraph" w:customStyle="1" w:styleId="CSOBAgreeL2">
    <w:name w:val="CSOBAgree_L2"/>
    <w:basedOn w:val="CSOBAgreeL1"/>
    <w:next w:val="Zkladntext"/>
    <w:rsid w:val="00324CEA"/>
    <w:pPr>
      <w:numPr>
        <w:ilvl w:val="1"/>
      </w:numPr>
      <w:tabs>
        <w:tab w:val="num" w:pos="720"/>
      </w:tabs>
      <w:jc w:val="both"/>
      <w:outlineLvl w:val="1"/>
    </w:pPr>
  </w:style>
  <w:style w:type="paragraph" w:customStyle="1" w:styleId="CSOBAgreeL3">
    <w:name w:val="CSOBAgree_L3"/>
    <w:basedOn w:val="CSOBAgreeL2"/>
    <w:next w:val="Zkladntext"/>
    <w:rsid w:val="00324CEA"/>
    <w:pPr>
      <w:numPr>
        <w:ilvl w:val="2"/>
      </w:numPr>
      <w:tabs>
        <w:tab w:val="num" w:pos="720"/>
      </w:tabs>
      <w:jc w:val="right"/>
      <w:outlineLvl w:val="2"/>
    </w:pPr>
  </w:style>
  <w:style w:type="paragraph" w:customStyle="1" w:styleId="CSOBAgreeL4">
    <w:name w:val="CSOBAgree_L4"/>
    <w:basedOn w:val="CSOBAgreeL3"/>
    <w:next w:val="Zkladntext"/>
    <w:rsid w:val="00324CEA"/>
    <w:pPr>
      <w:numPr>
        <w:ilvl w:val="0"/>
      </w:numPr>
      <w:tabs>
        <w:tab w:val="num" w:pos="720"/>
      </w:tabs>
      <w:spacing w:after="0"/>
      <w:jc w:val="both"/>
      <w:outlineLvl w:val="3"/>
    </w:pPr>
  </w:style>
  <w:style w:type="paragraph" w:customStyle="1" w:styleId="CSOBAgreeL5">
    <w:name w:val="CSOBAgree_L5"/>
    <w:basedOn w:val="CSOBAgreeL4"/>
    <w:next w:val="Zkladntext"/>
    <w:rsid w:val="00324CEA"/>
    <w:pPr>
      <w:numPr>
        <w:ilvl w:val="4"/>
      </w:numPr>
      <w:tabs>
        <w:tab w:val="num" w:pos="720"/>
      </w:tabs>
      <w:spacing w:after="240"/>
      <w:outlineLvl w:val="4"/>
    </w:pPr>
  </w:style>
  <w:style w:type="paragraph" w:customStyle="1" w:styleId="CSOBAgreeL6">
    <w:name w:val="CSOBAgree_L6"/>
    <w:basedOn w:val="CSOBAgreeL5"/>
    <w:next w:val="Zkladntext"/>
    <w:rsid w:val="00324CEA"/>
    <w:pPr>
      <w:numPr>
        <w:ilvl w:val="5"/>
      </w:numPr>
      <w:tabs>
        <w:tab w:val="num" w:pos="720"/>
      </w:tabs>
      <w:jc w:val="left"/>
      <w:outlineLvl w:val="5"/>
    </w:pPr>
    <w:rPr>
      <w:sz w:val="24"/>
    </w:rPr>
  </w:style>
  <w:style w:type="paragraph" w:customStyle="1" w:styleId="CSOBAgreeL7">
    <w:name w:val="CSOBAgree_L7"/>
    <w:basedOn w:val="CSOBAgreeL6"/>
    <w:next w:val="Zkladntext"/>
    <w:rsid w:val="00324CEA"/>
    <w:pPr>
      <w:numPr>
        <w:ilvl w:val="6"/>
      </w:numPr>
      <w:tabs>
        <w:tab w:val="num" w:pos="720"/>
      </w:tabs>
      <w:outlineLvl w:val="6"/>
    </w:pPr>
  </w:style>
  <w:style w:type="paragraph" w:customStyle="1" w:styleId="CSOBAgreeL8">
    <w:name w:val="CSOBAgree_L8"/>
    <w:basedOn w:val="CSOBAgreeL7"/>
    <w:next w:val="Zkladntext"/>
    <w:rsid w:val="00324CEA"/>
    <w:pPr>
      <w:numPr>
        <w:ilvl w:val="7"/>
      </w:numPr>
      <w:tabs>
        <w:tab w:val="num" w:pos="720"/>
      </w:tabs>
      <w:outlineLvl w:val="7"/>
    </w:pPr>
  </w:style>
  <w:style w:type="paragraph" w:customStyle="1" w:styleId="CSOBAgreeL9">
    <w:name w:val="CSOBAgree_L9"/>
    <w:basedOn w:val="CSOBAgreeL8"/>
    <w:next w:val="Zkladntext"/>
    <w:rsid w:val="00324CEA"/>
    <w:pPr>
      <w:numPr>
        <w:ilvl w:val="8"/>
      </w:numPr>
      <w:tabs>
        <w:tab w:val="num" w:pos="720"/>
      </w:tabs>
      <w:outlineLvl w:val="8"/>
    </w:pPr>
  </w:style>
  <w:style w:type="character" w:customStyle="1" w:styleId="CharChar">
    <w:name w:val="Char Char"/>
    <w:basedOn w:val="Standardnpsmoodstavce"/>
    <w:rsid w:val="00324CEA"/>
    <w:rPr>
      <w:sz w:val="22"/>
      <w:lang w:val="cs-CZ" w:eastAsia="cs-CZ" w:bidi="ar-SA"/>
    </w:rPr>
  </w:style>
  <w:style w:type="character" w:customStyle="1" w:styleId="CharChar0">
    <w:name w:val="Char Char"/>
    <w:basedOn w:val="Standardnpsmoodstavce"/>
    <w:rsid w:val="00324CEA"/>
    <w:rPr>
      <w:sz w:val="22"/>
      <w:lang w:val="cs-CZ" w:eastAsia="cs-CZ" w:bidi="ar-SA"/>
    </w:rPr>
  </w:style>
  <w:style w:type="paragraph" w:styleId="Odstavecseseznamem">
    <w:name w:val="List Paragraph"/>
    <w:basedOn w:val="Normln"/>
    <w:qFormat/>
    <w:rsid w:val="00324CEA"/>
    <w:pPr>
      <w:ind w:left="720"/>
    </w:pPr>
  </w:style>
  <w:style w:type="character" w:customStyle="1" w:styleId="ZhlavChar">
    <w:name w:val="Záhlaví Char"/>
    <w:basedOn w:val="Standardnpsmoodstavce"/>
    <w:link w:val="Zhlav"/>
    <w:locked/>
    <w:rsid w:val="00324CEA"/>
    <w:rPr>
      <w:sz w:val="22"/>
      <w:szCs w:val="24"/>
      <w:lang w:val="en-US" w:eastAsia="en-US" w:bidi="ar-SA"/>
    </w:rPr>
  </w:style>
  <w:style w:type="character" w:customStyle="1" w:styleId="ZpatChar">
    <w:name w:val="Zápatí Char"/>
    <w:basedOn w:val="Standardnpsmoodstavce"/>
    <w:link w:val="Zpat"/>
    <w:locked/>
    <w:rsid w:val="00324CEA"/>
    <w:rPr>
      <w:sz w:val="22"/>
      <w:szCs w:val="24"/>
      <w:lang w:val="en-US" w:eastAsia="en-US" w:bidi="ar-SA"/>
    </w:rPr>
  </w:style>
  <w:style w:type="character" w:customStyle="1" w:styleId="Zkladntextodsazen2Char">
    <w:name w:val="Základní text odsazený 2 Char"/>
    <w:basedOn w:val="Standardnpsmoodstavce"/>
    <w:link w:val="Zkladntextodsazen2"/>
    <w:locked/>
    <w:rsid w:val="00324CEA"/>
    <w:rPr>
      <w:sz w:val="22"/>
      <w:lang w:val="cs-CZ" w:eastAsia="cs-CZ" w:bidi="ar-SA"/>
    </w:rPr>
  </w:style>
  <w:style w:type="paragraph" w:customStyle="1" w:styleId="msolistparagraph0">
    <w:name w:val="msolistparagraph"/>
    <w:basedOn w:val="Normln"/>
    <w:rsid w:val="005D6D92"/>
    <w:pPr>
      <w:ind w:left="720"/>
    </w:pPr>
  </w:style>
  <w:style w:type="character" w:customStyle="1" w:styleId="NzevChar">
    <w:name w:val="Název Char"/>
    <w:basedOn w:val="Standardnpsmoodstavce"/>
    <w:link w:val="Nzev"/>
    <w:locked/>
    <w:rsid w:val="009E13CA"/>
    <w:rPr>
      <w:b/>
      <w:color w:val="FF0000"/>
      <w:sz w:val="40"/>
      <w:lang w:val="cs-CZ" w:eastAsia="cs-CZ" w:bidi="ar-SA"/>
    </w:rPr>
  </w:style>
  <w:style w:type="paragraph" w:customStyle="1" w:styleId="msonospacing0">
    <w:name w:val="msonospacing"/>
    <w:rsid w:val="009E13CA"/>
    <w:rPr>
      <w:rFonts w:ascii="Calibri" w:eastAsia="Calibri" w:hAnsi="Calibri"/>
      <w:sz w:val="22"/>
      <w:szCs w:val="22"/>
      <w:lang w:val="en-US" w:eastAsia="en-US"/>
    </w:rPr>
  </w:style>
  <w:style w:type="paragraph" w:customStyle="1" w:styleId="Zkladntextslovan">
    <w:name w:val="Základní text číslovaný"/>
    <w:basedOn w:val="Normln"/>
    <w:rsid w:val="009E13CA"/>
    <w:pPr>
      <w:tabs>
        <w:tab w:val="num" w:pos="697"/>
      </w:tabs>
      <w:snapToGrid w:val="0"/>
      <w:spacing w:after="120"/>
      <w:ind w:left="697" w:hanging="697"/>
      <w:jc w:val="both"/>
    </w:pPr>
    <w:rPr>
      <w:rFonts w:eastAsia="Calibri"/>
      <w:color w:val="000000"/>
      <w:szCs w:val="22"/>
      <w:lang w:val="cs-CZ" w:eastAsia="cs-CZ"/>
    </w:rPr>
  </w:style>
  <w:style w:type="table" w:styleId="Mkatabulky">
    <w:name w:val="Table Grid"/>
    <w:basedOn w:val="Normlntabulka"/>
    <w:rsid w:val="002578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a">
    <w:name w:val="odrážka"/>
    <w:basedOn w:val="Zkladntext"/>
    <w:rsid w:val="00FB3200"/>
    <w:pPr>
      <w:numPr>
        <w:numId w:val="3"/>
      </w:numPr>
    </w:pPr>
    <w:rPr>
      <w:color w:val="000000"/>
    </w:rPr>
  </w:style>
  <w:style w:type="character" w:styleId="Odkaznakoment">
    <w:name w:val="annotation reference"/>
    <w:basedOn w:val="Standardnpsmoodstavce"/>
    <w:rsid w:val="00070A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25980">
      <w:bodyDiv w:val="1"/>
      <w:marLeft w:val="0"/>
      <w:marRight w:val="0"/>
      <w:marTop w:val="0"/>
      <w:marBottom w:val="0"/>
      <w:divBdr>
        <w:top w:val="none" w:sz="0" w:space="0" w:color="auto"/>
        <w:left w:val="none" w:sz="0" w:space="0" w:color="auto"/>
        <w:bottom w:val="none" w:sz="0" w:space="0" w:color="auto"/>
        <w:right w:val="none" w:sz="0" w:space="0" w:color="auto"/>
      </w:divBdr>
    </w:div>
    <w:div w:id="702874656">
      <w:bodyDiv w:val="1"/>
      <w:marLeft w:val="0"/>
      <w:marRight w:val="0"/>
      <w:marTop w:val="0"/>
      <w:marBottom w:val="0"/>
      <w:divBdr>
        <w:top w:val="none" w:sz="0" w:space="0" w:color="auto"/>
        <w:left w:val="none" w:sz="0" w:space="0" w:color="auto"/>
        <w:bottom w:val="none" w:sz="0" w:space="0" w:color="auto"/>
        <w:right w:val="none" w:sz="0" w:space="0" w:color="auto"/>
      </w:divBdr>
    </w:div>
    <w:div w:id="863323184">
      <w:bodyDiv w:val="1"/>
      <w:marLeft w:val="0"/>
      <w:marRight w:val="0"/>
      <w:marTop w:val="0"/>
      <w:marBottom w:val="0"/>
      <w:divBdr>
        <w:top w:val="none" w:sz="0" w:space="0" w:color="auto"/>
        <w:left w:val="none" w:sz="0" w:space="0" w:color="auto"/>
        <w:bottom w:val="none" w:sz="0" w:space="0" w:color="auto"/>
        <w:right w:val="none" w:sz="0" w:space="0" w:color="auto"/>
      </w:divBdr>
    </w:div>
    <w:div w:id="916204067">
      <w:bodyDiv w:val="1"/>
      <w:marLeft w:val="0"/>
      <w:marRight w:val="0"/>
      <w:marTop w:val="0"/>
      <w:marBottom w:val="0"/>
      <w:divBdr>
        <w:top w:val="none" w:sz="0" w:space="0" w:color="auto"/>
        <w:left w:val="none" w:sz="0" w:space="0" w:color="auto"/>
        <w:bottom w:val="none" w:sz="0" w:space="0" w:color="auto"/>
        <w:right w:val="none" w:sz="0" w:space="0" w:color="auto"/>
      </w:divBdr>
    </w:div>
    <w:div w:id="1582762743">
      <w:bodyDiv w:val="1"/>
      <w:marLeft w:val="0"/>
      <w:marRight w:val="0"/>
      <w:marTop w:val="0"/>
      <w:marBottom w:val="0"/>
      <w:divBdr>
        <w:top w:val="none" w:sz="0" w:space="0" w:color="auto"/>
        <w:left w:val="none" w:sz="0" w:space="0" w:color="auto"/>
        <w:bottom w:val="none" w:sz="0" w:space="0" w:color="auto"/>
        <w:right w:val="none" w:sz="0" w:space="0" w:color="auto"/>
      </w:divBdr>
      <w:divsChild>
        <w:div w:id="884877420">
          <w:marLeft w:val="0"/>
          <w:marRight w:val="0"/>
          <w:marTop w:val="0"/>
          <w:marBottom w:val="0"/>
          <w:divBdr>
            <w:top w:val="single" w:sz="4" w:space="1" w:color="auto"/>
            <w:left w:val="none" w:sz="0" w:space="0" w:color="auto"/>
            <w:bottom w:val="none" w:sz="0" w:space="0" w:color="auto"/>
            <w:right w:val="none" w:sz="0" w:space="0" w:color="auto"/>
          </w:divBdr>
        </w:div>
      </w:divsChild>
    </w:div>
    <w:div w:id="1768768275">
      <w:bodyDiv w:val="1"/>
      <w:marLeft w:val="0"/>
      <w:marRight w:val="0"/>
      <w:marTop w:val="0"/>
      <w:marBottom w:val="0"/>
      <w:divBdr>
        <w:top w:val="none" w:sz="0" w:space="0" w:color="auto"/>
        <w:left w:val="none" w:sz="0" w:space="0" w:color="auto"/>
        <w:bottom w:val="none" w:sz="0" w:space="0" w:color="auto"/>
        <w:right w:val="none" w:sz="0" w:space="0" w:color="auto"/>
      </w:divBdr>
    </w:div>
    <w:div w:id="21039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sob.cz/portal/documents/10710/36574/ceb-uzivatelska-prirucka-cz.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csob.cz/portal/o-csob/obchodni-podminky/obchodni-podminky-csob" TargetMode="External"/><Relationship Id="rId2" Type="http://schemas.openxmlformats.org/officeDocument/2006/relationships/customXml" Target="../customXml/item2.xml"/><Relationship Id="rId16" Type="http://schemas.openxmlformats.org/officeDocument/2006/relationships/hyperlink" Target="mailto:helpdeskceb@csob.cz"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sob.cz/ce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sob.cz/ceb"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13fe55-31e9-42a8-86a7-76e48c7c6e7a">MJUCMCPCKSKQ-1640047917-145</_dlc_DocId>
    <_dlc_DocIdUrl xmlns="1413fe55-31e9-42a8-86a7-76e48c7c6e7a">
      <Url>https://kbcgroup.sharepoint.com/sites/csob-segmenty/070153/CAU-KOP/_layouts/15/DocIdRedir.aspx?ID=MJUCMCPCKSKQ-1640047917-145</Url>
      <Description>MJUCMCPCKSKQ-1640047917-145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4D0D57B03F744A8BBD54D00F2383A4" ma:contentTypeVersion="101" ma:contentTypeDescription="Vytvořit nový dokument" ma:contentTypeScope="" ma:versionID="62fc411c880cbe8a799b5091ce7dc9e3">
  <xsd:schema xmlns:xsd="http://www.w3.org/2001/XMLSchema" xmlns:xs="http://www.w3.org/2001/XMLSchema" xmlns:p="http://schemas.microsoft.com/office/2006/metadata/properties" xmlns:ns2="1413fe55-31e9-42a8-86a7-76e48c7c6e7a" xmlns:ns3="f35222ab-671b-4fba-8290-9c81c6fca0a0" xmlns:ns4="f2314f52-fe8a-437d-aa83-ece00d770032" targetNamespace="http://schemas.microsoft.com/office/2006/metadata/properties" ma:root="true" ma:fieldsID="9518d1c29d93794bd58f158d114af07e" ns2:_="" ns3:_="" ns4:_="">
    <xsd:import namespace="1413fe55-31e9-42a8-86a7-76e48c7c6e7a"/>
    <xsd:import namespace="f35222ab-671b-4fba-8290-9c81c6fca0a0"/>
    <xsd:import namespace="f2314f52-fe8a-437d-aa83-ece00d7700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fe55-31e9-42a8-86a7-76e48c7c6e7a" elementFormDefault="qualified">
    <xsd:import namespace="http://schemas.microsoft.com/office/2006/documentManagement/types"/>
    <xsd:import namespace="http://schemas.microsoft.com/office/infopath/2007/PartnerControls"/>
    <xsd:element name="_dlc_DocId" ma:index="5" nillable="true" ma:displayName="Hodnota ID dokumentu" ma:description="Hodnota ID dokumentu přiřazená této položce" ma:internalName="_dlc_DocId" ma:readOnly="true">
      <xsd:simpleType>
        <xsd:restriction base="dms:Text"/>
      </xsd:simpleType>
    </xsd:element>
    <xsd:element name="_dlc_DocIdUrl" ma:index="6"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5222ab-671b-4fba-8290-9c81c6fca0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314f52-fe8a-437d-aa83-ece00d770032"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79C9-D0B0-4EC5-A6C7-BA77B9B1CB22}">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f2314f52-fe8a-437d-aa83-ece00d770032"/>
    <ds:schemaRef ds:uri="f35222ab-671b-4fba-8290-9c81c6fca0a0"/>
    <ds:schemaRef ds:uri="http://purl.org/dc/elements/1.1/"/>
    <ds:schemaRef ds:uri="http://schemas.openxmlformats.org/package/2006/metadata/core-properties"/>
    <ds:schemaRef ds:uri="1413fe55-31e9-42a8-86a7-76e48c7c6e7a"/>
    <ds:schemaRef ds:uri="http://www.w3.org/XML/1998/namespace"/>
  </ds:schemaRefs>
</ds:datastoreItem>
</file>

<file path=customXml/itemProps2.xml><?xml version="1.0" encoding="utf-8"?>
<ds:datastoreItem xmlns:ds="http://schemas.openxmlformats.org/officeDocument/2006/customXml" ds:itemID="{04225FC0-7DD6-4B79-84AE-28CFAA4D93CA}">
  <ds:schemaRefs>
    <ds:schemaRef ds:uri="http://schemas.microsoft.com/sharepoint/events"/>
  </ds:schemaRefs>
</ds:datastoreItem>
</file>

<file path=customXml/itemProps3.xml><?xml version="1.0" encoding="utf-8"?>
<ds:datastoreItem xmlns:ds="http://schemas.openxmlformats.org/officeDocument/2006/customXml" ds:itemID="{AF3B8B38-8D75-45B8-9A7B-83862AC082C2}">
  <ds:schemaRefs>
    <ds:schemaRef ds:uri="http://schemas.microsoft.com/sharepoint/v3/contenttype/forms"/>
  </ds:schemaRefs>
</ds:datastoreItem>
</file>

<file path=customXml/itemProps4.xml><?xml version="1.0" encoding="utf-8"?>
<ds:datastoreItem xmlns:ds="http://schemas.openxmlformats.org/officeDocument/2006/customXml" ds:itemID="{CA2C52F1-9B52-4DDF-8801-048F43C80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fe55-31e9-42a8-86a7-76e48c7c6e7a"/>
    <ds:schemaRef ds:uri="f35222ab-671b-4fba-8290-9c81c6fca0a0"/>
    <ds:schemaRef ds:uri="f2314f52-fe8a-437d-aa83-ece00d770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AE16CF-C730-4027-AEC7-4559C279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2620</Words>
  <Characters>16949</Characters>
  <Application>Microsoft Office Word</Application>
  <DocSecurity>8</DocSecurity>
  <Lines>534</Lines>
  <Paragraphs>190</Paragraphs>
  <ScaleCrop>false</ScaleCrop>
  <HeadingPairs>
    <vt:vector size="2" baseType="variant">
      <vt:variant>
        <vt:lpstr>Název</vt:lpstr>
      </vt:variant>
      <vt:variant>
        <vt:i4>1</vt:i4>
      </vt:variant>
    </vt:vector>
  </HeadingPairs>
  <TitlesOfParts>
    <vt:vector size="1" baseType="lpstr">
      <vt:lpstr>ISDA</vt:lpstr>
    </vt:vector>
  </TitlesOfParts>
  <Manager>Datum šablony 21.11.2013</Manager>
  <Company>Československá obchodní banka, a.s.</Company>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ISDA</dc:title>
  <dc:subject>NOZ</dc:subject>
  <dc:creator>Ing. Daniel Dvořák</dc:creator>
  <cp:keywords/>
  <cp:lastModifiedBy>FICNAROVÁ Blanka</cp:lastModifiedBy>
  <cp:revision>18</cp:revision>
  <cp:lastPrinted>2020-06-15T08:56:00Z</cp:lastPrinted>
  <dcterms:created xsi:type="dcterms:W3CDTF">2020-06-10T11:59:00Z</dcterms:created>
  <dcterms:modified xsi:type="dcterms:W3CDTF">2020-06-15T10:26:00Z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owner="Ing. Daniel Dvořák" position="TopLeft" marginX="0" marginY="0" classifiedOn="2020-06-15T10:56:13.140</vt:lpwstr>
  </property>
  <property fmtid="{D5CDD505-2E9C-101B-9397-08002B2CF9AE}" pid="3" name="CSOB-DocumentTagging.ClassificationMark.P01">
    <vt:lpwstr>2932+02:00" showPrintedBy="false" showPrintDate="false" language="cs" ApplicationVersion="Microsoft Word, 15.0" addinVersion="5.8.11.0" template="CSOB"&gt;&lt;history bulk="false" class="Veřejné" code="C0" user="FICNAROVÁ Blanka" date="2020-06-15T10:56:13.</vt:lpwstr>
  </property>
  <property fmtid="{D5CDD505-2E9C-101B-9397-08002B2CF9AE}" pid="4" name="CSOB-DocumentTagging.ClassificationMark.P02">
    <vt:lpwstr>1412992+02:00" /&gt;&lt;recipients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y fmtid="{D5CDD505-2E9C-101B-9397-08002B2CF9AE}" pid="8" name="ContentTypeId">
    <vt:lpwstr>0x0101004B4D0D57B03F744A8BBD54D00F2383A4</vt:lpwstr>
  </property>
  <property fmtid="{D5CDD505-2E9C-101B-9397-08002B2CF9AE}" pid="9" name="_dlc_DocIdItemGuid">
    <vt:lpwstr>31744c0a-c74c-418c-b044-107ac5752848</vt:lpwstr>
  </property>
</Properties>
</file>