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D3" w:rsidRDefault="00557BC8">
      <w:pPr>
        <w:pStyle w:val="Heading120"/>
        <w:framePr w:w="9206" w:h="317" w:hRule="exact" w:wrap="none" w:vAnchor="page" w:hAnchor="page" w:x="1262" w:y="969"/>
        <w:shd w:val="clear" w:color="auto" w:fill="auto"/>
        <w:spacing w:after="0"/>
      </w:pPr>
      <w:bookmarkStart w:id="0" w:name="bookmark0"/>
      <w:r>
        <w:t>DATA i</w:t>
      </w:r>
      <w:r w:rsidR="008F1612">
        <w:t>NG</w:t>
      </w:r>
      <w:r>
        <w:t>^</w:t>
      </w:r>
      <w:bookmarkEnd w:id="0"/>
    </w:p>
    <w:p w:rsidR="00F56DD3" w:rsidRDefault="00557BC8">
      <w:pPr>
        <w:pStyle w:val="Bodytext30"/>
        <w:framePr w:wrap="none" w:vAnchor="page" w:hAnchor="page" w:x="1262" w:y="1723"/>
        <w:shd w:val="clear" w:color="auto" w:fill="auto"/>
        <w:spacing w:before="0" w:after="0"/>
      </w:pPr>
      <w:r>
        <w:rPr>
          <w:lang w:val="en-US" w:eastAsia="en-US" w:bidi="en-US"/>
        </w:rPr>
        <w:t>P</w:t>
      </w:r>
      <w:r w:rsidR="008F1612">
        <w:rPr>
          <w:lang w:val="en-US" w:eastAsia="en-US" w:bidi="en-US"/>
        </w:rPr>
        <w:t>ří</w:t>
      </w:r>
      <w:r>
        <w:rPr>
          <w:lang w:val="en-US" w:eastAsia="en-US" w:bidi="en-US"/>
        </w:rPr>
        <w:t xml:space="preserve">loha </w:t>
      </w:r>
      <w:r>
        <w:t xml:space="preserve">č. </w:t>
      </w:r>
      <w:r>
        <w:rPr>
          <w:lang w:val="en-US" w:eastAsia="en-US" w:bidi="en-US"/>
        </w:rPr>
        <w:t xml:space="preserve">1 </w:t>
      </w:r>
      <w:r>
        <w:t>harmonogram prací</w:t>
      </w:r>
    </w:p>
    <w:p w:rsidR="00F56DD3" w:rsidRDefault="00557BC8">
      <w:pPr>
        <w:pStyle w:val="Bodytext20"/>
        <w:framePr w:w="9206" w:h="1207" w:hRule="exact" w:wrap="none" w:vAnchor="page" w:hAnchor="page" w:x="1262" w:y="2649"/>
        <w:shd w:val="clear" w:color="auto" w:fill="auto"/>
        <w:spacing w:before="0" w:after="240"/>
      </w:pPr>
      <w:r>
        <w:t>NÁVRH HARMONOGRAMU PRACÍ</w:t>
      </w:r>
    </w:p>
    <w:p w:rsidR="00F56DD3" w:rsidRDefault="00557BC8">
      <w:pPr>
        <w:pStyle w:val="Bodytext20"/>
        <w:framePr w:w="9206" w:h="1207" w:hRule="exact" w:wrap="none" w:vAnchor="page" w:hAnchor="page" w:x="1262" w:y="2649"/>
        <w:shd w:val="clear" w:color="auto" w:fill="auto"/>
        <w:spacing w:before="0" w:after="0" w:line="226" w:lineRule="exact"/>
      </w:pPr>
      <w:r>
        <w:t xml:space="preserve">Harmonogram prací je stanoven formou časové náročností pro jednolivé kroky spojené s plněním předmětu nabídky. Stanovení datumů pro dané kroky bude možné v závislosti na podpisu smlouvy </w:t>
      </w:r>
      <w:r>
        <w:t>zadavatelem a stanovením dne zahájení prací.</w:t>
      </w:r>
    </w:p>
    <w:p w:rsidR="00F56DD3" w:rsidRDefault="00557BC8">
      <w:pPr>
        <w:pStyle w:val="Bodytext20"/>
        <w:framePr w:w="9206" w:h="518" w:hRule="exact" w:wrap="none" w:vAnchor="page" w:hAnchor="page" w:x="1262" w:y="4260"/>
        <w:shd w:val="clear" w:color="auto" w:fill="auto"/>
        <w:spacing w:before="0" w:after="0" w:line="230" w:lineRule="exact"/>
      </w:pPr>
      <w:r>
        <w:t>U jednotlivých úseků je předpokladem, že může dojít k souběhu prací. Takový souběh bude možný jen tam, kde to je technologicky možné. Termín dokončení celého projektu je pak stanoven na nejpozději 30.9. 2020.</w:t>
      </w:r>
    </w:p>
    <w:p w:rsidR="00F56DD3" w:rsidRDefault="00557BC8">
      <w:pPr>
        <w:pStyle w:val="Heading110"/>
        <w:framePr w:w="9206" w:h="309" w:hRule="exact" w:wrap="none" w:vAnchor="page" w:hAnchor="page" w:x="1262" w:y="5696"/>
        <w:shd w:val="clear" w:color="auto" w:fill="auto"/>
        <w:spacing w:before="0"/>
        <w:ind w:right="20"/>
      </w:pPr>
      <w:bookmarkStart w:id="1" w:name="bookmark1"/>
      <w:r>
        <w:t>ha</w:t>
      </w:r>
      <w:r>
        <w:t>rmonogram prací - náročnost etap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773"/>
        <w:gridCol w:w="3595"/>
      </w:tblGrid>
      <w:tr w:rsidR="00F56DD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9187" w:type="dxa"/>
            <w:gridSpan w:val="3"/>
            <w:shd w:val="clear" w:color="auto" w:fill="E1E3E0"/>
            <w:vAlign w:val="bottom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tabs>
                <w:tab w:val="left" w:pos="4781"/>
              </w:tabs>
              <w:spacing w:before="0" w:after="0"/>
            </w:pPr>
            <w:r>
              <w:rPr>
                <w:rStyle w:val="Bodytext2Bold"/>
              </w:rPr>
              <w:t>úsek plněni - činnost</w:t>
            </w:r>
            <w:r>
              <w:rPr>
                <w:rStyle w:val="Bodytext2Bold"/>
              </w:rPr>
              <w:tab/>
              <w:t>trvání poznámka</w:t>
            </w:r>
          </w:p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ind w:left="4900"/>
              <w:jc w:val="left"/>
            </w:pPr>
            <w:r w:rsidRPr="008F1612">
              <w:rPr>
                <w:rStyle w:val="Bodytext2Bold"/>
                <w:lang w:eastAsia="en-US" w:bidi="en-US"/>
              </w:rPr>
              <w:t>max</w:t>
            </w:r>
          </w:p>
        </w:tc>
      </w:tr>
      <w:tr w:rsidR="00F56DD3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E1E3E0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left"/>
            </w:pPr>
            <w:r>
              <w:rPr>
                <w:rStyle w:val="Bodytext2Bold"/>
              </w:rPr>
              <w:t>smluvní ujednání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2t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v závislosti na možnostech zadavatele</w:t>
            </w:r>
          </w:p>
        </w:tc>
      </w:tr>
      <w:tr w:rsidR="00F56DD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819" w:type="dxa"/>
            <w:shd w:val="clear" w:color="auto" w:fill="E1E3E0"/>
            <w:vAlign w:val="bottom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Bodytext2Bold"/>
              </w:rPr>
              <w:t>stanovení technických podmínek od dodavatele tepla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3t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F56DD3" w:rsidRDefault="00F56DD3" w:rsidP="008F1612">
            <w:pPr>
              <w:framePr w:w="9187" w:h="3250" w:wrap="none" w:vAnchor="page" w:hAnchor="page" w:x="1393" w:y="6085"/>
              <w:rPr>
                <w:sz w:val="10"/>
                <w:szCs w:val="10"/>
              </w:rPr>
            </w:pPr>
          </w:p>
        </w:tc>
      </w:tr>
      <w:tr w:rsidR="00F56DD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819" w:type="dxa"/>
            <w:shd w:val="clear" w:color="auto" w:fill="E1E3E0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Bodytext2Bold"/>
              </w:rPr>
              <w:t>příprava a instalace řídícího systému - zdroje tepla a distribuce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4t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DD3" w:rsidRDefault="00F56DD3" w:rsidP="008F1612">
            <w:pPr>
              <w:framePr w:w="9187" w:h="3250" w:wrap="none" w:vAnchor="page" w:hAnchor="page" w:x="1393" w:y="6085"/>
              <w:rPr>
                <w:sz w:val="10"/>
                <w:szCs w:val="10"/>
              </w:rPr>
            </w:pPr>
          </w:p>
        </w:tc>
      </w:tr>
      <w:tr w:rsidR="00F56DD3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819" w:type="dxa"/>
            <w:shd w:val="clear" w:color="auto" w:fill="FFFFFF"/>
            <w:vAlign w:val="bottom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Bodytext2Bold"/>
              </w:rPr>
              <w:t>instalace mechanických regulačních prvků na topnou soustavu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6t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Bodytext21"/>
              </w:rPr>
              <w:t>termín se může měnit v závislosti na využití objektu pro ubytování studentů</w:t>
            </w:r>
          </w:p>
        </w:tc>
      </w:tr>
      <w:tr w:rsidR="00F56DD3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819" w:type="dxa"/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left"/>
            </w:pPr>
            <w:r>
              <w:rPr>
                <w:rStyle w:val="Bodytext2Bold"/>
              </w:rPr>
              <w:t>předání, topná zkouška, nastavení systému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DD3" w:rsidRDefault="00557BC8" w:rsidP="008F1612">
            <w:pPr>
              <w:pStyle w:val="Bodytext20"/>
              <w:framePr w:w="9187" w:h="3250" w:wrap="none" w:vAnchor="page" w:hAnchor="page" w:x="1393" w:y="6085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1t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DD3" w:rsidRDefault="00F56DD3" w:rsidP="008F1612">
            <w:pPr>
              <w:framePr w:w="9187" w:h="3250" w:wrap="none" w:vAnchor="page" w:hAnchor="page" w:x="1393" w:y="6085"/>
              <w:rPr>
                <w:sz w:val="10"/>
                <w:szCs w:val="10"/>
              </w:rPr>
            </w:pPr>
          </w:p>
        </w:tc>
      </w:tr>
    </w:tbl>
    <w:p w:rsidR="00F56DD3" w:rsidRDefault="00557BC8">
      <w:pPr>
        <w:pStyle w:val="Bodytext40"/>
        <w:framePr w:w="9206" w:h="1162" w:hRule="exact" w:wrap="none" w:vAnchor="page" w:hAnchor="page" w:x="1262" w:y="14108"/>
        <w:shd w:val="clear" w:color="auto" w:fill="auto"/>
        <w:spacing w:before="0"/>
        <w:ind w:right="20"/>
      </w:pPr>
      <w:r>
        <w:t xml:space="preserve">Data-lng, s.r.o. zapsaná Městským soudem v Praze, oddíl C, </w:t>
      </w:r>
      <w:r>
        <w:t>vložka 2B2493 I IČ: 252 54 863 I DIČ: CZ25254863</w:t>
      </w:r>
      <w:r>
        <w:br/>
      </w:r>
      <w:hyperlink r:id="rId6" w:history="1">
        <w:r w:rsidRPr="008F1612">
          <w:rPr>
            <w:rStyle w:val="Bodytext41"/>
            <w:lang w:val="cs-CZ"/>
          </w:rPr>
          <w:t>obchod@data-ina.cz</w:t>
        </w:r>
      </w:hyperlink>
      <w:r w:rsidRPr="008F1612">
        <w:rPr>
          <w:lang w:eastAsia="en-US" w:bidi="en-US"/>
        </w:rPr>
        <w:t xml:space="preserve"> </w:t>
      </w:r>
      <w:r>
        <w:t xml:space="preserve">I </w:t>
      </w:r>
      <w:hyperlink r:id="rId7" w:history="1">
        <w:r w:rsidRPr="008F1612">
          <w:rPr>
            <w:rStyle w:val="Bodytext41"/>
            <w:lang w:val="cs-CZ"/>
          </w:rPr>
          <w:t>www.data-irKi.cz</w:t>
        </w:r>
      </w:hyperlink>
      <w:r w:rsidRPr="008F1612">
        <w:rPr>
          <w:lang w:eastAsia="en-US" w:bidi="en-US"/>
        </w:rPr>
        <w:t xml:space="preserve"> </w:t>
      </w:r>
      <w:r>
        <w:t>I +420 371431111</w:t>
      </w:r>
      <w:r>
        <w:br/>
      </w:r>
    </w:p>
    <w:p w:rsidR="00F56DD3" w:rsidRDefault="00557BC8">
      <w:pPr>
        <w:pStyle w:val="Headerorfooter10"/>
        <w:framePr w:wrap="none" w:vAnchor="page" w:hAnchor="page" w:x="10386" w:y="15387"/>
        <w:shd w:val="clear" w:color="auto" w:fill="auto"/>
      </w:pPr>
      <w:r>
        <w:t>1</w:t>
      </w:r>
    </w:p>
    <w:p w:rsidR="00F56DD3" w:rsidRDefault="00F56DD3">
      <w:pPr>
        <w:rPr>
          <w:sz w:val="2"/>
          <w:szCs w:val="2"/>
        </w:rPr>
      </w:pPr>
      <w:bookmarkStart w:id="2" w:name="_GoBack"/>
      <w:bookmarkEnd w:id="2"/>
    </w:p>
    <w:sectPr w:rsidR="00F56D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C8" w:rsidRDefault="00557BC8">
      <w:r>
        <w:separator/>
      </w:r>
    </w:p>
  </w:endnote>
  <w:endnote w:type="continuationSeparator" w:id="0">
    <w:p w:rsidR="00557BC8" w:rsidRDefault="0055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C8" w:rsidRDefault="00557BC8"/>
  </w:footnote>
  <w:footnote w:type="continuationSeparator" w:id="0">
    <w:p w:rsidR="00557BC8" w:rsidRDefault="00557B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3"/>
    <w:rsid w:val="00557BC8"/>
    <w:rsid w:val="008F1612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849"/>
  <w15:docId w15:val="{7C516053-3BB7-4AB0-925B-7E0122BA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2">
    <w:name w:val="Heading #1|2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w w:val="20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after="480" w:line="224" w:lineRule="exact"/>
      <w:jc w:val="right"/>
      <w:outlineLvl w:val="0"/>
    </w:pPr>
    <w:rPr>
      <w:rFonts w:ascii="Arial" w:eastAsia="Arial" w:hAnsi="Arial" w:cs="Arial"/>
      <w:b/>
      <w:bCs/>
      <w:w w:val="200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80" w:after="680" w:line="23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680" w:after="26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980" w:line="246" w:lineRule="exact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960" w:line="365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ta-irK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data-in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2020-07-02T13:32:00Z</dcterms:created>
  <dcterms:modified xsi:type="dcterms:W3CDTF">2020-07-02T13:32:00Z</dcterms:modified>
</cp:coreProperties>
</file>