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4D" w:rsidRDefault="006567E5">
      <w:pPr>
        <w:pStyle w:val="Headerorfooter10"/>
        <w:framePr w:wrap="none" w:vAnchor="page" w:hAnchor="page" w:x="2783" w:y="1789"/>
        <w:shd w:val="clear" w:color="auto" w:fill="auto"/>
      </w:pPr>
      <w:r>
        <w:t>CONFIGURA</w:t>
      </w:r>
    </w:p>
    <w:p w:rsidR="003B554D" w:rsidRDefault="006567E5">
      <w:pPr>
        <w:pStyle w:val="Headerorfooter20"/>
        <w:framePr w:wrap="none" w:vAnchor="page" w:hAnchor="page" w:x="7319" w:y="1556"/>
        <w:shd w:val="clear" w:color="auto" w:fill="auto"/>
      </w:pPr>
      <w:r>
        <w:rPr>
          <w:rStyle w:val="Headerorfooter21"/>
          <w:b/>
          <w:bCs/>
          <w:i/>
          <w:iCs/>
        </w:rPr>
        <w:t>Nederman</w:t>
      </w:r>
    </w:p>
    <w:p w:rsidR="003B554D" w:rsidRDefault="006567E5">
      <w:pPr>
        <w:pStyle w:val="Bodytext20"/>
        <w:framePr w:wrap="none" w:vAnchor="page" w:hAnchor="page" w:x="1909" w:y="3089"/>
        <w:shd w:val="clear" w:color="auto" w:fill="auto"/>
        <w:spacing w:line="224" w:lineRule="exact"/>
        <w:ind w:firstLine="0"/>
      </w:pPr>
      <w:r>
        <w:t>Nabídka č.27068-20</w:t>
      </w:r>
    </w:p>
    <w:p w:rsidR="003B554D" w:rsidRDefault="006567E5" w:rsidP="00C329F8">
      <w:pPr>
        <w:pStyle w:val="Bodytext20"/>
        <w:framePr w:w="7512" w:h="1345" w:hRule="exact" w:wrap="none" w:vAnchor="page" w:hAnchor="page" w:x="1218" w:y="3089"/>
        <w:shd w:val="clear" w:color="auto" w:fill="auto"/>
        <w:ind w:left="5645" w:right="480" w:firstLine="0"/>
      </w:pPr>
      <w:r>
        <w:t>SPŠ Dopravní</w:t>
      </w:r>
      <w:r>
        <w:br/>
        <w:t>Průkopníků 290</w:t>
      </w:r>
      <w:r>
        <w:br/>
        <w:t>322 00 Plzeň</w:t>
      </w:r>
    </w:p>
    <w:p w:rsidR="003B554D" w:rsidRDefault="006567E5">
      <w:pPr>
        <w:pStyle w:val="Bodytext20"/>
        <w:framePr w:w="1728" w:h="507" w:hRule="exact" w:wrap="none" w:vAnchor="page" w:hAnchor="page" w:x="1208" w:y="5470"/>
        <w:shd w:val="clear" w:color="auto" w:fill="auto"/>
        <w:spacing w:line="224" w:lineRule="exact"/>
        <w:ind w:firstLine="0"/>
      </w:pPr>
      <w:r>
        <w:t>Vaše ref.</w:t>
      </w:r>
    </w:p>
    <w:p w:rsidR="003B554D" w:rsidRDefault="006567E5">
      <w:pPr>
        <w:pStyle w:val="Bodytext20"/>
        <w:framePr w:w="1728" w:h="507" w:hRule="exact" w:wrap="none" w:vAnchor="page" w:hAnchor="page" w:x="1208" w:y="5470"/>
        <w:shd w:val="clear" w:color="auto" w:fill="auto"/>
        <w:spacing w:line="224" w:lineRule="exact"/>
        <w:ind w:firstLine="0"/>
      </w:pPr>
      <w:r>
        <w:t>Jaroslav Kratochvíl</w:t>
      </w:r>
    </w:p>
    <w:p w:rsidR="003B554D" w:rsidRDefault="006567E5">
      <w:pPr>
        <w:pStyle w:val="Bodytext20"/>
        <w:framePr w:w="1430" w:h="514" w:hRule="exact" w:wrap="none" w:vAnchor="page" w:hAnchor="page" w:x="6191" w:y="5472"/>
        <w:shd w:val="clear" w:color="auto" w:fill="auto"/>
        <w:spacing w:line="221" w:lineRule="exact"/>
        <w:ind w:firstLine="0"/>
      </w:pPr>
      <w:r>
        <w:t>Naše ref. Přemysl Viktora</w:t>
      </w:r>
    </w:p>
    <w:p w:rsidR="003B554D" w:rsidRDefault="006567E5">
      <w:pPr>
        <w:pStyle w:val="Bodytext20"/>
        <w:framePr w:wrap="none" w:vAnchor="page" w:hAnchor="page" w:x="10055" w:y="5700"/>
        <w:shd w:val="clear" w:color="auto" w:fill="auto"/>
        <w:spacing w:line="224" w:lineRule="exact"/>
        <w:ind w:firstLine="0"/>
      </w:pPr>
      <w:r>
        <w:t>14.06.2020</w:t>
      </w:r>
    </w:p>
    <w:p w:rsidR="003B554D" w:rsidRDefault="006567E5">
      <w:pPr>
        <w:pStyle w:val="Heading210"/>
        <w:framePr w:wrap="none" w:vAnchor="page" w:hAnchor="page" w:x="1218" w:y="6974"/>
        <w:shd w:val="clear" w:color="auto" w:fill="auto"/>
        <w:spacing w:after="0"/>
        <w:ind w:left="3340"/>
      </w:pPr>
      <w:bookmarkStart w:id="0" w:name="bookmark0"/>
      <w:r>
        <w:t xml:space="preserve">Cenová nabídka </w:t>
      </w:r>
      <w:r>
        <w:rPr>
          <w:rStyle w:val="Heading2110pt"/>
          <w:b/>
          <w:bCs/>
        </w:rPr>
        <w:t xml:space="preserve">č. </w:t>
      </w:r>
      <w:r>
        <w:t>27068-20</w:t>
      </w:r>
      <w:bookmarkEnd w:id="0"/>
    </w:p>
    <w:p w:rsidR="003B554D" w:rsidRDefault="006567E5">
      <w:pPr>
        <w:pStyle w:val="Bodytext20"/>
        <w:framePr w:w="7512" w:h="6717" w:hRule="exact" w:wrap="none" w:vAnchor="page" w:hAnchor="page" w:x="1218" w:y="7985"/>
        <w:shd w:val="clear" w:color="auto" w:fill="auto"/>
        <w:spacing w:line="224" w:lineRule="exact"/>
        <w:ind w:left="200"/>
      </w:pPr>
      <w:r>
        <w:t>Dobrý den,</w:t>
      </w:r>
    </w:p>
    <w:p w:rsidR="003B554D" w:rsidRDefault="006567E5">
      <w:pPr>
        <w:pStyle w:val="Bodytext20"/>
        <w:framePr w:w="7512" w:h="6717" w:hRule="exact" w:wrap="none" w:vAnchor="page" w:hAnchor="page" w:x="1218" w:y="7985"/>
        <w:shd w:val="clear" w:color="auto" w:fill="auto"/>
        <w:spacing w:after="260" w:line="224" w:lineRule="exact"/>
        <w:ind w:left="200"/>
      </w:pPr>
      <w:r>
        <w:t>na základě Vaší poptávky si Vám dovoluji předložit cenovou nabídku.</w:t>
      </w:r>
    </w:p>
    <w:p w:rsidR="003B554D" w:rsidRDefault="006567E5">
      <w:pPr>
        <w:pStyle w:val="Heading310"/>
        <w:framePr w:w="7512" w:h="6717" w:hRule="exact" w:wrap="none" w:vAnchor="page" w:hAnchor="page" w:x="1218" w:y="7985"/>
        <w:shd w:val="clear" w:color="auto" w:fill="auto"/>
        <w:spacing w:before="0"/>
        <w:ind w:left="200"/>
      </w:pPr>
      <w:bookmarkStart w:id="1" w:name="bookmark1"/>
      <w:r>
        <w:rPr>
          <w:rStyle w:val="Heading311"/>
          <w:b/>
          <w:bCs/>
        </w:rPr>
        <w:t>Zadání:</w:t>
      </w:r>
      <w:bookmarkEnd w:id="1"/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494" w:lineRule="exact"/>
        <w:ind w:firstLine="0"/>
      </w:pPr>
      <w:r>
        <w:t xml:space="preserve">odsávání výfukových zplodin osobních vozidel </w:t>
      </w:r>
      <w:r>
        <w:rPr>
          <w:rStyle w:val="Bodytext2Bold"/>
        </w:rPr>
        <w:t>Popis návrhu řešení: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2"/>
        </w:numPr>
        <w:shd w:val="clear" w:color="auto" w:fill="auto"/>
        <w:tabs>
          <w:tab w:val="left" w:pos="339"/>
        </w:tabs>
        <w:spacing w:line="245" w:lineRule="exact"/>
        <w:ind w:left="200"/>
      </w:pPr>
      <w:r>
        <w:rPr>
          <w:rStyle w:val="Bodytext2Bold0"/>
        </w:rPr>
        <w:t xml:space="preserve">5x </w:t>
      </w:r>
      <w:r>
        <w:t xml:space="preserve">odsávací hadicový pružinový naviják 865, hadice </w:t>
      </w:r>
      <w:r>
        <w:rPr>
          <w:rStyle w:val="Bodytext2Bold0"/>
        </w:rPr>
        <w:t xml:space="preserve">DN100/5 m </w:t>
      </w:r>
      <w:r>
        <w:t>hadicí NTP,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odsávací koncovka, ventilátor N 16/0,55 kW, motorová spoust.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dílna č.l, 3, 5, 7, 8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 xml:space="preserve">odsávací navijáky se </w:t>
      </w:r>
      <w:r>
        <w:t>připevní na konzole a ukotví se na sloupy v dílnách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after="277" w:line="245" w:lineRule="exact"/>
        <w:ind w:left="200"/>
      </w:pPr>
      <w:r>
        <w:t>potrubí bude připojeno na připravená hrdla ve stropě, na střeše bude ukončeno výfukovým kusem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2"/>
        </w:numPr>
        <w:shd w:val="clear" w:color="auto" w:fill="auto"/>
        <w:tabs>
          <w:tab w:val="left" w:pos="354"/>
        </w:tabs>
        <w:spacing w:line="224" w:lineRule="exact"/>
        <w:ind w:left="200"/>
      </w:pPr>
      <w:r>
        <w:rPr>
          <w:rStyle w:val="Bodytext2Bold0"/>
        </w:rPr>
        <w:t xml:space="preserve">2x </w:t>
      </w:r>
      <w:r>
        <w:t xml:space="preserve">odsávací hadicový pružinový naviják 865, hadice </w:t>
      </w:r>
      <w:r>
        <w:rPr>
          <w:rStyle w:val="Bodytext2Bold0"/>
        </w:rPr>
        <w:t xml:space="preserve">DN100/10 m </w:t>
      </w:r>
      <w:r>
        <w:t>hadicí NTP,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odsávací koncovka, ventilátor N 16/0</w:t>
      </w:r>
      <w:r>
        <w:t>,55 kW, motorová spoušt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potrubí skrz zeď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dílna č. 16, 17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odsávací navijáky se připevní na zeď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after="277" w:line="245" w:lineRule="exact"/>
        <w:ind w:left="200"/>
      </w:pPr>
      <w:r>
        <w:t>potrubí povede skrz zeď a bude ukončeno šikmým výfukových kusem</w:t>
      </w:r>
    </w:p>
    <w:p w:rsidR="003B554D" w:rsidRDefault="006567E5">
      <w:pPr>
        <w:pStyle w:val="Bodytext20"/>
        <w:framePr w:w="7512" w:h="6717" w:hRule="exact" w:wrap="none" w:vAnchor="page" w:hAnchor="page" w:x="1218" w:y="7985"/>
        <w:shd w:val="clear" w:color="auto" w:fill="auto"/>
        <w:spacing w:line="224" w:lineRule="exact"/>
        <w:ind w:left="200" w:firstLine="0"/>
      </w:pPr>
      <w:r>
        <w:rPr>
          <w:rStyle w:val="Bodytext2Bold0"/>
        </w:rPr>
        <w:t xml:space="preserve">lx </w:t>
      </w:r>
      <w:r>
        <w:t xml:space="preserve">odsávací hadicový pružinový naviják 865, hadice </w:t>
      </w:r>
      <w:r>
        <w:rPr>
          <w:rStyle w:val="Bodytext2Bold0"/>
        </w:rPr>
        <w:t xml:space="preserve">DN100/7,5 m </w:t>
      </w:r>
      <w:r>
        <w:t>hadicí NTP,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odsávací koncovka, vent</w:t>
      </w:r>
      <w:r>
        <w:t>ilátor N 16/0,55 kW, motorová spoušt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potrubí skrz zeď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dílna č. 14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odsávací naviják se připevní na strop</w:t>
      </w:r>
    </w:p>
    <w:p w:rsidR="003B554D" w:rsidRDefault="006567E5">
      <w:pPr>
        <w:pStyle w:val="Bodytext20"/>
        <w:framePr w:w="7512" w:h="6717" w:hRule="exact" w:wrap="none" w:vAnchor="page" w:hAnchor="page" w:x="1218" w:y="7985"/>
        <w:numPr>
          <w:ilvl w:val="0"/>
          <w:numId w:val="1"/>
        </w:numPr>
        <w:shd w:val="clear" w:color="auto" w:fill="auto"/>
        <w:tabs>
          <w:tab w:val="left" w:pos="273"/>
        </w:tabs>
        <w:spacing w:line="245" w:lineRule="exact"/>
        <w:ind w:left="200"/>
      </w:pPr>
      <w:r>
        <w:t>potrubí povede skrz zeď a bude ukončeno šikmým výfukových kusem</w:t>
      </w:r>
    </w:p>
    <w:p w:rsidR="003B554D" w:rsidRDefault="003B554D">
      <w:pPr>
        <w:rPr>
          <w:sz w:val="2"/>
          <w:szCs w:val="2"/>
        </w:rPr>
        <w:sectPr w:rsidR="003B5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3B554D" w:rsidRDefault="006567E5">
      <w:pPr>
        <w:pStyle w:val="Headerorfooter10"/>
        <w:framePr w:wrap="none" w:vAnchor="page" w:hAnchor="page" w:x="2773" w:y="1788"/>
        <w:shd w:val="clear" w:color="auto" w:fill="auto"/>
      </w:pPr>
      <w:r>
        <w:lastRenderedPageBreak/>
        <w:t>CONFIGURA</w:t>
      </w:r>
    </w:p>
    <w:p w:rsidR="003B554D" w:rsidRDefault="006567E5">
      <w:pPr>
        <w:pStyle w:val="Headerorfooter20"/>
        <w:framePr w:wrap="none" w:vAnchor="page" w:hAnchor="page" w:x="7309" w:y="1561"/>
        <w:shd w:val="clear" w:color="auto" w:fill="auto"/>
      </w:pPr>
      <w:r>
        <w:rPr>
          <w:rStyle w:val="Headerorfooter21"/>
          <w:b/>
          <w:bCs/>
          <w:i/>
          <w:iCs/>
        </w:rPr>
        <w:t>Nederman</w:t>
      </w:r>
    </w:p>
    <w:p w:rsidR="003B554D" w:rsidRDefault="006567E5">
      <w:pPr>
        <w:pStyle w:val="Heading310"/>
        <w:framePr w:w="9797" w:h="3284" w:hRule="exact" w:wrap="none" w:vAnchor="page" w:hAnchor="page" w:x="1199" w:y="3240"/>
        <w:shd w:val="clear" w:color="auto" w:fill="auto"/>
        <w:spacing w:before="0" w:line="245" w:lineRule="exact"/>
        <w:ind w:firstLine="0"/>
      </w:pPr>
      <w:bookmarkStart w:id="3" w:name="bookmark2"/>
      <w:r>
        <w:t>Odsávací hadicový naviják 865</w:t>
      </w:r>
      <w:bookmarkEnd w:id="3"/>
    </w:p>
    <w:p w:rsidR="003B554D" w:rsidRDefault="006567E5">
      <w:pPr>
        <w:pStyle w:val="Bodytext20"/>
        <w:framePr w:w="9797" w:h="3284" w:hRule="exact" w:wrap="none" w:vAnchor="page" w:hAnchor="page" w:x="1199" w:y="3240"/>
        <w:shd w:val="clear" w:color="auto" w:fill="auto"/>
        <w:spacing w:line="245" w:lineRule="exact"/>
        <w:ind w:firstLine="0"/>
      </w:pPr>
      <w:r>
        <w:t xml:space="preserve">Motoricky </w:t>
      </w:r>
      <w:r>
        <w:t>poháněný nebo pružinový odsávací hadicový naviják určený pro osobní i nákladní vozidla.</w:t>
      </w:r>
    </w:p>
    <w:p w:rsidR="003B554D" w:rsidRDefault="006567E5">
      <w:pPr>
        <w:pStyle w:val="Bodytext20"/>
        <w:framePr w:w="9797" w:h="3284" w:hRule="exact" w:wrap="none" w:vAnchor="page" w:hAnchor="page" w:x="1199" w:y="3240"/>
        <w:shd w:val="clear" w:color="auto" w:fill="auto"/>
        <w:spacing w:after="277" w:line="245" w:lineRule="exact"/>
        <w:ind w:firstLine="0"/>
      </w:pPr>
      <w:r>
        <w:t xml:space="preserve">Nejlepší řešení pro garáže a dílny s vyšším stropem nebo tam, kde jsou mostové jeřáby nebo kam zajíždějí vysoká vozidla. Odvíjení navijáku může být pomocí bezdrátového </w:t>
      </w:r>
      <w:r>
        <w:t>dálkového ovládání nebo pomocí ovladače na kabelu. Přijímací čočka na navijáku zároveň světelně zobrazuje stav navijáku. Elektronické systémy maximální a minimální polohy chrání před poškozením. Spouštění a odstavování ventilátoru je spouštěno elektronicky</w:t>
      </w:r>
      <w:r>
        <w:t>. Je možné instalovat ventilátor přímo na odsávací naviják.</w:t>
      </w:r>
    </w:p>
    <w:p w:rsidR="003B554D" w:rsidRDefault="006567E5">
      <w:pPr>
        <w:pStyle w:val="Bodytext20"/>
        <w:framePr w:w="9797" w:h="3284" w:hRule="exact" w:wrap="none" w:vAnchor="page" w:hAnchor="page" w:x="1199" w:y="3240"/>
        <w:numPr>
          <w:ilvl w:val="0"/>
          <w:numId w:val="1"/>
        </w:numPr>
        <w:shd w:val="clear" w:color="auto" w:fill="auto"/>
        <w:tabs>
          <w:tab w:val="left" w:pos="264"/>
        </w:tabs>
        <w:spacing w:line="224" w:lineRule="exact"/>
        <w:ind w:firstLine="0"/>
      </w:pPr>
      <w:r>
        <w:t>pohodlné a bezpečné ovládání</w:t>
      </w:r>
    </w:p>
    <w:p w:rsidR="003B554D" w:rsidRDefault="006567E5">
      <w:pPr>
        <w:pStyle w:val="Bodytext20"/>
        <w:framePr w:w="9797" w:h="3284" w:hRule="exact" w:wrap="none" w:vAnchor="page" w:hAnchor="page" w:x="1199" w:y="3240"/>
        <w:numPr>
          <w:ilvl w:val="0"/>
          <w:numId w:val="1"/>
        </w:numPr>
        <w:shd w:val="clear" w:color="auto" w:fill="auto"/>
        <w:tabs>
          <w:tab w:val="left" w:pos="264"/>
        </w:tabs>
        <w:spacing w:line="245" w:lineRule="exact"/>
        <w:ind w:firstLine="0"/>
      </w:pPr>
      <w:r>
        <w:t>automatický start ventilátoru</w:t>
      </w:r>
    </w:p>
    <w:p w:rsidR="003B554D" w:rsidRDefault="006567E5">
      <w:pPr>
        <w:pStyle w:val="Bodytext20"/>
        <w:framePr w:w="9797" w:h="3284" w:hRule="exact" w:wrap="none" w:vAnchor="page" w:hAnchor="page" w:x="1199" w:y="3240"/>
        <w:numPr>
          <w:ilvl w:val="0"/>
          <w:numId w:val="1"/>
        </w:numPr>
        <w:shd w:val="clear" w:color="auto" w:fill="auto"/>
        <w:tabs>
          <w:tab w:val="left" w:pos="264"/>
        </w:tabs>
        <w:spacing w:line="245" w:lineRule="exact"/>
        <w:ind w:firstLine="0"/>
      </w:pPr>
      <w:r>
        <w:t>nastavení pro koncové polohy se provádí ze země</w:t>
      </w:r>
    </w:p>
    <w:p w:rsidR="003B554D" w:rsidRDefault="006567E5">
      <w:pPr>
        <w:pStyle w:val="Bodytext20"/>
        <w:framePr w:w="9797" w:h="3284" w:hRule="exact" w:wrap="none" w:vAnchor="page" w:hAnchor="page" w:x="1199" w:y="3240"/>
        <w:numPr>
          <w:ilvl w:val="0"/>
          <w:numId w:val="1"/>
        </w:numPr>
        <w:shd w:val="clear" w:color="auto" w:fill="auto"/>
        <w:tabs>
          <w:tab w:val="left" w:pos="264"/>
        </w:tabs>
        <w:spacing w:line="245" w:lineRule="exact"/>
        <w:ind w:firstLine="0"/>
      </w:pPr>
      <w:r>
        <w:t>kompaktní a moderní design</w:t>
      </w:r>
    </w:p>
    <w:p w:rsidR="003B554D" w:rsidRDefault="006567E5">
      <w:pPr>
        <w:pStyle w:val="Bodytext20"/>
        <w:framePr w:w="9797" w:h="3284" w:hRule="exact" w:wrap="none" w:vAnchor="page" w:hAnchor="page" w:x="1199" w:y="3240"/>
        <w:numPr>
          <w:ilvl w:val="0"/>
          <w:numId w:val="1"/>
        </w:numPr>
        <w:shd w:val="clear" w:color="auto" w:fill="auto"/>
        <w:tabs>
          <w:tab w:val="left" w:pos="264"/>
        </w:tabs>
        <w:spacing w:line="245" w:lineRule="exact"/>
        <w:ind w:firstLine="0"/>
      </w:pPr>
      <w:r>
        <w:t>rychlá a jednoduchá instalace</w:t>
      </w:r>
    </w:p>
    <w:p w:rsidR="003B554D" w:rsidRDefault="006567E5">
      <w:pPr>
        <w:pStyle w:val="Heading310"/>
        <w:framePr w:w="9797" w:h="5496" w:hRule="exact" w:wrap="none" w:vAnchor="page" w:hAnchor="page" w:x="1199" w:y="7211"/>
        <w:shd w:val="clear" w:color="auto" w:fill="auto"/>
        <w:spacing w:before="0" w:line="250" w:lineRule="exact"/>
        <w:ind w:firstLine="0"/>
      </w:pPr>
      <w:bookmarkStart w:id="4" w:name="bookmark3"/>
      <w:r>
        <w:rPr>
          <w:rStyle w:val="Heading311"/>
          <w:b/>
          <w:bCs/>
        </w:rPr>
        <w:t xml:space="preserve">Technické údaje a katalogové </w:t>
      </w:r>
      <w:r>
        <w:rPr>
          <w:rStyle w:val="Heading311"/>
          <w:b/>
          <w:bCs/>
        </w:rPr>
        <w:t>listy:</w:t>
      </w:r>
      <w:bookmarkEnd w:id="4"/>
    </w:p>
    <w:p w:rsidR="003B554D" w:rsidRDefault="006567E5">
      <w:pPr>
        <w:pStyle w:val="Bodytext20"/>
        <w:framePr w:w="9797" w:h="5496" w:hRule="exact" w:wrap="none" w:vAnchor="page" w:hAnchor="page" w:x="1199" w:y="7211"/>
        <w:shd w:val="clear" w:color="auto" w:fill="auto"/>
        <w:spacing w:after="264" w:line="250" w:lineRule="exact"/>
        <w:ind w:firstLine="0"/>
      </w:pPr>
      <w:r>
        <w:t>Technické údaje a katalogové listy zařízení jsou k dispozici na webových stránkách společnosti Nederman CR s.r.o.:</w:t>
      </w:r>
    </w:p>
    <w:p w:rsidR="003B554D" w:rsidRDefault="006567E5">
      <w:pPr>
        <w:pStyle w:val="Heading310"/>
        <w:framePr w:w="9797" w:h="5496" w:hRule="exact" w:wrap="none" w:vAnchor="page" w:hAnchor="page" w:x="1199" w:y="7211"/>
        <w:shd w:val="clear" w:color="auto" w:fill="auto"/>
        <w:spacing w:before="0" w:line="245" w:lineRule="exact"/>
        <w:ind w:firstLine="0"/>
      </w:pPr>
      <w:bookmarkStart w:id="5" w:name="bookmark4"/>
      <w:r>
        <w:rPr>
          <w:rStyle w:val="Heading311"/>
          <w:b/>
          <w:bCs/>
        </w:rPr>
        <w:t>Součástí dodávky je:</w:t>
      </w:r>
      <w:bookmarkEnd w:id="5"/>
    </w:p>
    <w:p w:rsidR="003B554D" w:rsidRDefault="006567E5">
      <w:pPr>
        <w:pStyle w:val="Bodytext20"/>
        <w:framePr w:w="9797" w:h="5496" w:hRule="exact" w:wrap="none" w:vAnchor="page" w:hAnchor="page" w:x="1199" w:y="7211"/>
        <w:numPr>
          <w:ilvl w:val="0"/>
          <w:numId w:val="1"/>
        </w:numPr>
        <w:shd w:val="clear" w:color="auto" w:fill="auto"/>
        <w:tabs>
          <w:tab w:val="left" w:pos="264"/>
        </w:tabs>
        <w:spacing w:line="245" w:lineRule="exact"/>
        <w:ind w:firstLine="0"/>
      </w:pPr>
      <w:r>
        <w:t>komponenty uvedené v nabídce níže</w:t>
      </w:r>
    </w:p>
    <w:p w:rsidR="003B554D" w:rsidRDefault="006567E5">
      <w:pPr>
        <w:pStyle w:val="Bodytext20"/>
        <w:framePr w:w="9797" w:h="5496" w:hRule="exact" w:wrap="none" w:vAnchor="page" w:hAnchor="page" w:x="1199" w:y="7211"/>
        <w:numPr>
          <w:ilvl w:val="0"/>
          <w:numId w:val="1"/>
        </w:numPr>
        <w:shd w:val="clear" w:color="auto" w:fill="auto"/>
        <w:tabs>
          <w:tab w:val="left" w:pos="264"/>
        </w:tabs>
        <w:spacing w:line="245" w:lineRule="exact"/>
        <w:ind w:firstLine="0"/>
      </w:pPr>
      <w:r>
        <w:t>doprava na místo určení</w:t>
      </w:r>
    </w:p>
    <w:p w:rsidR="003B554D" w:rsidRDefault="006567E5">
      <w:pPr>
        <w:pStyle w:val="Bodytext20"/>
        <w:framePr w:w="9797" w:h="5496" w:hRule="exact" w:wrap="none" w:vAnchor="page" w:hAnchor="page" w:x="1199" w:y="7211"/>
        <w:numPr>
          <w:ilvl w:val="0"/>
          <w:numId w:val="1"/>
        </w:numPr>
        <w:shd w:val="clear" w:color="auto" w:fill="auto"/>
        <w:tabs>
          <w:tab w:val="left" w:pos="267"/>
        </w:tabs>
        <w:spacing w:line="245" w:lineRule="exact"/>
        <w:ind w:firstLine="0"/>
      </w:pPr>
      <w:r>
        <w:t>montáž, instalace, potrubí, 5x kotevní rám na sloup,</w:t>
      </w:r>
    </w:p>
    <w:p w:rsidR="003B554D" w:rsidRDefault="006567E5">
      <w:pPr>
        <w:pStyle w:val="Bodytext20"/>
        <w:framePr w:w="9797" w:h="5496" w:hRule="exact" w:wrap="none" w:vAnchor="page" w:hAnchor="page" w:x="1199" w:y="7211"/>
        <w:numPr>
          <w:ilvl w:val="0"/>
          <w:numId w:val="1"/>
        </w:numPr>
        <w:shd w:val="clear" w:color="auto" w:fill="auto"/>
        <w:tabs>
          <w:tab w:val="left" w:pos="267"/>
        </w:tabs>
        <w:spacing w:line="245" w:lineRule="exact"/>
        <w:ind w:firstLine="0"/>
      </w:pPr>
      <w:r>
        <w:t>stavební prostupy zdí (3x venkovní zeď, lx příčka)</w:t>
      </w:r>
    </w:p>
    <w:p w:rsidR="003B554D" w:rsidRDefault="006567E5">
      <w:pPr>
        <w:pStyle w:val="Bodytext20"/>
        <w:framePr w:w="9797" w:h="5496" w:hRule="exact" w:wrap="none" w:vAnchor="page" w:hAnchor="page" w:x="1199" w:y="7211"/>
        <w:numPr>
          <w:ilvl w:val="0"/>
          <w:numId w:val="1"/>
        </w:numPr>
        <w:shd w:val="clear" w:color="auto" w:fill="auto"/>
        <w:tabs>
          <w:tab w:val="left" w:pos="267"/>
        </w:tabs>
        <w:spacing w:line="245" w:lineRule="exact"/>
        <w:ind w:firstLine="0"/>
      </w:pPr>
      <w:r>
        <w:t>výfukový kus pro ukončení potrubí na střeše (4 ks)</w:t>
      </w:r>
    </w:p>
    <w:p w:rsidR="003B554D" w:rsidRDefault="006567E5">
      <w:pPr>
        <w:pStyle w:val="Bodytext20"/>
        <w:framePr w:w="9797" w:h="5496" w:hRule="exact" w:wrap="none" w:vAnchor="page" w:hAnchor="page" w:x="1199" w:y="7211"/>
        <w:numPr>
          <w:ilvl w:val="0"/>
          <w:numId w:val="1"/>
        </w:numPr>
        <w:shd w:val="clear" w:color="auto" w:fill="auto"/>
        <w:tabs>
          <w:tab w:val="left" w:pos="267"/>
        </w:tabs>
        <w:spacing w:after="277" w:line="245" w:lineRule="exact"/>
        <w:ind w:left="180" w:hanging="180"/>
      </w:pPr>
      <w:r>
        <w:t>elektrozapojení, kabely, jističe+přivedení kabelů k ventilátoru od rozvaděčů, napojení výfuků na zemnící soustavu, revize elektro</w:t>
      </w:r>
    </w:p>
    <w:p w:rsidR="003B554D" w:rsidRDefault="006567E5">
      <w:pPr>
        <w:pStyle w:val="Heading310"/>
        <w:framePr w:w="9797" w:h="5496" w:hRule="exact" w:wrap="none" w:vAnchor="page" w:hAnchor="page" w:x="1199" w:y="7211"/>
        <w:shd w:val="clear" w:color="auto" w:fill="auto"/>
        <w:spacing w:before="0"/>
        <w:ind w:firstLine="0"/>
      </w:pPr>
      <w:bookmarkStart w:id="6" w:name="bookmark5"/>
      <w:r>
        <w:rPr>
          <w:rStyle w:val="Heading311"/>
          <w:b/>
          <w:bCs/>
        </w:rPr>
        <w:t>Součástí dodávky není:</w:t>
      </w:r>
      <w:bookmarkEnd w:id="6"/>
    </w:p>
    <w:p w:rsidR="003B554D" w:rsidRDefault="006567E5">
      <w:pPr>
        <w:pStyle w:val="Bodytext20"/>
        <w:framePr w:w="9797" w:h="5496" w:hRule="exact" w:wrap="none" w:vAnchor="page" w:hAnchor="page" w:x="1199" w:y="7211"/>
        <w:numPr>
          <w:ilvl w:val="0"/>
          <w:numId w:val="1"/>
        </w:numPr>
        <w:shd w:val="clear" w:color="auto" w:fill="auto"/>
        <w:tabs>
          <w:tab w:val="left" w:pos="267"/>
        </w:tabs>
        <w:spacing w:after="260" w:line="224" w:lineRule="exact"/>
        <w:ind w:firstLine="0"/>
      </w:pPr>
      <w:r>
        <w:t>e</w:t>
      </w:r>
      <w:r>
        <w:t>lektrická energie 3f, 400V</w:t>
      </w:r>
    </w:p>
    <w:p w:rsidR="003B554D" w:rsidRDefault="006567E5">
      <w:pPr>
        <w:pStyle w:val="Heading310"/>
        <w:framePr w:w="9797" w:h="5496" w:hRule="exact" w:wrap="none" w:vAnchor="page" w:hAnchor="page" w:x="1199" w:y="7211"/>
        <w:shd w:val="clear" w:color="auto" w:fill="auto"/>
        <w:spacing w:before="0"/>
        <w:ind w:firstLine="0"/>
      </w:pPr>
      <w:bookmarkStart w:id="7" w:name="bookmark6"/>
      <w:r>
        <w:rPr>
          <w:rStyle w:val="Heading311"/>
          <w:b/>
          <w:bCs/>
        </w:rPr>
        <w:t>Upozornění - prostředí s nebezpečím výbuchu:</w:t>
      </w:r>
      <w:bookmarkEnd w:id="7"/>
    </w:p>
    <w:p w:rsidR="003B554D" w:rsidRDefault="006567E5">
      <w:pPr>
        <w:pStyle w:val="Bodytext20"/>
        <w:framePr w:w="9797" w:h="5496" w:hRule="exact" w:wrap="none" w:vAnchor="page" w:hAnchor="page" w:x="1199" w:y="7211"/>
        <w:shd w:val="clear" w:color="auto" w:fill="auto"/>
        <w:spacing w:after="243" w:line="224" w:lineRule="exact"/>
        <w:ind w:firstLine="0"/>
      </w:pPr>
      <w:r>
        <w:t>Zařízení není určeno pro odsávání látek, které tvoří se vzduchem výbušnou směs.</w:t>
      </w:r>
    </w:p>
    <w:p w:rsidR="003B554D" w:rsidRDefault="006567E5">
      <w:pPr>
        <w:pStyle w:val="Heading310"/>
        <w:framePr w:w="9797" w:h="5496" w:hRule="exact" w:wrap="none" w:vAnchor="page" w:hAnchor="page" w:x="1199" w:y="7211"/>
        <w:shd w:val="clear" w:color="auto" w:fill="auto"/>
        <w:spacing w:before="0" w:line="245" w:lineRule="exact"/>
        <w:ind w:firstLine="0"/>
      </w:pPr>
      <w:bookmarkStart w:id="8" w:name="bookmark7"/>
      <w:r>
        <w:rPr>
          <w:rStyle w:val="Heading311"/>
          <w:b/>
          <w:bCs/>
        </w:rPr>
        <w:t>Doporučení:</w:t>
      </w:r>
      <w:bookmarkEnd w:id="8"/>
    </w:p>
    <w:p w:rsidR="003B554D" w:rsidRDefault="006567E5">
      <w:pPr>
        <w:pStyle w:val="Bodytext20"/>
        <w:framePr w:w="9797" w:h="5496" w:hRule="exact" w:wrap="none" w:vAnchor="page" w:hAnchor="page" w:x="1199" w:y="7211"/>
        <w:shd w:val="clear" w:color="auto" w:fill="auto"/>
        <w:spacing w:line="245" w:lineRule="exact"/>
        <w:ind w:firstLine="0"/>
      </w:pPr>
      <w:r>
        <w:t xml:space="preserve">V záruční době doporučuji vůbec nezasahovat do odsávacího systému. Servisní technik </w:t>
      </w:r>
      <w:r>
        <w:t>společnosti Nederman CR s.r.o. provádí v pravidelných intervalech kontrolu systému. Blíže Servisní smlouva.</w:t>
      </w:r>
    </w:p>
    <w:p w:rsidR="003B554D" w:rsidRDefault="006567E5">
      <w:pPr>
        <w:pStyle w:val="Headerorfooter30"/>
        <w:framePr w:wrap="none" w:vAnchor="page" w:hAnchor="page" w:x="10621" w:y="14873"/>
        <w:shd w:val="clear" w:color="auto" w:fill="auto"/>
      </w:pPr>
      <w:r>
        <w:t>2(4)</w:t>
      </w:r>
    </w:p>
    <w:p w:rsidR="003B554D" w:rsidRDefault="003B554D">
      <w:pPr>
        <w:rPr>
          <w:sz w:val="2"/>
          <w:szCs w:val="2"/>
        </w:rPr>
        <w:sectPr w:rsidR="003B5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554D" w:rsidRDefault="006567E5">
      <w:pPr>
        <w:pStyle w:val="Headerorfooter10"/>
        <w:framePr w:wrap="none" w:vAnchor="page" w:hAnchor="page" w:x="2784" w:y="1793"/>
        <w:shd w:val="clear" w:color="auto" w:fill="auto"/>
      </w:pPr>
      <w:r>
        <w:lastRenderedPageBreak/>
        <w:t>CONFIGURA</w:t>
      </w:r>
    </w:p>
    <w:p w:rsidR="003B554D" w:rsidRDefault="006567E5">
      <w:pPr>
        <w:pStyle w:val="Headerorfooter20"/>
        <w:framePr w:wrap="none" w:vAnchor="page" w:hAnchor="page" w:x="7325" w:y="1570"/>
        <w:shd w:val="clear" w:color="auto" w:fill="auto"/>
      </w:pPr>
      <w:r>
        <w:rPr>
          <w:rStyle w:val="Headerorfooter21"/>
          <w:b/>
          <w:bCs/>
          <w:i/>
          <w:iCs/>
        </w:rPr>
        <w:t>Nederman</w:t>
      </w:r>
    </w:p>
    <w:p w:rsidR="003B554D" w:rsidRDefault="006567E5">
      <w:pPr>
        <w:pStyle w:val="Bodytext30"/>
        <w:framePr w:w="2155" w:h="1801" w:hRule="exact" w:wrap="none" w:vAnchor="page" w:hAnchor="page" w:x="1214" w:y="4973"/>
        <w:shd w:val="clear" w:color="auto" w:fill="auto"/>
      </w:pPr>
      <w:r>
        <w:rPr>
          <w:rStyle w:val="Bodytext31"/>
          <w:b/>
          <w:bCs/>
        </w:rPr>
        <w:t>Obchodní podmínky:</w:t>
      </w:r>
    </w:p>
    <w:p w:rsidR="003B554D" w:rsidRDefault="006567E5">
      <w:pPr>
        <w:pStyle w:val="Bodytext20"/>
        <w:framePr w:w="2155" w:h="1801" w:hRule="exact" w:wrap="none" w:vAnchor="page" w:hAnchor="page" w:x="1214" w:y="4973"/>
        <w:shd w:val="clear" w:color="auto" w:fill="auto"/>
        <w:spacing w:line="245" w:lineRule="exact"/>
        <w:ind w:firstLine="0"/>
      </w:pPr>
      <w:r>
        <w:t>Cena:</w:t>
      </w:r>
    </w:p>
    <w:p w:rsidR="003B554D" w:rsidRDefault="006567E5">
      <w:pPr>
        <w:pStyle w:val="Bodytext20"/>
        <w:framePr w:w="2155" w:h="1801" w:hRule="exact" w:wrap="none" w:vAnchor="page" w:hAnchor="page" w:x="1214" w:y="4973"/>
        <w:shd w:val="clear" w:color="auto" w:fill="auto"/>
        <w:spacing w:line="245" w:lineRule="exact"/>
        <w:ind w:firstLine="0"/>
      </w:pPr>
      <w:r>
        <w:t>Platební podmínky: Dodací termín: Doprava:</w:t>
      </w:r>
    </w:p>
    <w:p w:rsidR="003B554D" w:rsidRDefault="006567E5">
      <w:pPr>
        <w:pStyle w:val="Bodytext20"/>
        <w:framePr w:w="2155" w:h="1801" w:hRule="exact" w:wrap="none" w:vAnchor="page" w:hAnchor="page" w:x="1214" w:y="4973"/>
        <w:shd w:val="clear" w:color="auto" w:fill="auto"/>
        <w:spacing w:line="245" w:lineRule="exact"/>
        <w:ind w:firstLine="0"/>
      </w:pPr>
      <w:r>
        <w:t>Záruka:</w:t>
      </w:r>
    </w:p>
    <w:p w:rsidR="003B554D" w:rsidRDefault="006567E5">
      <w:pPr>
        <w:pStyle w:val="Bodytext20"/>
        <w:framePr w:w="2155" w:h="1801" w:hRule="exact" w:wrap="none" w:vAnchor="page" w:hAnchor="page" w:x="1214" w:y="4973"/>
        <w:shd w:val="clear" w:color="auto" w:fill="auto"/>
        <w:spacing w:line="245" w:lineRule="exact"/>
        <w:ind w:firstLine="0"/>
      </w:pPr>
      <w:r>
        <w:t>Platnost nabídky:</w:t>
      </w:r>
    </w:p>
    <w:p w:rsidR="003B554D" w:rsidRDefault="006567E5">
      <w:pPr>
        <w:pStyle w:val="Bodytext20"/>
        <w:framePr w:w="9797" w:h="1551" w:hRule="exact" w:wrap="none" w:vAnchor="page" w:hAnchor="page" w:x="1210" w:y="5227"/>
        <w:shd w:val="clear" w:color="auto" w:fill="auto"/>
        <w:spacing w:line="245" w:lineRule="exact"/>
        <w:ind w:left="2578" w:firstLine="0"/>
      </w:pPr>
      <w:r>
        <w:t xml:space="preserve">bez </w:t>
      </w:r>
      <w:r>
        <w:t>DPH,</w:t>
      </w:r>
    </w:p>
    <w:p w:rsidR="003B554D" w:rsidRDefault="006567E5">
      <w:pPr>
        <w:pStyle w:val="Bodytext20"/>
        <w:framePr w:w="9797" w:h="1551" w:hRule="exact" w:wrap="none" w:vAnchor="page" w:hAnchor="page" w:x="1210" w:y="5227"/>
        <w:shd w:val="clear" w:color="auto" w:fill="auto"/>
        <w:spacing w:line="245" w:lineRule="exact"/>
        <w:ind w:left="2578" w:right="1080" w:firstLine="0"/>
      </w:pPr>
      <w:r>
        <w:t>30 % do 7 dnů od objednávky, 70 % do 30 dnů od předání zařízení</w:t>
      </w:r>
      <w:r>
        <w:br/>
        <w:t>4 týdny zařízení, 3-5 dny instalace</w:t>
      </w:r>
      <w:r>
        <w:br/>
        <w:t>náklady na dopravu hradí společnost Nederman CR s.r.o.</w:t>
      </w:r>
    </w:p>
    <w:p w:rsidR="003B554D" w:rsidRDefault="006567E5">
      <w:pPr>
        <w:pStyle w:val="Bodytext20"/>
        <w:framePr w:w="9797" w:h="1551" w:hRule="exact" w:wrap="none" w:vAnchor="page" w:hAnchor="page" w:x="1210" w:y="5227"/>
        <w:shd w:val="clear" w:color="auto" w:fill="auto"/>
        <w:spacing w:line="245" w:lineRule="exact"/>
        <w:ind w:left="2578" w:right="1080" w:firstLine="0"/>
      </w:pPr>
      <w:r>
        <w:t>24 měsíců od data předání zařízení</w:t>
      </w:r>
      <w:r>
        <w:br/>
      </w:r>
      <w:r>
        <w:rPr>
          <w:rStyle w:val="Bodytext2TimesNewRoman105ptBold"/>
          <w:rFonts w:eastAsia="Arial"/>
        </w:rPr>
        <w:t>12</w:t>
      </w:r>
      <w:r>
        <w:rPr>
          <w:rStyle w:val="Bodytext295pt"/>
        </w:rPr>
        <w:t xml:space="preserve">/ </w:t>
      </w:r>
      <w:r>
        <w:rPr>
          <w:rStyle w:val="Bodytext2TimesNewRoman105ptBold"/>
          <w:rFonts w:eastAsia="Arial"/>
        </w:rPr>
        <w:t>2020</w:t>
      </w:r>
    </w:p>
    <w:p w:rsidR="003B554D" w:rsidRDefault="006567E5">
      <w:pPr>
        <w:pStyle w:val="Bodytext20"/>
        <w:framePr w:w="9797" w:h="1755" w:hRule="exact" w:wrap="none" w:vAnchor="page" w:hAnchor="page" w:x="1210" w:y="6977"/>
        <w:shd w:val="clear" w:color="auto" w:fill="auto"/>
        <w:spacing w:after="240" w:line="224" w:lineRule="exact"/>
        <w:ind w:firstLine="0"/>
      </w:pPr>
      <w:r>
        <w:t xml:space="preserve">Se zájmem očekávám Vaše vyjádření k předložené </w:t>
      </w:r>
      <w:r>
        <w:t>nabídce a jsem připraven k jejímu doplnění.</w:t>
      </w:r>
    </w:p>
    <w:p w:rsidR="003B554D" w:rsidRDefault="006567E5">
      <w:pPr>
        <w:pStyle w:val="Heading310"/>
        <w:framePr w:w="9797" w:h="1755" w:hRule="exact" w:wrap="none" w:vAnchor="page" w:hAnchor="page" w:x="1210" w:y="6977"/>
        <w:shd w:val="clear" w:color="auto" w:fill="auto"/>
        <w:spacing w:before="0"/>
        <w:ind w:firstLine="0"/>
      </w:pPr>
      <w:bookmarkStart w:id="9" w:name="bookmark8"/>
      <w:r>
        <w:t>Přemysl Viktora</w:t>
      </w:r>
      <w:bookmarkEnd w:id="9"/>
    </w:p>
    <w:p w:rsidR="003B554D" w:rsidRDefault="006567E5">
      <w:pPr>
        <w:pStyle w:val="Bodytext20"/>
        <w:framePr w:w="9797" w:h="1755" w:hRule="exact" w:wrap="none" w:vAnchor="page" w:hAnchor="page" w:x="1210" w:y="6977"/>
        <w:shd w:val="clear" w:color="auto" w:fill="auto"/>
        <w:spacing w:line="245" w:lineRule="exact"/>
        <w:ind w:firstLine="0"/>
      </w:pPr>
      <w:r>
        <w:rPr>
          <w:lang w:val="en-US" w:eastAsia="en-US" w:bidi="en-US"/>
        </w:rPr>
        <w:t xml:space="preserve">Project </w:t>
      </w:r>
      <w:r>
        <w:t>Manager</w:t>
      </w:r>
    </w:p>
    <w:p w:rsidR="003B554D" w:rsidRDefault="006567E5">
      <w:pPr>
        <w:pStyle w:val="Bodytext20"/>
        <w:framePr w:w="9797" w:h="1755" w:hRule="exact" w:wrap="none" w:vAnchor="page" w:hAnchor="page" w:x="1210" w:y="6977"/>
        <w:shd w:val="clear" w:color="auto" w:fill="auto"/>
        <w:tabs>
          <w:tab w:val="left" w:pos="1285"/>
        </w:tabs>
        <w:spacing w:line="245" w:lineRule="exact"/>
        <w:ind w:firstLine="0"/>
        <w:jc w:val="both"/>
      </w:pPr>
      <w:r>
        <w:t>mobil:</w:t>
      </w:r>
      <w:r>
        <w:tab/>
        <w:t>+420 737 284 014</w:t>
      </w:r>
    </w:p>
    <w:p w:rsidR="003B554D" w:rsidRDefault="006567E5">
      <w:pPr>
        <w:pStyle w:val="Bodytext20"/>
        <w:framePr w:w="9797" w:h="1755" w:hRule="exact" w:wrap="none" w:vAnchor="page" w:hAnchor="page" w:x="1210" w:y="6977"/>
        <w:shd w:val="clear" w:color="auto" w:fill="auto"/>
        <w:tabs>
          <w:tab w:val="left" w:pos="1285"/>
        </w:tabs>
        <w:spacing w:line="245" w:lineRule="exact"/>
        <w:ind w:firstLine="0"/>
        <w:jc w:val="both"/>
      </w:pPr>
      <w:r>
        <w:t>email:</w:t>
      </w:r>
      <w:r>
        <w:tab/>
      </w:r>
      <w:hyperlink r:id="rId7" w:history="1">
        <w:r w:rsidRPr="00C329F8">
          <w:rPr>
            <w:lang w:eastAsia="en-US" w:bidi="en-US"/>
          </w:rPr>
          <w:t>premysl.viktora@nederman.cz</w:t>
        </w:r>
      </w:hyperlink>
    </w:p>
    <w:p w:rsidR="003B554D" w:rsidRDefault="006567E5">
      <w:pPr>
        <w:pStyle w:val="Bodytext20"/>
        <w:framePr w:w="9797" w:h="1755" w:hRule="exact" w:wrap="none" w:vAnchor="page" w:hAnchor="page" w:x="1210" w:y="6977"/>
        <w:shd w:val="clear" w:color="auto" w:fill="auto"/>
        <w:tabs>
          <w:tab w:val="left" w:pos="1285"/>
        </w:tabs>
        <w:spacing w:line="245" w:lineRule="exact"/>
        <w:ind w:firstLine="0"/>
        <w:jc w:val="both"/>
      </w:pPr>
      <w:r w:rsidRPr="00C329F8">
        <w:rPr>
          <w:lang w:eastAsia="en-US" w:bidi="en-US"/>
        </w:rPr>
        <w:t>info:</w:t>
      </w:r>
      <w:r w:rsidRPr="00C329F8">
        <w:rPr>
          <w:lang w:eastAsia="en-US" w:bidi="en-US"/>
        </w:rPr>
        <w:tab/>
      </w:r>
      <w:hyperlink r:id="rId8" w:history="1">
        <w:r w:rsidRPr="00C329F8">
          <w:rPr>
            <w:lang w:eastAsia="en-US" w:bidi="en-US"/>
          </w:rPr>
          <w:t>www.nederman.cz</w:t>
        </w:r>
      </w:hyperlink>
    </w:p>
    <w:p w:rsidR="003B554D" w:rsidRDefault="006567E5">
      <w:pPr>
        <w:pStyle w:val="Heading310"/>
        <w:framePr w:w="9797" w:h="522" w:hRule="exact" w:wrap="none" w:vAnchor="page" w:hAnchor="page" w:x="1210" w:y="8935"/>
        <w:shd w:val="clear" w:color="auto" w:fill="auto"/>
        <w:spacing w:before="0"/>
        <w:ind w:firstLine="0"/>
        <w:jc w:val="both"/>
      </w:pPr>
      <w:bookmarkStart w:id="10" w:name="bookmark9"/>
      <w:r>
        <w:t xml:space="preserve">Nederman CR </w:t>
      </w:r>
      <w:r>
        <w:t>s.r.o.</w:t>
      </w:r>
      <w:bookmarkEnd w:id="10"/>
    </w:p>
    <w:p w:rsidR="003B554D" w:rsidRDefault="006567E5">
      <w:pPr>
        <w:pStyle w:val="Bodytext20"/>
        <w:framePr w:w="9797" w:h="522" w:hRule="exact" w:wrap="none" w:vAnchor="page" w:hAnchor="page" w:x="1210" w:y="8935"/>
        <w:shd w:val="clear" w:color="auto" w:fill="auto"/>
        <w:spacing w:line="224" w:lineRule="exact"/>
        <w:ind w:firstLine="0"/>
        <w:jc w:val="both"/>
      </w:pPr>
      <w:r>
        <w:t>Krajánkova 2/3176, 141 00, Praha 4 - Záběhlice</w:t>
      </w:r>
    </w:p>
    <w:p w:rsidR="003B554D" w:rsidRDefault="006567E5">
      <w:pPr>
        <w:pStyle w:val="Headerorfooter30"/>
        <w:framePr w:wrap="none" w:vAnchor="page" w:hAnchor="page" w:x="10637" w:y="14887"/>
        <w:shd w:val="clear" w:color="auto" w:fill="auto"/>
      </w:pPr>
      <w:r>
        <w:t>3(4)</w:t>
      </w:r>
    </w:p>
    <w:p w:rsidR="003B554D" w:rsidRDefault="003B554D">
      <w:pPr>
        <w:rPr>
          <w:sz w:val="2"/>
          <w:szCs w:val="2"/>
        </w:rPr>
        <w:sectPr w:rsidR="003B5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554D" w:rsidRDefault="006567E5">
      <w:pPr>
        <w:pStyle w:val="Headerorfooter10"/>
        <w:framePr w:wrap="none" w:vAnchor="page" w:hAnchor="page" w:x="2743" w:y="1793"/>
        <w:shd w:val="clear" w:color="auto" w:fill="auto"/>
      </w:pPr>
      <w:r>
        <w:lastRenderedPageBreak/>
        <w:t>CONFIGURA</w:t>
      </w:r>
    </w:p>
    <w:p w:rsidR="003B554D" w:rsidRDefault="006567E5">
      <w:pPr>
        <w:pStyle w:val="Headerorfooter20"/>
        <w:framePr w:wrap="none" w:vAnchor="page" w:hAnchor="page" w:x="7279" w:y="1561"/>
        <w:shd w:val="clear" w:color="auto" w:fill="auto"/>
      </w:pPr>
      <w:r>
        <w:rPr>
          <w:rStyle w:val="Headerorfooter21"/>
          <w:b/>
          <w:bCs/>
          <w:i/>
          <w:iCs/>
        </w:rPr>
        <w:t>Nederman</w:t>
      </w:r>
    </w:p>
    <w:p w:rsidR="003B554D" w:rsidRDefault="006567E5">
      <w:pPr>
        <w:pStyle w:val="Heading110"/>
        <w:framePr w:wrap="none" w:vAnchor="page" w:hAnchor="page" w:x="1164" w:y="2508"/>
        <w:shd w:val="clear" w:color="auto" w:fill="auto"/>
        <w:spacing w:after="0"/>
      </w:pPr>
      <w:bookmarkStart w:id="11" w:name="bookmark10"/>
      <w:r>
        <w:t>Nabídka</w:t>
      </w:r>
      <w:bookmarkEnd w:id="11"/>
    </w:p>
    <w:p w:rsidR="003B554D" w:rsidRDefault="006567E5">
      <w:pPr>
        <w:pStyle w:val="Bodytext40"/>
        <w:framePr w:wrap="none" w:vAnchor="page" w:hAnchor="page" w:x="1164" w:y="3220"/>
        <w:shd w:val="clear" w:color="auto" w:fill="auto"/>
        <w:tabs>
          <w:tab w:val="left" w:pos="2803"/>
        </w:tabs>
        <w:spacing w:before="0" w:after="0"/>
        <w:ind w:left="5" w:right="6648"/>
      </w:pPr>
      <w:r>
        <w:t>Množství Č. produktu</w:t>
      </w:r>
      <w:r>
        <w:tab/>
        <w:t>Popis</w:t>
      </w:r>
    </w:p>
    <w:p w:rsidR="003B554D" w:rsidRDefault="006567E5">
      <w:pPr>
        <w:pStyle w:val="Bodytext40"/>
        <w:framePr w:wrap="none" w:vAnchor="page" w:hAnchor="page" w:x="8642" w:y="3225"/>
        <w:shd w:val="clear" w:color="auto" w:fill="auto"/>
        <w:tabs>
          <w:tab w:val="left" w:pos="1834"/>
        </w:tabs>
        <w:spacing w:before="0" w:after="0"/>
      </w:pPr>
      <w:r>
        <w:t>Cena za jednotku</w:t>
      </w:r>
      <w:r>
        <w:tab/>
        <w:t>Celkem</w:t>
      </w:r>
    </w:p>
    <w:p w:rsidR="003B554D" w:rsidRDefault="006567E5">
      <w:pPr>
        <w:pStyle w:val="Bodytext40"/>
        <w:framePr w:w="9888" w:h="496" w:hRule="exact" w:wrap="none" w:vAnchor="page" w:hAnchor="page" w:x="1164" w:y="3604"/>
        <w:shd w:val="clear" w:color="auto" w:fill="auto"/>
        <w:spacing w:before="0" w:after="145"/>
      </w:pPr>
      <w:r>
        <w:t>Ventilátory, N-serie (N10, 16, 24, 40, 29)</w:t>
      </w:r>
    </w:p>
    <w:p w:rsidR="003B554D" w:rsidRDefault="006567E5">
      <w:pPr>
        <w:pStyle w:val="Bodytext50"/>
        <w:framePr w:w="9888" w:h="496" w:hRule="exact" w:wrap="none" w:vAnchor="page" w:hAnchor="page" w:x="1164" w:y="3604"/>
        <w:shd w:val="clear" w:color="auto" w:fill="auto"/>
        <w:tabs>
          <w:tab w:val="left" w:pos="1075"/>
          <w:tab w:val="left" w:pos="2798"/>
          <w:tab w:val="left" w:pos="7939"/>
          <w:tab w:val="left" w:pos="9010"/>
        </w:tabs>
        <w:spacing w:before="0"/>
      </w:pPr>
      <w:r>
        <w:t>8 ks</w:t>
      </w:r>
      <w:r>
        <w:tab/>
        <w:t>14510521</w:t>
      </w:r>
      <w:r>
        <w:tab/>
        <w:t>N16 ventilátor 230/400 V 50Hz, 0,55kW,</w:t>
      </w:r>
      <w:r>
        <w:t xml:space="preserve"> 22000ot/min.</w:t>
      </w:r>
      <w:r>
        <w:tab/>
        <w:t>12 653,00</w:t>
      </w:r>
      <w:r>
        <w:tab/>
        <w:t>101 224,00</w:t>
      </w:r>
    </w:p>
    <w:p w:rsidR="003B554D" w:rsidRDefault="006567E5">
      <w:pPr>
        <w:pStyle w:val="Tablecaption10"/>
        <w:framePr w:w="9859" w:h="185" w:hRule="exact" w:wrap="none" w:vAnchor="page" w:hAnchor="page" w:x="1164" w:y="4405"/>
        <w:shd w:val="clear" w:color="auto" w:fill="auto"/>
      </w:pPr>
      <w:r>
        <w:rPr>
          <w:lang w:val="cs-CZ" w:eastAsia="cs-CZ" w:bidi="cs-CZ"/>
        </w:rPr>
        <w:t xml:space="preserve">Společné příslušenství </w:t>
      </w:r>
      <w:r>
        <w:t>Capture and Extractions Units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46"/>
        <w:gridCol w:w="5381"/>
        <w:gridCol w:w="1123"/>
        <w:gridCol w:w="1013"/>
      </w:tblGrid>
      <w:tr w:rsidR="003B554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</w:pPr>
            <w:r>
              <w:rPr>
                <w:rStyle w:val="Bodytext2TimesNewRoman9pt"/>
                <w:rFonts w:eastAsia="Arial"/>
              </w:rPr>
              <w:t>5 ks</w:t>
            </w:r>
          </w:p>
        </w:tc>
        <w:tc>
          <w:tcPr>
            <w:tcW w:w="1646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TimesNewRoman9pt"/>
                <w:rFonts w:eastAsia="Arial"/>
              </w:rPr>
              <w:t>20805162</w:t>
            </w:r>
          </w:p>
        </w:tc>
        <w:tc>
          <w:tcPr>
            <w:tcW w:w="5381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Odsávací hadiceNTP, černá s modrým opletem.</w:t>
            </w:r>
          </w:p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Max 150°C. </w:t>
            </w:r>
            <w:r>
              <w:rPr>
                <w:rStyle w:val="Bodytext26ptScaling150"/>
              </w:rPr>
              <w:t>0</w:t>
            </w:r>
            <w:r>
              <w:rPr>
                <w:rStyle w:val="Bodytext2TimesNewRoman9pt"/>
                <w:rFonts w:eastAsia="Arial"/>
              </w:rPr>
              <w:t xml:space="preserve"> 100 mm, délka 5 m.</w:t>
            </w:r>
          </w:p>
        </w:tc>
        <w:tc>
          <w:tcPr>
            <w:tcW w:w="112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TimesNewRoman9pt"/>
                <w:rFonts w:eastAsia="Arial"/>
              </w:rPr>
              <w:t>5 326.00</w:t>
            </w:r>
          </w:p>
        </w:tc>
        <w:tc>
          <w:tcPr>
            <w:tcW w:w="101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26 630,00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15" w:type="dxa"/>
            <w:shd w:val="clear" w:color="auto" w:fill="FFFFFF"/>
            <w:vAlign w:val="center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</w:pPr>
            <w:r>
              <w:rPr>
                <w:rStyle w:val="Bodytext2TimesNewRoman9pt"/>
                <w:rFonts w:eastAsia="Arial"/>
              </w:rPr>
              <w:t>1 ks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TimesNewRoman9pt"/>
                <w:rFonts w:eastAsia="Arial"/>
              </w:rPr>
              <w:t>20805262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Odsávací hadiceNTP, černá s modrým opletem.</w:t>
            </w:r>
          </w:p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Max 150°C. </w:t>
            </w:r>
            <w:r>
              <w:rPr>
                <w:rStyle w:val="Bodytext26ptScaling150"/>
              </w:rPr>
              <w:t>0</w:t>
            </w:r>
            <w:r>
              <w:rPr>
                <w:rStyle w:val="Bodytext2TimesNewRoman9pt"/>
                <w:rFonts w:eastAsia="Arial"/>
              </w:rPr>
              <w:t xml:space="preserve"> 100 mm. délka 7.5 m.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TimesNewRoman9pt"/>
                <w:rFonts w:eastAsia="Arial"/>
              </w:rPr>
              <w:t>6 861.00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6 861,00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5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</w:pPr>
            <w:r>
              <w:rPr>
                <w:rStyle w:val="Bodytext2TimesNewRoman9pt"/>
                <w:rFonts w:eastAsia="Arial"/>
              </w:rPr>
              <w:t>2 ks</w:t>
            </w:r>
          </w:p>
        </w:tc>
        <w:tc>
          <w:tcPr>
            <w:tcW w:w="1646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TimesNewRoman9pt"/>
                <w:rFonts w:eastAsia="Arial"/>
              </w:rPr>
              <w:t>20805362</w:t>
            </w:r>
          </w:p>
        </w:tc>
        <w:tc>
          <w:tcPr>
            <w:tcW w:w="5381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Odsávací hadiceNTP, černá s modrým opletem.</w:t>
            </w:r>
          </w:p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Max 150°C. </w:t>
            </w:r>
            <w:r>
              <w:rPr>
                <w:rStyle w:val="Bodytext26ptScaling150"/>
              </w:rPr>
              <w:t>0</w:t>
            </w:r>
            <w:r>
              <w:rPr>
                <w:rStyle w:val="Bodytext2TimesNewRoman9pt"/>
                <w:rFonts w:eastAsia="Arial"/>
              </w:rPr>
              <w:t xml:space="preserve"> 100 mm. délka 10 m.</w:t>
            </w:r>
          </w:p>
        </w:tc>
        <w:tc>
          <w:tcPr>
            <w:tcW w:w="112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TimesNewRoman9pt"/>
                <w:rFonts w:eastAsia="Arial"/>
              </w:rPr>
              <w:t>9 976.00</w:t>
            </w:r>
          </w:p>
        </w:tc>
        <w:tc>
          <w:tcPr>
            <w:tcW w:w="101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19 952,00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361" w:type="dxa"/>
            <w:gridSpan w:val="2"/>
            <w:shd w:val="clear" w:color="auto" w:fill="FFFFFF"/>
            <w:vAlign w:val="center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ODSÁVACÍ KONCOVKY</w:t>
            </w:r>
          </w:p>
        </w:tc>
        <w:tc>
          <w:tcPr>
            <w:tcW w:w="5381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15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</w:pPr>
            <w:r>
              <w:rPr>
                <w:rStyle w:val="Bodytext2TimesNewRoman9pt"/>
                <w:rFonts w:eastAsia="Arial"/>
              </w:rPr>
              <w:t>8 ks</w:t>
            </w:r>
          </w:p>
        </w:tc>
        <w:tc>
          <w:tcPr>
            <w:tcW w:w="1646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TimesNewRoman9pt"/>
                <w:rFonts w:eastAsia="Arial"/>
              </w:rPr>
              <w:t>20802561</w:t>
            </w:r>
          </w:p>
        </w:tc>
        <w:tc>
          <w:tcPr>
            <w:tcW w:w="5381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11" w:lineRule="exact"/>
              <w:ind w:left="480" w:right="780" w:firstLine="0"/>
              <w:jc w:val="both"/>
            </w:pPr>
            <w:r>
              <w:rPr>
                <w:rStyle w:val="Bodytext2TimesNewRoman9pt"/>
                <w:rFonts w:eastAsia="Arial"/>
                <w:lang w:val="en-US" w:eastAsia="en-US" w:bidi="en-US"/>
              </w:rPr>
              <w:t xml:space="preserve">Exhaust nozzle, rubber. Hose connection </w:t>
            </w:r>
            <w:r>
              <w:rPr>
                <w:rStyle w:val="Bodytext26ptScaling150"/>
                <w:lang w:val="en-US" w:eastAsia="en-US" w:bidi="en-US"/>
              </w:rPr>
              <w:t>0</w:t>
            </w:r>
            <w:r>
              <w:rPr>
                <w:rStyle w:val="Bodytext2TimesNewRoman9pt"/>
                <w:rFonts w:eastAsia="Arial"/>
                <w:lang w:val="en-US" w:eastAsia="en-US" w:bidi="en-US"/>
              </w:rPr>
              <w:t xml:space="preserve"> 100 mm with springloaded lid. For PV+LVC, oval max </w:t>
            </w:r>
            <w:r>
              <w:rPr>
                <w:rStyle w:val="Bodytext26ptScaling150"/>
                <w:lang w:val="en-US" w:eastAsia="en-US" w:bidi="en-US"/>
              </w:rPr>
              <w:t>0</w:t>
            </w:r>
            <w:r>
              <w:rPr>
                <w:rStyle w:val="Bodytext2TimesNewRoman9pt"/>
                <w:rFonts w:eastAsia="Arial"/>
                <w:lang w:val="en-US" w:eastAsia="en-US" w:bidi="en-US"/>
              </w:rPr>
              <w:t xml:space="preserve"> 110 mm with opening for CO-probe. without locking clamp.</w:t>
            </w:r>
          </w:p>
        </w:tc>
        <w:tc>
          <w:tcPr>
            <w:tcW w:w="112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TimesNewRoman9pt"/>
                <w:rFonts w:eastAsia="Arial"/>
              </w:rPr>
              <w:t>4 277.00</w:t>
            </w:r>
          </w:p>
        </w:tc>
        <w:tc>
          <w:tcPr>
            <w:tcW w:w="101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34 216,00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361" w:type="dxa"/>
            <w:gridSpan w:val="2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Odsávací buben, pružinový</w:t>
            </w:r>
          </w:p>
        </w:tc>
        <w:tc>
          <w:tcPr>
            <w:tcW w:w="5381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15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</w:pPr>
            <w:r>
              <w:rPr>
                <w:rStyle w:val="Bodytext2TimesNewRoman9pt"/>
                <w:rFonts w:eastAsia="Arial"/>
              </w:rPr>
              <w:t>2 ks</w:t>
            </w:r>
          </w:p>
        </w:tc>
        <w:tc>
          <w:tcPr>
            <w:tcW w:w="1646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TimesNewRoman9pt"/>
                <w:rFonts w:eastAsia="Arial"/>
              </w:rPr>
              <w:t>20800365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11" w:lineRule="exact"/>
              <w:ind w:left="480" w:right="22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Odsávací hadicový naviják Pružinová západka 865 </w:t>
            </w:r>
            <w:r w:rsidRPr="00C329F8">
              <w:rPr>
                <w:rStyle w:val="Bodytext2TimesNewRoman9pt"/>
                <w:rFonts w:eastAsia="Arial"/>
                <w:lang w:eastAsia="en-US" w:bidi="en-US"/>
              </w:rPr>
              <w:t xml:space="preserve">with damper. </w:t>
            </w:r>
            <w:r>
              <w:rPr>
                <w:rStyle w:val="Bodytext2TimesNewRoman9pt"/>
                <w:rFonts w:eastAsia="Arial"/>
                <w:lang w:val="en-US" w:eastAsia="en-US" w:bidi="en-US"/>
              </w:rPr>
              <w:t xml:space="preserve">Pro </w:t>
            </w:r>
            <w:r>
              <w:rPr>
                <w:rStyle w:val="Bodytext26ptScaling150"/>
                <w:lang w:val="en-US" w:eastAsia="en-US" w:bidi="en-US"/>
              </w:rPr>
              <w:t>0</w:t>
            </w:r>
            <w:r>
              <w:rPr>
                <w:rStyle w:val="Bodytext2TimesNewRoman9pt"/>
                <w:rFonts w:eastAsia="Arial"/>
                <w:lang w:val="en-US" w:eastAsia="en-US" w:bidi="en-US"/>
              </w:rPr>
              <w:t xml:space="preserve"> 100 </w:t>
            </w:r>
            <w:r>
              <w:rPr>
                <w:rStyle w:val="Bodytext2TimesNewRoman9pt"/>
                <w:rFonts w:eastAsia="Arial"/>
              </w:rPr>
              <w:t>mm hadice,</w:t>
            </w:r>
            <w:r>
              <w:rPr>
                <w:rStyle w:val="Bodytext2TimesNewRoman9pt"/>
                <w:rFonts w:eastAsia="Arial"/>
              </w:rPr>
              <w:t xml:space="preserve"> bez hadice, široký.</w:t>
            </w:r>
          </w:p>
        </w:tc>
        <w:tc>
          <w:tcPr>
            <w:tcW w:w="112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TimesNewRoman9pt"/>
                <w:rFonts w:eastAsia="Arial"/>
              </w:rPr>
              <w:t>26 382,00</w:t>
            </w:r>
          </w:p>
        </w:tc>
        <w:tc>
          <w:tcPr>
            <w:tcW w:w="101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52 764,00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5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</w:pPr>
            <w:r>
              <w:rPr>
                <w:rStyle w:val="Bodytext2TimesNewRoman9pt"/>
                <w:rFonts w:eastAsia="Arial"/>
              </w:rPr>
              <w:t>6 ks</w:t>
            </w:r>
          </w:p>
        </w:tc>
        <w:tc>
          <w:tcPr>
            <w:tcW w:w="1646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TimesNewRoman9pt"/>
                <w:rFonts w:eastAsia="Arial"/>
              </w:rPr>
              <w:t>20800765</w:t>
            </w:r>
          </w:p>
        </w:tc>
        <w:tc>
          <w:tcPr>
            <w:tcW w:w="5381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11" w:lineRule="exact"/>
              <w:ind w:left="480" w:right="22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Odsávací hadicový naviják Pružinová západka 865 </w:t>
            </w:r>
            <w:r w:rsidRPr="00C329F8">
              <w:rPr>
                <w:rStyle w:val="Bodytext2TimesNewRoman9pt"/>
                <w:rFonts w:eastAsia="Arial"/>
                <w:lang w:eastAsia="en-US" w:bidi="en-US"/>
              </w:rPr>
              <w:t xml:space="preserve">with damper. </w:t>
            </w:r>
            <w:r>
              <w:rPr>
                <w:rStyle w:val="Bodytext2TimesNewRoman9pt"/>
                <w:rFonts w:eastAsia="Arial"/>
                <w:lang w:val="en-US" w:eastAsia="en-US" w:bidi="en-US"/>
              </w:rPr>
              <w:t xml:space="preserve">Pro </w:t>
            </w:r>
            <w:r>
              <w:rPr>
                <w:rStyle w:val="Bodytext26ptScaling150"/>
              </w:rPr>
              <w:t>0</w:t>
            </w:r>
            <w:r>
              <w:rPr>
                <w:rStyle w:val="Bodytext2TimesNewRoman9pt"/>
                <w:rFonts w:eastAsia="Arial"/>
              </w:rPr>
              <w:t xml:space="preserve"> 100 mm hadice, bez hadice, úzký.</w:t>
            </w:r>
          </w:p>
        </w:tc>
        <w:tc>
          <w:tcPr>
            <w:tcW w:w="112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TimesNewRoman9pt"/>
                <w:rFonts w:eastAsia="Arial"/>
              </w:rPr>
              <w:t>22 620,00</w:t>
            </w:r>
          </w:p>
        </w:tc>
        <w:tc>
          <w:tcPr>
            <w:tcW w:w="101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135 720.00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742" w:type="dxa"/>
            <w:gridSpan w:val="3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náhradní díly pro jednotky na záchyt a extrakci</w:t>
            </w:r>
          </w:p>
        </w:tc>
        <w:tc>
          <w:tcPr>
            <w:tcW w:w="112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15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</w:pPr>
            <w:r>
              <w:rPr>
                <w:rStyle w:val="Bodytext2TimesNewRoman9pt"/>
                <w:rFonts w:eastAsia="Arial"/>
              </w:rPr>
              <w:t>8 ks</w:t>
            </w:r>
          </w:p>
        </w:tc>
        <w:tc>
          <w:tcPr>
            <w:tcW w:w="1646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TimesNewRoman9pt"/>
                <w:rFonts w:eastAsia="Arial"/>
              </w:rPr>
              <w:t>20373556</w:t>
            </w:r>
          </w:p>
        </w:tc>
        <w:tc>
          <w:tcPr>
            <w:tcW w:w="5381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Konzole </w:t>
            </w:r>
            <w:r>
              <w:rPr>
                <w:rStyle w:val="Bodytext2TimesNewRoman9pt"/>
                <w:rFonts w:eastAsia="Arial"/>
              </w:rPr>
              <w:t>ventilátoru</w:t>
            </w:r>
          </w:p>
        </w:tc>
        <w:tc>
          <w:tcPr>
            <w:tcW w:w="112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TimesNewRoman9pt"/>
                <w:rFonts w:eastAsia="Arial"/>
              </w:rPr>
              <w:t>3 302.00</w:t>
            </w:r>
          </w:p>
        </w:tc>
        <w:tc>
          <w:tcPr>
            <w:tcW w:w="101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26 416,00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361" w:type="dxa"/>
            <w:gridSpan w:val="2"/>
            <w:shd w:val="clear" w:color="auto" w:fill="FFFFFF"/>
            <w:vAlign w:val="center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Příslušenství elektro</w:t>
            </w:r>
          </w:p>
        </w:tc>
        <w:tc>
          <w:tcPr>
            <w:tcW w:w="5381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5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</w:pPr>
            <w:r>
              <w:rPr>
                <w:rStyle w:val="Bodytext2TimesNewRoman9pt"/>
                <w:rFonts w:eastAsia="Arial"/>
              </w:rPr>
              <w:t>8 ks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TimesNewRoman9pt"/>
                <w:rFonts w:eastAsia="Arial"/>
              </w:rPr>
              <w:t>50 000 016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motorový spouštěč 1-1.6A pro ventilátor N16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TimesNewRoman9pt"/>
                <w:rFonts w:eastAsia="Arial"/>
              </w:rPr>
              <w:t>1 328,00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10 624,00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Celkem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414 407.00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5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Sleva 18%</w:t>
            </w:r>
          </w:p>
        </w:tc>
        <w:tc>
          <w:tcPr>
            <w:tcW w:w="112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74 593.26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15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Dodatkové náklady</w:t>
            </w:r>
          </w:p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Montáž, potrubí, kotevní materiál, lešení, prostupy </w:t>
            </w:r>
            <w:r>
              <w:rPr>
                <w:rStyle w:val="Bodytext2TimesNewRoman9pt"/>
                <w:rFonts w:eastAsia="Arial"/>
              </w:rPr>
              <w:t>zdí</w:t>
            </w:r>
          </w:p>
        </w:tc>
        <w:tc>
          <w:tcPr>
            <w:tcW w:w="112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168 400,00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5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Elektrozapojení, kabely, jističe, revize elektro, uzemnění</w:t>
            </w:r>
          </w:p>
        </w:tc>
        <w:tc>
          <w:tcPr>
            <w:tcW w:w="1123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109 880.00</w:t>
            </w:r>
          </w:p>
        </w:tc>
      </w:tr>
      <w:tr w:rsidR="003B554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15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3B554D" w:rsidRDefault="003B554D">
            <w:pPr>
              <w:framePr w:w="9878" w:h="7685" w:wrap="none" w:vAnchor="page" w:hAnchor="page" w:x="1174" w:y="4675"/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left="480" w:firstLine="0"/>
              <w:jc w:val="both"/>
            </w:pPr>
            <w:r>
              <w:rPr>
                <w:rStyle w:val="Bodytext2TimesNewRoman9pt"/>
                <w:rFonts w:eastAsia="Arial"/>
              </w:rPr>
              <w:t>Celková cena bez DPH</w:t>
            </w:r>
          </w:p>
        </w:tc>
        <w:tc>
          <w:tcPr>
            <w:tcW w:w="2136" w:type="dxa"/>
            <w:gridSpan w:val="2"/>
            <w:shd w:val="clear" w:color="auto" w:fill="FFFFFF"/>
            <w:vAlign w:val="bottom"/>
          </w:tcPr>
          <w:p w:rsidR="003B554D" w:rsidRDefault="006567E5">
            <w:pPr>
              <w:pStyle w:val="Bodytext20"/>
              <w:framePr w:w="9878" w:h="7685" w:wrap="none" w:vAnchor="page" w:hAnchor="page" w:x="1174" w:y="467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TimesNewRoman9pt"/>
                <w:rFonts w:eastAsia="Arial"/>
              </w:rPr>
              <w:t>CZK 618 093,74</w:t>
            </w:r>
          </w:p>
        </w:tc>
      </w:tr>
    </w:tbl>
    <w:p w:rsidR="003B554D" w:rsidRDefault="006567E5">
      <w:pPr>
        <w:pStyle w:val="Headerorfooter30"/>
        <w:framePr w:wrap="none" w:vAnchor="page" w:hAnchor="page" w:x="10610" w:y="14868"/>
        <w:shd w:val="clear" w:color="auto" w:fill="auto"/>
      </w:pPr>
      <w:r>
        <w:t>4(4)</w:t>
      </w:r>
    </w:p>
    <w:p w:rsidR="003B554D" w:rsidRDefault="003B554D">
      <w:pPr>
        <w:rPr>
          <w:sz w:val="2"/>
          <w:szCs w:val="2"/>
        </w:rPr>
      </w:pPr>
    </w:p>
    <w:sectPr w:rsidR="003B55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E5" w:rsidRDefault="006567E5">
      <w:r>
        <w:separator/>
      </w:r>
    </w:p>
  </w:endnote>
  <w:endnote w:type="continuationSeparator" w:id="0">
    <w:p w:rsidR="006567E5" w:rsidRDefault="0065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E5" w:rsidRDefault="006567E5"/>
  </w:footnote>
  <w:footnote w:type="continuationSeparator" w:id="0">
    <w:p w:rsidR="006567E5" w:rsidRDefault="006567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562C"/>
    <w:multiLevelType w:val="multilevel"/>
    <w:tmpl w:val="3D6E1F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B8203F"/>
    <w:multiLevelType w:val="multilevel"/>
    <w:tmpl w:val="B776A0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D"/>
    <w:rsid w:val="003B554D"/>
    <w:rsid w:val="006567E5"/>
    <w:rsid w:val="00C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A744-8659-4C61-AF06-9EDCE41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68"/>
      <w:szCs w:val="68"/>
      <w:u w:val="none"/>
    </w:rPr>
  </w:style>
  <w:style w:type="character" w:customStyle="1" w:styleId="Headerorfooter21">
    <w:name w:val="Header or footer|2"/>
    <w:basedOn w:val="Headerorfooter2"/>
    <w:rPr>
      <w:rFonts w:ascii="Arial" w:eastAsia="Arial" w:hAnsi="Arial" w:cs="Arial"/>
      <w:b/>
      <w:bCs/>
      <w:i/>
      <w:iCs/>
      <w:smallCaps w:val="0"/>
      <w:strike w:val="0"/>
      <w:color w:val="2477BC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0pt">
    <w:name w:val="Heading #2|1 + 10 pt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2477B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477B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2477B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TimesNewRoman105ptBold">
    <w:name w:val="Body text|2 + Times New Roman;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2TimesNewRoman9pt">
    <w:name w:val="Body text|2 + Times New Roman;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Scaling150">
    <w:name w:val="Body text|2 + 6 pt;Scaling 15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Bodytext27ptBold">
    <w:name w:val="Body text|2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90" w:lineRule="exact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760" w:lineRule="exact"/>
    </w:pPr>
    <w:rPr>
      <w:rFonts w:ascii="Arial" w:eastAsia="Arial" w:hAnsi="Arial" w:cs="Arial"/>
      <w:b/>
      <w:bCs/>
      <w:i/>
      <w:iCs/>
      <w:sz w:val="68"/>
      <w:szCs w:val="6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30" w:lineRule="exact"/>
      <w:ind w:hanging="200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76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60" w:line="224" w:lineRule="exact"/>
      <w:ind w:hanging="2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340"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180"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80" w:line="200" w:lineRule="exact"/>
      <w:jc w:val="both"/>
    </w:pPr>
    <w:rPr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erma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ysl.viktora@nederm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2020-07-02T13:15:00Z</dcterms:created>
  <dcterms:modified xsi:type="dcterms:W3CDTF">2020-07-02T13:15:00Z</dcterms:modified>
</cp:coreProperties>
</file>