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18" w:rsidRDefault="00F20618" w:rsidP="00F20618">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33</w:t>
      </w:r>
      <w:r>
        <w:rPr>
          <w:rFonts w:asciiTheme="minorHAnsi" w:hAnsiTheme="minorHAnsi"/>
          <w:b/>
          <w:sz w:val="22"/>
          <w:szCs w:val="22"/>
        </w:rPr>
        <w:t xml:space="preserve"> návrhu usnesení č. 1</w:t>
      </w: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BD266E">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9C24CE"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Oblastní charita Pardubice</w:t>
      </w:r>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9C24CE" w:rsidRPr="009C24CE">
        <w:rPr>
          <w:rFonts w:asciiTheme="minorHAnsi" w:hAnsiTheme="minorHAnsi" w:cs="Arial"/>
          <w:color w:val="333333"/>
          <w:sz w:val="22"/>
          <w:szCs w:val="22"/>
          <w:shd w:val="clear" w:color="auto" w:fill="FFFFFF"/>
        </w:rPr>
        <w:t>V Ráji 732, Pardubice, 530 02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9C24CE">
        <w:rPr>
          <w:rFonts w:ascii="Calibri" w:hAnsi="Calibri"/>
          <w:sz w:val="22"/>
          <w:szCs w:val="22"/>
        </w:rPr>
        <w:t>46492160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9C24CE">
        <w:rPr>
          <w:rFonts w:ascii="Calibri" w:hAnsi="Calibri"/>
          <w:sz w:val="22"/>
          <w:szCs w:val="22"/>
        </w:rPr>
        <w:t>1201207379/0800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9C24CE">
        <w:rPr>
          <w:rFonts w:ascii="Calibri" w:hAnsi="Calibri"/>
          <w:sz w:val="22"/>
          <w:szCs w:val="22"/>
        </w:rPr>
        <w:t>Mgr. Ilonou Fricovou</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9C24CE">
        <w:rPr>
          <w:rFonts w:ascii="Calibri" w:hAnsi="Calibri"/>
          <w:b/>
          <w:sz w:val="22"/>
          <w:szCs w:val="22"/>
        </w:rPr>
        <w:t>12</w:t>
      </w:r>
      <w:r w:rsidR="002C7E59">
        <w:rPr>
          <w:rFonts w:ascii="Calibri" w:hAnsi="Calibri"/>
          <w:b/>
          <w:sz w:val="22"/>
          <w:szCs w:val="22"/>
        </w:rPr>
        <w:t>7</w:t>
      </w:r>
      <w:r w:rsidR="00F4075B">
        <w:rPr>
          <w:rFonts w:ascii="Calibri" w:hAnsi="Calibri"/>
          <w:b/>
          <w:sz w:val="22"/>
          <w:szCs w:val="22"/>
        </w:rPr>
        <w:t xml:space="preserve"> </w:t>
      </w:r>
      <w:r w:rsidR="002C7E59">
        <w:rPr>
          <w:rFonts w:ascii="Calibri" w:hAnsi="Calibri"/>
          <w:b/>
          <w:sz w:val="22"/>
          <w:szCs w:val="22"/>
        </w:rPr>
        <w:t>7</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9C24CE">
        <w:rPr>
          <w:rFonts w:ascii="Calibri" w:hAnsi="Calibri"/>
          <w:sz w:val="22"/>
          <w:szCs w:val="22"/>
        </w:rPr>
        <w:t>Jednostodvacet</w:t>
      </w:r>
      <w:r w:rsidR="002C7E59">
        <w:rPr>
          <w:rFonts w:ascii="Calibri" w:hAnsi="Calibri"/>
          <w:sz w:val="22"/>
          <w:szCs w:val="22"/>
        </w:rPr>
        <w:t>sedmtisícsedmset</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9C24CE">
        <w:rPr>
          <w:rFonts w:ascii="Calibri" w:hAnsi="Calibri"/>
          <w:b/>
          <w:sz w:val="22"/>
          <w:szCs w:val="22"/>
        </w:rPr>
        <w:t>Charitní služba osobní asistence na Pardubicku</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754FEC">
        <w:rPr>
          <w:rFonts w:ascii="Calibri" w:hAnsi="Calibri"/>
          <w:sz w:val="22"/>
          <w:szCs w:val="22"/>
        </w:rPr>
        <w:t>7</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9C24CE">
        <w:rPr>
          <w:rFonts w:ascii="Calibri" w:hAnsi="Calibri"/>
          <w:sz w:val="22"/>
          <w:szCs w:val="22"/>
        </w:rPr>
        <w:t>31</w:t>
      </w:r>
      <w:r w:rsidR="004405E5" w:rsidRPr="004405E5">
        <w:rPr>
          <w:rFonts w:ascii="Calibri" w:hAnsi="Calibri"/>
          <w:sz w:val="22"/>
          <w:szCs w:val="22"/>
        </w:rPr>
        <w:t>.1</w:t>
      </w:r>
      <w:r w:rsidR="009C24CE">
        <w:rPr>
          <w:rFonts w:ascii="Calibri" w:hAnsi="Calibri"/>
          <w:sz w:val="22"/>
          <w:szCs w:val="22"/>
        </w:rPr>
        <w:t>0</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a zaevidované poskytovatelem pod č.j.</w:t>
      </w:r>
      <w:r w:rsidR="002B6DD9">
        <w:rPr>
          <w:rFonts w:ascii="Calibri" w:hAnsi="Calibri"/>
          <w:sz w:val="22"/>
          <w:szCs w:val="22"/>
        </w:rPr>
        <w:t xml:space="preserve"> MmP </w:t>
      </w:r>
      <w:r w:rsidR="004405E5">
        <w:rPr>
          <w:rFonts w:ascii="Calibri" w:hAnsi="Calibri"/>
          <w:sz w:val="22"/>
          <w:szCs w:val="22"/>
        </w:rPr>
        <w:t>7</w:t>
      </w:r>
      <w:r w:rsidR="009C24CE">
        <w:rPr>
          <w:rFonts w:ascii="Calibri" w:hAnsi="Calibri"/>
          <w:sz w:val="22"/>
          <w:szCs w:val="22"/>
        </w:rPr>
        <w:t>0259</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754FEC">
        <w:rPr>
          <w:rFonts w:ascii="Calibri" w:hAnsi="Calibri"/>
          <w:b/>
          <w:sz w:val="22"/>
          <w:szCs w:val="22"/>
        </w:rPr>
        <w:t>7</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w:t>
      </w:r>
      <w:r w:rsidR="00754FEC">
        <w:rPr>
          <w:rFonts w:asciiTheme="minorHAnsi" w:hAnsiTheme="minorHAnsi"/>
          <w:sz w:val="22"/>
          <w:szCs w:val="22"/>
        </w:rPr>
        <w:t xml:space="preserve"> </w:t>
      </w:r>
      <w:r>
        <w:rPr>
          <w:rFonts w:asciiTheme="minorHAnsi" w:hAnsiTheme="minorHAnsi"/>
          <w:sz w:val="22"/>
          <w:szCs w:val="22"/>
        </w:rPr>
        <w:t xml:space="preserve">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Default="000A0147" w:rsidP="004E24BC">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5C56AB">
        <w:rPr>
          <w:rFonts w:ascii="Calibri" w:hAnsi="Calibri"/>
          <w:sz w:val="22"/>
          <w:szCs w:val="22"/>
        </w:rPr>
        <w:t>Mgr. Ilona Fricová</w:t>
      </w:r>
    </w:p>
    <w:p w:rsidR="004E24BC" w:rsidRPr="00FE0A7A" w:rsidRDefault="004E24BC" w:rsidP="004E24BC">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F20618">
        <w:rPr>
          <w:rFonts w:ascii="Calibri" w:hAnsi="Calibri"/>
          <w:sz w:val="22"/>
          <w:szCs w:val="22"/>
        </w:rPr>
        <w:t xml:space="preserve"> 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p w:rsidR="00BD266E" w:rsidRDefault="00BD266E"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BD266E" w:rsidRPr="00BD266E" w:rsidTr="00BD266E">
        <w:trPr>
          <w:trHeight w:val="255"/>
        </w:trPr>
        <w:tc>
          <w:tcPr>
            <w:tcW w:w="5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b/>
                <w:bCs/>
                <w:sz w:val="20"/>
                <w:szCs w:val="20"/>
              </w:rPr>
            </w:pPr>
          </w:p>
        </w:tc>
        <w:tc>
          <w:tcPr>
            <w:tcW w:w="29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15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ROZPOČET</w:t>
            </w:r>
          </w:p>
        </w:tc>
        <w:tc>
          <w:tcPr>
            <w:tcW w:w="14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NÁZEV PROJEKTU</w:t>
            </w:r>
          </w:p>
        </w:tc>
        <w:tc>
          <w:tcPr>
            <w:tcW w:w="25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r w:rsidRPr="00BD266E">
              <w:rPr>
                <w:rFonts w:ascii="Calibri" w:hAnsi="Calibri" w:cs="Arial"/>
                <w:sz w:val="20"/>
                <w:szCs w:val="20"/>
              </w:rPr>
              <w:t>Charitní služba osobní asistence</w:t>
            </w:r>
          </w:p>
        </w:tc>
      </w:tr>
      <w:tr w:rsidR="00BD266E" w:rsidRPr="00BD266E" w:rsidTr="00BD266E">
        <w:trPr>
          <w:trHeight w:val="255"/>
        </w:trPr>
        <w:tc>
          <w:tcPr>
            <w:tcW w:w="5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b/>
                <w:bCs/>
                <w:sz w:val="20"/>
                <w:szCs w:val="20"/>
              </w:rPr>
            </w:pPr>
          </w:p>
        </w:tc>
        <w:tc>
          <w:tcPr>
            <w:tcW w:w="29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15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b/>
                <w:bCs/>
                <w:sz w:val="20"/>
                <w:szCs w:val="20"/>
              </w:rPr>
            </w:pPr>
          </w:p>
        </w:tc>
        <w:tc>
          <w:tcPr>
            <w:tcW w:w="14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25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r>
      <w:tr w:rsidR="00BD266E" w:rsidRPr="00BD266E" w:rsidTr="00BD266E">
        <w:trPr>
          <w:trHeight w:val="270"/>
        </w:trPr>
        <w:tc>
          <w:tcPr>
            <w:tcW w:w="5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29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r w:rsidRPr="00BD266E">
              <w:rPr>
                <w:rFonts w:ascii="Calibri" w:hAnsi="Calibri" w:cs="Arial"/>
                <w:sz w:val="20"/>
                <w:szCs w:val="20"/>
              </w:rPr>
              <w:t xml:space="preserve">Vyplňte jednotlivé položky - nastaveny automatické součty </w:t>
            </w:r>
          </w:p>
        </w:tc>
      </w:tr>
      <w:tr w:rsidR="00BD266E" w:rsidRPr="00BD266E" w:rsidTr="00BD266E">
        <w:trPr>
          <w:trHeight w:val="138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D266E" w:rsidRPr="00BD266E" w:rsidRDefault="00BD266E" w:rsidP="00BD266E">
            <w:pPr>
              <w:rPr>
                <w:rFonts w:ascii="Calibri" w:hAnsi="Calibri" w:cs="Arial"/>
                <w:b/>
                <w:bCs/>
                <w:color w:val="000000"/>
                <w:sz w:val="20"/>
                <w:szCs w:val="20"/>
              </w:rPr>
            </w:pPr>
            <w:r w:rsidRPr="00BD266E">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Požadavek finančních prostředků na MmP na rok 2017</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Poznámka (slovní komentář</w:t>
            </w:r>
          </w:p>
        </w:tc>
      </w:tr>
      <w:tr w:rsidR="00BD266E" w:rsidRPr="00BD266E" w:rsidTr="00BD26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D266E" w:rsidRPr="00BD266E" w:rsidRDefault="00BD266E" w:rsidP="00BD266E">
            <w:pPr>
              <w:rPr>
                <w:rFonts w:ascii="Calibri" w:hAnsi="Calibri" w:cs="Arial"/>
                <w:b/>
                <w:bCs/>
                <w:color w:val="000000"/>
                <w:sz w:val="20"/>
                <w:szCs w:val="20"/>
              </w:rPr>
            </w:pPr>
            <w:r w:rsidRPr="00BD266E">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309 026</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 </w:t>
            </w:r>
          </w:p>
        </w:tc>
      </w:tr>
      <w:tr w:rsidR="00BD266E" w:rsidRPr="00BD266E" w:rsidTr="00BD26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97 526</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580" w:type="dxa"/>
            <w:tcBorders>
              <w:top w:val="nil"/>
              <w:left w:val="single" w:sz="8" w:space="0" w:color="auto"/>
              <w:bottom w:val="nil"/>
              <w:right w:val="single" w:sz="8" w:space="0" w:color="auto"/>
            </w:tcBorders>
            <w:shd w:val="clear" w:color="auto" w:fill="auto"/>
            <w:textDirection w:val="btLr"/>
            <w:vAlign w:val="center"/>
            <w:hideMark/>
          </w:tcPr>
          <w:p w:rsidR="00BD266E" w:rsidRPr="00BD266E" w:rsidRDefault="00BD266E" w:rsidP="00BD266E">
            <w:pPr>
              <w:jc w:val="center"/>
              <w:rPr>
                <w:rFonts w:ascii="Calibri" w:hAnsi="Calibri" w:cs="Arial"/>
                <w:color w:val="000000"/>
                <w:sz w:val="20"/>
                <w:szCs w:val="20"/>
              </w:rPr>
            </w:pPr>
            <w:r w:rsidRPr="00BD266E">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center"/>
            <w:hideMark/>
          </w:tcPr>
          <w:p w:rsidR="00BD266E" w:rsidRPr="00BD266E" w:rsidRDefault="00F20618" w:rsidP="00BD266E">
            <w:pPr>
              <w:rPr>
                <w:rFonts w:ascii="Calibri" w:hAnsi="Calibri" w:cs="Arial"/>
                <w:color w:val="0000FF"/>
                <w:sz w:val="20"/>
                <w:szCs w:val="20"/>
                <w:u w:val="single"/>
              </w:rPr>
            </w:pPr>
            <w:hyperlink r:id="rId10" w:anchor="RANGE!_ftn1" w:history="1">
              <w:r w:rsidR="00BD266E" w:rsidRPr="00BD266E">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8 870</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Obnova vybavení střediska osobní asistence.</w:t>
            </w:r>
          </w:p>
        </w:tc>
      </w:tr>
      <w:tr w:rsidR="00BD266E" w:rsidRPr="00BD266E" w:rsidTr="00BD26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211 500</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18 577</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46 446</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842</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96 556</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center"/>
            <w:hideMark/>
          </w:tcPr>
          <w:p w:rsidR="00BD266E" w:rsidRPr="00BD266E" w:rsidRDefault="00BD266E" w:rsidP="00BD266E">
            <w:pPr>
              <w:jc w:val="center"/>
              <w:rPr>
                <w:rFonts w:ascii="Calibri" w:hAnsi="Calibri" w:cs="Arial"/>
                <w:color w:val="000000"/>
                <w:sz w:val="20"/>
                <w:szCs w:val="20"/>
              </w:rPr>
            </w:pPr>
            <w:r w:rsidRPr="00BD266E">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sz w:val="20"/>
                <w:szCs w:val="20"/>
              </w:rPr>
            </w:pPr>
            <w:r w:rsidRPr="00BD266E">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11 144</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 </w:t>
            </w:r>
          </w:p>
        </w:tc>
      </w:tr>
      <w:tr w:rsidR="00BD266E" w:rsidRPr="00BD266E" w:rsidTr="00BD266E">
        <w:trPr>
          <w:trHeight w:val="600"/>
        </w:trPr>
        <w:tc>
          <w:tcPr>
            <w:tcW w:w="580" w:type="dxa"/>
            <w:vMerge/>
            <w:tcBorders>
              <w:top w:val="nil"/>
              <w:left w:val="single" w:sz="8" w:space="0" w:color="auto"/>
              <w:bottom w:val="nil"/>
              <w:right w:val="single" w:sz="8" w:space="0" w:color="auto"/>
            </w:tcBorders>
            <w:vAlign w:val="center"/>
            <w:hideMark/>
          </w:tcPr>
          <w:p w:rsidR="00BD266E" w:rsidRPr="00BD266E" w:rsidRDefault="00BD266E" w:rsidP="00BD266E">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center"/>
            <w:hideMark/>
          </w:tcPr>
          <w:p w:rsidR="00BD266E" w:rsidRPr="00BD266E" w:rsidRDefault="00BD266E" w:rsidP="00BD266E">
            <w:pPr>
              <w:rPr>
                <w:rFonts w:ascii="Calibri" w:hAnsi="Calibri" w:cs="Arial"/>
                <w:sz w:val="20"/>
                <w:szCs w:val="20"/>
              </w:rPr>
            </w:pPr>
            <w:r w:rsidRPr="00BD266E">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30 671</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 </w:t>
            </w:r>
          </w:p>
        </w:tc>
      </w:tr>
      <w:tr w:rsidR="00BD266E" w:rsidRPr="00BD266E" w:rsidTr="00BD266E">
        <w:trPr>
          <w:trHeight w:val="600"/>
        </w:trPr>
        <w:tc>
          <w:tcPr>
            <w:tcW w:w="580" w:type="dxa"/>
            <w:vMerge/>
            <w:tcBorders>
              <w:top w:val="nil"/>
              <w:left w:val="single" w:sz="8" w:space="0" w:color="auto"/>
              <w:bottom w:val="nil"/>
              <w:right w:val="single" w:sz="8" w:space="0" w:color="auto"/>
            </w:tcBorders>
            <w:vAlign w:val="center"/>
            <w:hideMark/>
          </w:tcPr>
          <w:p w:rsidR="00BD266E" w:rsidRPr="00BD266E" w:rsidRDefault="00BD266E" w:rsidP="00BD266E">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center"/>
            <w:hideMark/>
          </w:tcPr>
          <w:p w:rsidR="00BD266E" w:rsidRPr="00BD266E" w:rsidRDefault="00F20618" w:rsidP="00BD266E">
            <w:pPr>
              <w:rPr>
                <w:rFonts w:ascii="Calibri" w:hAnsi="Calibri" w:cs="Arial"/>
                <w:color w:val="0000FF"/>
                <w:sz w:val="20"/>
                <w:szCs w:val="20"/>
                <w:u w:val="single"/>
              </w:rPr>
            </w:pPr>
            <w:hyperlink r:id="rId11" w:anchor="RANGE!_ftn2" w:history="1">
              <w:r w:rsidR="00BD266E" w:rsidRPr="00BD266E">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0</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sz w:val="20"/>
                <w:szCs w:val="20"/>
              </w:rPr>
            </w:pPr>
            <w:r w:rsidRPr="00BD266E">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 </w:t>
            </w:r>
          </w:p>
        </w:tc>
      </w:tr>
      <w:tr w:rsidR="00BD266E" w:rsidRPr="00BD266E" w:rsidTr="00BD266E">
        <w:trPr>
          <w:trHeight w:val="6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49 079</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b/>
                <w:bCs/>
                <w:sz w:val="20"/>
                <w:szCs w:val="20"/>
              </w:rPr>
            </w:pPr>
            <w:r w:rsidRPr="00BD266E">
              <w:rPr>
                <w:rFonts w:ascii="Calibri" w:hAnsi="Calibri" w:cs="Arial"/>
                <w:b/>
                <w:bCs/>
                <w:sz w:val="20"/>
                <w:szCs w:val="20"/>
              </w:rPr>
              <w:t> </w:t>
            </w:r>
          </w:p>
        </w:tc>
      </w:tr>
      <w:tr w:rsidR="00BD266E" w:rsidRPr="00BD266E" w:rsidTr="00BD26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D266E" w:rsidRPr="00BD266E" w:rsidRDefault="00BD266E" w:rsidP="00BD266E">
            <w:pPr>
              <w:rPr>
                <w:rFonts w:ascii="Calibri" w:hAnsi="Calibri" w:cs="Arial"/>
                <w:b/>
                <w:bCs/>
                <w:color w:val="000000"/>
                <w:sz w:val="20"/>
                <w:szCs w:val="20"/>
              </w:rPr>
            </w:pPr>
            <w:r w:rsidRPr="00BD266E">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1 529 974</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127 700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 </w:t>
            </w:r>
          </w:p>
        </w:tc>
      </w:tr>
      <w:tr w:rsidR="00BD266E" w:rsidRPr="00BD266E" w:rsidTr="00BD26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D266E" w:rsidRPr="00BD266E" w:rsidRDefault="00BD266E" w:rsidP="00BD266E">
            <w:pPr>
              <w:rPr>
                <w:rFonts w:ascii="Calibri" w:hAnsi="Calibri" w:cs="Arial"/>
                <w:b/>
                <w:bCs/>
                <w:sz w:val="20"/>
                <w:szCs w:val="20"/>
              </w:rPr>
            </w:pPr>
            <w:r w:rsidRPr="00BD266E">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1 839 000</w:t>
            </w:r>
          </w:p>
        </w:tc>
        <w:tc>
          <w:tcPr>
            <w:tcW w:w="148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right"/>
              <w:rPr>
                <w:rFonts w:ascii="Calibri" w:hAnsi="Calibri" w:cs="Arial"/>
                <w:b/>
                <w:bCs/>
                <w:sz w:val="20"/>
                <w:szCs w:val="20"/>
              </w:rPr>
            </w:pPr>
            <w:r w:rsidRPr="00BD266E">
              <w:rPr>
                <w:rFonts w:ascii="Calibri" w:hAnsi="Calibri" w:cs="Arial"/>
                <w:b/>
                <w:bCs/>
                <w:sz w:val="20"/>
                <w:szCs w:val="20"/>
              </w:rPr>
              <w:t>127 700</w:t>
            </w:r>
          </w:p>
        </w:tc>
        <w:tc>
          <w:tcPr>
            <w:tcW w:w="2560" w:type="dxa"/>
            <w:tcBorders>
              <w:top w:val="nil"/>
              <w:left w:val="nil"/>
              <w:bottom w:val="single" w:sz="8" w:space="0" w:color="auto"/>
              <w:right w:val="single" w:sz="8" w:space="0" w:color="auto"/>
            </w:tcBorders>
            <w:shd w:val="clear" w:color="auto" w:fill="auto"/>
            <w:vAlign w:val="center"/>
            <w:hideMark/>
          </w:tcPr>
          <w:p w:rsidR="00BD266E" w:rsidRPr="00BD266E" w:rsidRDefault="00BD266E" w:rsidP="00BD266E">
            <w:pPr>
              <w:jc w:val="center"/>
              <w:rPr>
                <w:rFonts w:ascii="Calibri" w:hAnsi="Calibri" w:cs="Arial"/>
                <w:sz w:val="20"/>
                <w:szCs w:val="20"/>
              </w:rPr>
            </w:pPr>
            <w:r w:rsidRPr="00BD266E">
              <w:rPr>
                <w:rFonts w:ascii="Calibri" w:hAnsi="Calibri" w:cs="Arial"/>
                <w:sz w:val="20"/>
                <w:szCs w:val="20"/>
              </w:rPr>
              <w:t> </w:t>
            </w:r>
          </w:p>
        </w:tc>
      </w:tr>
      <w:tr w:rsidR="00BD266E" w:rsidRPr="00BD266E" w:rsidTr="00BD266E">
        <w:trPr>
          <w:trHeight w:val="255"/>
        </w:trPr>
        <w:tc>
          <w:tcPr>
            <w:tcW w:w="5120" w:type="dxa"/>
            <w:gridSpan w:val="3"/>
            <w:tcBorders>
              <w:top w:val="nil"/>
              <w:left w:val="nil"/>
              <w:bottom w:val="nil"/>
              <w:right w:val="nil"/>
            </w:tcBorders>
            <w:shd w:val="clear" w:color="auto" w:fill="auto"/>
            <w:noWrap/>
            <w:vAlign w:val="center"/>
            <w:hideMark/>
          </w:tcPr>
          <w:p w:rsidR="00BD266E" w:rsidRPr="00BD266E" w:rsidRDefault="00F20618" w:rsidP="00BD266E">
            <w:pPr>
              <w:jc w:val="both"/>
              <w:rPr>
                <w:rFonts w:ascii="Calibri" w:hAnsi="Calibri" w:cs="Arial"/>
                <w:color w:val="0000FF"/>
                <w:sz w:val="20"/>
                <w:szCs w:val="20"/>
                <w:u w:val="single"/>
              </w:rPr>
            </w:pPr>
            <w:hyperlink r:id="rId12" w:anchor="RANGE!_ftnref1" w:history="1">
              <w:r w:rsidR="00BD266E" w:rsidRPr="00BD266E">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25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r>
      <w:tr w:rsidR="00BD266E" w:rsidRPr="00BD266E" w:rsidTr="00BD266E">
        <w:trPr>
          <w:trHeight w:val="255"/>
        </w:trPr>
        <w:tc>
          <w:tcPr>
            <w:tcW w:w="5120" w:type="dxa"/>
            <w:gridSpan w:val="3"/>
            <w:tcBorders>
              <w:top w:val="nil"/>
              <w:left w:val="nil"/>
              <w:bottom w:val="nil"/>
              <w:right w:val="nil"/>
            </w:tcBorders>
            <w:shd w:val="clear" w:color="auto" w:fill="auto"/>
            <w:noWrap/>
            <w:vAlign w:val="center"/>
            <w:hideMark/>
          </w:tcPr>
          <w:p w:rsidR="00BD266E" w:rsidRPr="00BD266E" w:rsidRDefault="00F20618" w:rsidP="00BD266E">
            <w:pPr>
              <w:jc w:val="both"/>
              <w:rPr>
                <w:rFonts w:ascii="Calibri" w:hAnsi="Calibri" w:cs="Arial"/>
                <w:color w:val="0000FF"/>
                <w:sz w:val="20"/>
                <w:szCs w:val="20"/>
                <w:u w:val="single"/>
              </w:rPr>
            </w:pPr>
            <w:hyperlink r:id="rId13" w:anchor="RANGE!_ftnref2" w:history="1">
              <w:r w:rsidR="00BD266E" w:rsidRPr="00BD266E">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c>
          <w:tcPr>
            <w:tcW w:w="2560" w:type="dxa"/>
            <w:tcBorders>
              <w:top w:val="nil"/>
              <w:left w:val="nil"/>
              <w:bottom w:val="nil"/>
              <w:right w:val="nil"/>
            </w:tcBorders>
            <w:shd w:val="clear" w:color="auto" w:fill="auto"/>
            <w:noWrap/>
            <w:vAlign w:val="center"/>
            <w:hideMark/>
          </w:tcPr>
          <w:p w:rsidR="00BD266E" w:rsidRPr="00BD266E" w:rsidRDefault="00BD266E" w:rsidP="00BD266E">
            <w:pPr>
              <w:rPr>
                <w:rFonts w:ascii="Calibri" w:hAnsi="Calibri" w:cs="Arial"/>
                <w:sz w:val="20"/>
                <w:szCs w:val="20"/>
              </w:rPr>
            </w:pPr>
          </w:p>
        </w:tc>
      </w:tr>
    </w:tbl>
    <w:p w:rsidR="00BD266E" w:rsidRDefault="00BD266E" w:rsidP="00BD266E">
      <w:pPr>
        <w:rPr>
          <w:rFonts w:ascii="Calibri" w:hAnsi="Calibri"/>
          <w:sz w:val="22"/>
          <w:szCs w:val="22"/>
        </w:rPr>
      </w:pPr>
    </w:p>
    <w:sectPr w:rsidR="00BD266E"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00" w:rsidRDefault="00080900">
      <w:r>
        <w:separator/>
      </w:r>
    </w:p>
  </w:endnote>
  <w:endnote w:type="continuationSeparator" w:id="0">
    <w:p w:rsidR="00080900" w:rsidRDefault="000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F2061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F2061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00" w:rsidRDefault="00080900">
      <w:r>
        <w:separator/>
      </w:r>
    </w:p>
  </w:footnote>
  <w:footnote w:type="continuationSeparator" w:id="0">
    <w:p w:rsidR="00080900" w:rsidRDefault="00080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80900"/>
    <w:rsid w:val="0009031F"/>
    <w:rsid w:val="00096860"/>
    <w:rsid w:val="000A0147"/>
    <w:rsid w:val="000C487A"/>
    <w:rsid w:val="00165A43"/>
    <w:rsid w:val="001730E1"/>
    <w:rsid w:val="00196C43"/>
    <w:rsid w:val="00217C4C"/>
    <w:rsid w:val="00247315"/>
    <w:rsid w:val="00271822"/>
    <w:rsid w:val="0027527A"/>
    <w:rsid w:val="002B07F1"/>
    <w:rsid w:val="002B3740"/>
    <w:rsid w:val="002B6DD9"/>
    <w:rsid w:val="002C7E59"/>
    <w:rsid w:val="002E6D8D"/>
    <w:rsid w:val="003113F8"/>
    <w:rsid w:val="0031665F"/>
    <w:rsid w:val="00393BF8"/>
    <w:rsid w:val="003C03A3"/>
    <w:rsid w:val="003D0CDE"/>
    <w:rsid w:val="00400587"/>
    <w:rsid w:val="004008D9"/>
    <w:rsid w:val="004115FE"/>
    <w:rsid w:val="0042605F"/>
    <w:rsid w:val="004405E5"/>
    <w:rsid w:val="00447C27"/>
    <w:rsid w:val="00473D09"/>
    <w:rsid w:val="004C5412"/>
    <w:rsid w:val="004C792B"/>
    <w:rsid w:val="004E24BC"/>
    <w:rsid w:val="004E43CB"/>
    <w:rsid w:val="004F5B82"/>
    <w:rsid w:val="004F6D74"/>
    <w:rsid w:val="00530ED9"/>
    <w:rsid w:val="00563457"/>
    <w:rsid w:val="00572C7D"/>
    <w:rsid w:val="00582338"/>
    <w:rsid w:val="005871DF"/>
    <w:rsid w:val="005B4281"/>
    <w:rsid w:val="005B685B"/>
    <w:rsid w:val="005C133F"/>
    <w:rsid w:val="005C4E92"/>
    <w:rsid w:val="005C56AB"/>
    <w:rsid w:val="005C7AF6"/>
    <w:rsid w:val="005E7A12"/>
    <w:rsid w:val="005F7952"/>
    <w:rsid w:val="00695D17"/>
    <w:rsid w:val="006A164B"/>
    <w:rsid w:val="006E4FB3"/>
    <w:rsid w:val="006F17D6"/>
    <w:rsid w:val="006F5E72"/>
    <w:rsid w:val="00714CA8"/>
    <w:rsid w:val="00750C7B"/>
    <w:rsid w:val="00754FEC"/>
    <w:rsid w:val="00764C98"/>
    <w:rsid w:val="00774926"/>
    <w:rsid w:val="007826B4"/>
    <w:rsid w:val="007905A7"/>
    <w:rsid w:val="007935F5"/>
    <w:rsid w:val="007964CF"/>
    <w:rsid w:val="007B52B7"/>
    <w:rsid w:val="007F0D8D"/>
    <w:rsid w:val="007F765A"/>
    <w:rsid w:val="00835D38"/>
    <w:rsid w:val="0085045B"/>
    <w:rsid w:val="008551CD"/>
    <w:rsid w:val="00857CBB"/>
    <w:rsid w:val="00872D23"/>
    <w:rsid w:val="00877910"/>
    <w:rsid w:val="00893403"/>
    <w:rsid w:val="008C22A2"/>
    <w:rsid w:val="008D258D"/>
    <w:rsid w:val="008D53F1"/>
    <w:rsid w:val="008E7E19"/>
    <w:rsid w:val="00920B7A"/>
    <w:rsid w:val="00932B78"/>
    <w:rsid w:val="00974D3B"/>
    <w:rsid w:val="009B06CE"/>
    <w:rsid w:val="009C24CE"/>
    <w:rsid w:val="009C36FB"/>
    <w:rsid w:val="009C47C7"/>
    <w:rsid w:val="009D60BC"/>
    <w:rsid w:val="009E338E"/>
    <w:rsid w:val="009E438C"/>
    <w:rsid w:val="00A035D7"/>
    <w:rsid w:val="00A16F26"/>
    <w:rsid w:val="00A2236F"/>
    <w:rsid w:val="00A22708"/>
    <w:rsid w:val="00A24FD7"/>
    <w:rsid w:val="00A53C1F"/>
    <w:rsid w:val="00A60F23"/>
    <w:rsid w:val="00A66D20"/>
    <w:rsid w:val="00A70BCF"/>
    <w:rsid w:val="00AA63B2"/>
    <w:rsid w:val="00AE434E"/>
    <w:rsid w:val="00B21985"/>
    <w:rsid w:val="00B33345"/>
    <w:rsid w:val="00B426C3"/>
    <w:rsid w:val="00B568AB"/>
    <w:rsid w:val="00B63931"/>
    <w:rsid w:val="00BA0708"/>
    <w:rsid w:val="00BB2057"/>
    <w:rsid w:val="00BB71AF"/>
    <w:rsid w:val="00BD266E"/>
    <w:rsid w:val="00BF501C"/>
    <w:rsid w:val="00C8265D"/>
    <w:rsid w:val="00C83881"/>
    <w:rsid w:val="00CA5942"/>
    <w:rsid w:val="00CF2BB9"/>
    <w:rsid w:val="00CF787A"/>
    <w:rsid w:val="00D0015E"/>
    <w:rsid w:val="00D33593"/>
    <w:rsid w:val="00D72755"/>
    <w:rsid w:val="00D80BC7"/>
    <w:rsid w:val="00DA1F4A"/>
    <w:rsid w:val="00DA5360"/>
    <w:rsid w:val="00DB16DF"/>
    <w:rsid w:val="00DD5A10"/>
    <w:rsid w:val="00DE74F5"/>
    <w:rsid w:val="00E11678"/>
    <w:rsid w:val="00E238EC"/>
    <w:rsid w:val="00E2511B"/>
    <w:rsid w:val="00E72974"/>
    <w:rsid w:val="00E73DA4"/>
    <w:rsid w:val="00E77A44"/>
    <w:rsid w:val="00EA2FA6"/>
    <w:rsid w:val="00ED2D4B"/>
    <w:rsid w:val="00F20618"/>
    <w:rsid w:val="00F22FE4"/>
    <w:rsid w:val="00F4075B"/>
    <w:rsid w:val="00F67360"/>
    <w:rsid w:val="00F73714"/>
    <w:rsid w:val="00F876EC"/>
    <w:rsid w:val="00FA44DD"/>
    <w:rsid w:val="00FA5735"/>
    <w:rsid w:val="00FB0569"/>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605648312">
      <w:bodyDiv w:val="1"/>
      <w:marLeft w:val="0"/>
      <w:marRight w:val="0"/>
      <w:marTop w:val="0"/>
      <w:marBottom w:val="0"/>
      <w:divBdr>
        <w:top w:val="none" w:sz="0" w:space="0" w:color="auto"/>
        <w:left w:val="none" w:sz="0" w:space="0" w:color="auto"/>
        <w:bottom w:val="none" w:sz="0" w:space="0" w:color="auto"/>
        <w:right w:val="none" w:sz="0" w:space="0" w:color="auto"/>
      </w:divBdr>
    </w:div>
    <w:div w:id="1644311780">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25988EBE.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25988EBE.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25988EBE.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25988EBE.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B6B1-C605-4025-B97A-E825BFD6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2154</Words>
  <Characters>12714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57</cp:revision>
  <cp:lastPrinted>2016-02-01T08:07:00Z</cp:lastPrinted>
  <dcterms:created xsi:type="dcterms:W3CDTF">2016-11-16T13:20:00Z</dcterms:created>
  <dcterms:modified xsi:type="dcterms:W3CDTF">2016-12-01T14:04:00Z</dcterms:modified>
</cp:coreProperties>
</file>