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57" w:rsidRDefault="007766DA">
      <w:pPr>
        <w:pStyle w:val="Nzev"/>
        <w:rPr>
          <w:color w:val="000000"/>
          <w:sz w:val="28"/>
          <w:szCs w:val="28"/>
        </w:rPr>
      </w:pPr>
      <w:r>
        <w:rPr>
          <w:color w:val="000000"/>
          <w:sz w:val="28"/>
          <w:szCs w:val="28"/>
        </w:rPr>
        <w:t>Všeobecné obchodní podmínky</w:t>
      </w:r>
    </w:p>
    <w:p w:rsidR="00392E57" w:rsidRDefault="007766DA">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rsidR="00392E57" w:rsidRDefault="007766DA">
      <w:pPr>
        <w:shd w:val="clear" w:color="auto" w:fill="FFFFFF"/>
        <w:spacing w:after="0" w:line="240" w:lineRule="auto"/>
        <w:ind w:left="1428" w:hanging="708"/>
        <w:rPr>
          <w:rFonts w:ascii="Georgia" w:eastAsia="Georgia" w:hAnsi="Georgia" w:cs="Georgia"/>
          <w:b/>
          <w:sz w:val="24"/>
          <w:szCs w:val="24"/>
        </w:rPr>
      </w:pPr>
      <w:r>
        <w:rPr>
          <w:rFonts w:ascii="Georgia" w:eastAsia="Georgia" w:hAnsi="Georgia" w:cs="Georgia"/>
          <w:b/>
          <w:sz w:val="24"/>
          <w:szCs w:val="24"/>
        </w:rPr>
        <w:t>Tritius Solutions a.s.</w:t>
      </w:r>
    </w:p>
    <w:p w:rsidR="00392E57" w:rsidRDefault="007766D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doručit : Jiráskova 1775, 390 02 Tábor</w:t>
      </w:r>
    </w:p>
    <w:p w:rsidR="00392E57" w:rsidRDefault="007766D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w:t>
      </w:r>
    </w:p>
    <w:p w:rsidR="00392E57" w:rsidRDefault="007766DA">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předsedou představenstva Ing. Jiřím Šilhou</w:t>
      </w:r>
    </w:p>
    <w:p w:rsidR="00392E57" w:rsidRDefault="007766DA">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rsidR="00392E57" w:rsidRDefault="00392E57">
      <w:pPr>
        <w:shd w:val="clear" w:color="auto" w:fill="FFFFFF"/>
        <w:spacing w:after="0" w:line="240" w:lineRule="auto"/>
        <w:ind w:left="1428" w:hanging="708"/>
        <w:rPr>
          <w:rFonts w:ascii="Georgia" w:eastAsia="Georgia" w:hAnsi="Georgia" w:cs="Georgia"/>
          <w:i/>
          <w:sz w:val="20"/>
          <w:szCs w:val="20"/>
        </w:rPr>
      </w:pPr>
    </w:p>
    <w:p w:rsidR="00392E57" w:rsidRDefault="007766DA">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rsidR="00392E57" w:rsidRDefault="007766DA">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4"/>
          <w:szCs w:val="24"/>
        </w:rPr>
        <w:t>Uživatel systému nebo služeb Poskytovatele</w:t>
      </w:r>
    </w:p>
    <w:p w:rsidR="00392E57" w:rsidRDefault="00392E57">
      <w:pPr>
        <w:shd w:val="clear" w:color="auto" w:fill="FFFFFF"/>
        <w:spacing w:after="0" w:line="240" w:lineRule="auto"/>
        <w:jc w:val="center"/>
        <w:rPr>
          <w:rFonts w:ascii="Georgia" w:eastAsia="Georgia" w:hAnsi="Georgia" w:cs="Georgia"/>
          <w:sz w:val="20"/>
          <w:szCs w:val="20"/>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sz w:val="22"/>
          <w:szCs w:val="22"/>
        </w:rPr>
      </w:pPr>
      <w:r>
        <w:rPr>
          <w:rFonts w:ascii="Georgia" w:eastAsia="Georgia" w:hAnsi="Georgia" w:cs="Georgia"/>
          <w:sz w:val="22"/>
          <w:szCs w:val="22"/>
          <w:u w:val="single"/>
        </w:rPr>
        <w:t>Úvodní ustanovení</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Tyto všeobecné obchodní podmínky jsou součástí smluvních vztahů mezi poskytovatelem o objednatelem pro služby spojené s knihovním systém Tritius.</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Pro zajištění skutečného seznámení objednatele s těmito podmínkami jsou vždy v platné verzi přílohou uzavírané smlouvy.</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rPr>
        <w:t>V případě rozdílu mezi obsahem těchto podmínek a uzavřené smlouvy má přednost úprava ve smlouvě (smlouva má vyšší prioritu).</w:t>
      </w:r>
    </w:p>
    <w:p w:rsidR="00392E57" w:rsidRDefault="00392E57">
      <w:pPr>
        <w:shd w:val="clear" w:color="auto" w:fill="FFFFFF"/>
        <w:spacing w:after="0" w:line="240" w:lineRule="auto"/>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color w:val="000000"/>
          <w:sz w:val="22"/>
          <w:szCs w:val="22"/>
        </w:rPr>
      </w:pPr>
      <w:r>
        <w:rPr>
          <w:rFonts w:ascii="Georgia" w:eastAsia="Georgia" w:hAnsi="Georgia" w:cs="Georgia"/>
          <w:sz w:val="22"/>
          <w:szCs w:val="22"/>
          <w:u w:val="single"/>
        </w:rPr>
        <w:t>Definice p</w:t>
      </w:r>
      <w:r>
        <w:rPr>
          <w:rFonts w:ascii="Georgia" w:eastAsia="Georgia" w:hAnsi="Georgia" w:cs="Georgia"/>
          <w:sz w:val="22"/>
          <w:szCs w:val="22"/>
          <w:u w:val="single"/>
        </w:rPr>
        <w:t>ojmů</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b/>
          <w:sz w:val="22"/>
          <w:szCs w:val="22"/>
        </w:rPr>
        <w:t>VOP</w:t>
      </w:r>
      <w:r>
        <w:rPr>
          <w:rFonts w:ascii="Georgia" w:eastAsia="Georgia" w:hAnsi="Georgia" w:cs="Georgia"/>
          <w:sz w:val="22"/>
          <w:szCs w:val="22"/>
        </w:rPr>
        <w:t>: Všeobecné obchodní podmínky (tento dokument).</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b/>
          <w:sz w:val="22"/>
          <w:szCs w:val="22"/>
        </w:rPr>
        <w:t>Systém</w:t>
      </w:r>
      <w:r>
        <w:rPr>
          <w:rFonts w:ascii="Georgia" w:eastAsia="Georgia" w:hAnsi="Georgia" w:cs="Georgia"/>
          <w:sz w:val="22"/>
          <w:szCs w:val="22"/>
        </w:rPr>
        <w:t>: Knihovní systém Tritius.</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b/>
          <w:sz w:val="22"/>
          <w:szCs w:val="22"/>
        </w:rPr>
        <w:t>Smlouva</w:t>
      </w:r>
      <w:r>
        <w:rPr>
          <w:rFonts w:ascii="Georgia" w:eastAsia="Georgia" w:hAnsi="Georgia" w:cs="Georgia"/>
          <w:sz w:val="22"/>
          <w:szCs w:val="22"/>
        </w:rPr>
        <w:t>: Smlouva mezi poskytovatelem a objednatelem pro dodání systému nebo služby spojené se systémem, k níž se vztahují tyto VOP.</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u w:val="single"/>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Pravidla užívání systému (licenční podmínky)</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systém užívat pouze v rozsahu udělené licence uvedené v samostatné smlouvě.</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systém užívat výlučně pro své vnitřní účely v souladu s účelem, pro které byl software vytv</w:t>
      </w:r>
      <w:r>
        <w:rPr>
          <w:rFonts w:ascii="Georgia" w:eastAsia="Georgia" w:hAnsi="Georgia" w:cs="Georgia"/>
          <w:sz w:val="22"/>
          <w:szCs w:val="22"/>
        </w:rPr>
        <w:t>ořen.</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není oprávněn systém šířit, kopírovat nebo jiným způsobem umožnit jeho užívání jinými osobami, nebude-li smluvními stranami předem písemně sjednáno jinak. Výjimkou jsou veřejně dostupné části služby systému (webový katalog) a případně dalš</w:t>
      </w:r>
      <w:r>
        <w:rPr>
          <w:rFonts w:ascii="Georgia" w:eastAsia="Georgia" w:hAnsi="Georgia" w:cs="Georgia"/>
          <w:sz w:val="22"/>
          <w:szCs w:val="22"/>
        </w:rPr>
        <w:t>í pořízené komunikační moduly, tj. OAI Provider, NCIP Server a Z39.50 Server.</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Pokud objednatel umožní provoz dalších platných licencí systému třetím stranám na svém serveru (sdílení serveru pro provoz více licencí systému více knihovnami), zavazuje se, že </w:t>
      </w:r>
      <w:r>
        <w:rPr>
          <w:rFonts w:ascii="Georgia" w:eastAsia="Georgia" w:hAnsi="Georgia" w:cs="Georgia"/>
          <w:sz w:val="22"/>
          <w:szCs w:val="22"/>
        </w:rPr>
        <w:t>bude garantovat dostupnost serveru a systému v takové kvalitě, aby provoz nepoškozoval dobré jméno produktu a souhlasí s tím, že update systému může být instalován jen v případě jeho řádného uhrazení všemi připojenými třetími stranami (knihovnami) na sdíle</w:t>
      </w:r>
      <w:r>
        <w:rPr>
          <w:rFonts w:ascii="Georgia" w:eastAsia="Georgia" w:hAnsi="Georgia" w:cs="Georgia"/>
          <w:sz w:val="22"/>
          <w:szCs w:val="22"/>
        </w:rPr>
        <w:t>ném serveru (neplatí pro REKS knihovny).</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bere na vědomí, že k řádnému užívání systému je zapotřebí, aby systém užíval za pomocí hardwaru a softwaru, splňujícího požadavky písemně stanovené poskytovatelem ve veřejně dostupné dokumentaci.</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w:t>
      </w:r>
      <w:r>
        <w:rPr>
          <w:rFonts w:ascii="Georgia" w:eastAsia="Georgia" w:hAnsi="Georgia" w:cs="Georgia"/>
          <w:sz w:val="22"/>
          <w:szCs w:val="22"/>
        </w:rPr>
        <w:t>el je povinen poskytovateli neprodleně písemně emailem oznámit každou změnu, která má nebo by mohla mít vliv na jeho užívání systému.</w:t>
      </w:r>
    </w:p>
    <w:p w:rsidR="00064E33" w:rsidRPr="00064E33"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si je vědom toho, že systém je softwarové dílo a jako takové reaguje na okolnosti působící na něj během jeho činnosti, přičemž tyto jeho reakce mohou </w:t>
      </w:r>
    </w:p>
    <w:p w:rsidR="00064E33" w:rsidRDefault="00064E33" w:rsidP="00064E33">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064E33" w:rsidRDefault="00064E33" w:rsidP="00064E33">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064E33" w:rsidRDefault="00064E33" w:rsidP="00064E33">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392E57" w:rsidRDefault="007766DA" w:rsidP="00064E33">
      <w:pPr>
        <w:pBdr>
          <w:top w:val="nil"/>
          <w:left w:val="nil"/>
          <w:bottom w:val="nil"/>
          <w:right w:val="nil"/>
          <w:between w:val="nil"/>
        </w:pBdr>
        <w:shd w:val="clear" w:color="auto" w:fill="FFFFFF"/>
        <w:spacing w:after="0" w:line="240" w:lineRule="auto"/>
        <w:ind w:left="792"/>
        <w:rPr>
          <w:rFonts w:ascii="Georgia" w:eastAsia="Georgia" w:hAnsi="Georgia" w:cs="Georgia"/>
        </w:rPr>
      </w:pPr>
      <w:r>
        <w:rPr>
          <w:rFonts w:ascii="Georgia" w:eastAsia="Georgia" w:hAnsi="Georgia" w:cs="Georgia"/>
          <w:sz w:val="22"/>
          <w:szCs w:val="22"/>
        </w:rPr>
        <w:lastRenderedPageBreak/>
        <w:t>spočívat v nepředvídaných přerušeních prováděné akce, v potřebě zadání opakovaného příkazu k pr</w:t>
      </w:r>
      <w:r>
        <w:rPr>
          <w:rFonts w:ascii="Georgia" w:eastAsia="Georgia" w:hAnsi="Georgia" w:cs="Georgia"/>
          <w:sz w:val="22"/>
          <w:szCs w:val="22"/>
        </w:rPr>
        <w:t>ovedení akce či v jiných potížích při jeho užívání a provozování. Poskytovatel i objednatel shodně konstatují, že takové ojedinělé reakce systému, přechodného rázu, nemohou být a nebudou považovány za vadu systému. Poskytovatel je však povinen poskytnout o</w:t>
      </w:r>
      <w:r>
        <w:rPr>
          <w:rFonts w:ascii="Georgia" w:eastAsia="Georgia" w:hAnsi="Georgia" w:cs="Georgia"/>
          <w:sz w:val="22"/>
          <w:szCs w:val="22"/>
        </w:rPr>
        <w:t>bjednateli veškerou možnou odbornou pomoc při překonávání takovýchto situací.</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u w:val="single"/>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Obecná součinnost objednatele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k zadávání svých požadavků využívat přednostně zákaznickou aplikaci helpdesku systému Tritius.</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poskytno</w:t>
      </w:r>
      <w:r>
        <w:rPr>
          <w:rFonts w:ascii="Georgia" w:eastAsia="Georgia" w:hAnsi="Georgia" w:cs="Georgia"/>
          <w:sz w:val="22"/>
          <w:szCs w:val="22"/>
        </w:rPr>
        <w:t>ut potřebnou součinnost poskytovateli v souvislosti s plněním smlouvy, zejména:</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Poskytnout potřebné údaje pro implementaci (formou online formuláře).</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Poskytnout nezbytnou technickou a odbornou součinnost zejména při instalaci systému do virtualizačního prostředí, provozu na pracovních stanicích a jejich periferiích.</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Zajistit součinnost třetích stran při integraci s jinými informačními systémy.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Dodržovat</w:t>
      </w:r>
      <w:r>
        <w:rPr>
          <w:rFonts w:ascii="Georgia" w:eastAsia="Georgia" w:hAnsi="Georgia" w:cs="Georgia"/>
          <w:sz w:val="22"/>
          <w:szCs w:val="22"/>
        </w:rPr>
        <w:t xml:space="preserve"> termíny v rámci dohodnutého harmonogramu prací.</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Zajistit školení pracovníků objednatele v oblasti knihovnických standardů (AACR2, ISBD, MARC21, MARC21/Autority, RDA).</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Předávat požadované úpravy systému, úpravy a opravy konverzí dat ze stávajícího systému písemnou formou výhradně do helpdesku systému Tritius.</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Objednatel je povinen dle varianty provozu systému plnit </w:t>
      </w:r>
      <w:hyperlink r:id="rId8">
        <w:r>
          <w:rPr>
            <w:rFonts w:ascii="Georgia" w:eastAsia="Georgia" w:hAnsi="Georgia" w:cs="Georgia"/>
            <w:color w:val="1155CC"/>
            <w:sz w:val="22"/>
            <w:szCs w:val="22"/>
            <w:u w:val="single"/>
          </w:rPr>
          <w:t>Technické požadavky na provoz systému na vlastním serveru</w:t>
        </w:r>
      </w:hyperlink>
      <w:r>
        <w:rPr>
          <w:rFonts w:ascii="Georgia" w:eastAsia="Georgia" w:hAnsi="Georgia" w:cs="Georgia"/>
          <w:sz w:val="22"/>
          <w:szCs w:val="22"/>
        </w:rPr>
        <w:t xml:space="preserve"> případně </w:t>
      </w:r>
      <w:hyperlink r:id="rId9">
        <w:r>
          <w:rPr>
            <w:rFonts w:ascii="Georgia" w:eastAsia="Georgia" w:hAnsi="Georgia" w:cs="Georgia"/>
            <w:color w:val="1155CC"/>
            <w:sz w:val="22"/>
            <w:szCs w:val="22"/>
            <w:u w:val="single"/>
          </w:rPr>
          <w:t>Technické požadavky na provoz systému jako služby</w:t>
        </w:r>
      </w:hyperlink>
      <w:r>
        <w:rPr>
          <w:rFonts w:ascii="Georgia" w:eastAsia="Georgia" w:hAnsi="Georgia" w:cs="Georgia"/>
          <w:sz w:val="22"/>
          <w:szCs w:val="22"/>
        </w:rPr>
        <w:t xml:space="preserve">, které jsou dostupné </w:t>
      </w:r>
      <w:r>
        <w:rPr>
          <w:rFonts w:ascii="Georgia" w:eastAsia="Georgia" w:hAnsi="Georgia" w:cs="Georgia"/>
          <w:sz w:val="22"/>
          <w:szCs w:val="22"/>
        </w:rPr>
        <w:t>ve veřejné dokumentaci Tritia.</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jakékoli zásahy, změny, opravy a rozšíření systému mimo dohodnutý rozsah předem konzultovat s poskytovatelem. Přitom je povinen respektovat ty podmínky, které označí zhotovitel jako podstatné pro zachová</w:t>
      </w:r>
      <w:r>
        <w:rPr>
          <w:rFonts w:ascii="Georgia" w:eastAsia="Georgia" w:hAnsi="Georgia" w:cs="Georgia"/>
          <w:sz w:val="22"/>
          <w:szCs w:val="22"/>
        </w:rPr>
        <w:t>ní spolehlivé funkce SW.</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na výzvu zhotovitele obratem potvrdit nebo odmítnout požadovanou součinnost. Přitom je povinen komunikovat bez zbytečných odkladů, a v případě žádosti zhotovitele následně tuto komunikaci potvrdit v písemné po</w:t>
      </w:r>
      <w:r>
        <w:rPr>
          <w:rFonts w:ascii="Georgia" w:eastAsia="Georgia" w:hAnsi="Georgia" w:cs="Georgia"/>
          <w:sz w:val="22"/>
          <w:szCs w:val="22"/>
        </w:rPr>
        <w:t>době.</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bude přihlížet k organizačním změnám navržených zhotovitelem vedoucím k racionalizaci provozu a zvýšení produktivity práce.</w:t>
      </w:r>
    </w:p>
    <w:p w:rsidR="00392E57" w:rsidRDefault="00392E57">
      <w:pPr>
        <w:pBdr>
          <w:top w:val="nil"/>
          <w:left w:val="nil"/>
          <w:bottom w:val="nil"/>
          <w:right w:val="nil"/>
          <w:between w:val="nil"/>
        </w:pBdr>
        <w:shd w:val="clear" w:color="auto" w:fill="FFFFFF"/>
        <w:spacing w:after="0" w:line="240" w:lineRule="auto"/>
        <w:ind w:left="792"/>
        <w:rPr>
          <w:rFonts w:ascii="Georgia" w:eastAsia="Georgia" w:hAnsi="Georgia" w:cs="Georgia"/>
          <w:sz w:val="22"/>
          <w:szCs w:val="22"/>
        </w:rPr>
      </w:pPr>
    </w:p>
    <w:p w:rsidR="00392E57" w:rsidRDefault="007766DA">
      <w:pPr>
        <w:numPr>
          <w:ilvl w:val="0"/>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Garance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garantuje dodržování knihovnických a technických standardů (AACR2, ISBD, MARC21, MARC21/Autority, RDA) a bezpečnostních komunikačních standardů (SSL).</w:t>
      </w:r>
    </w:p>
    <w:p w:rsidR="00392E57" w:rsidRDefault="00392E57">
      <w:pPr>
        <w:shd w:val="clear" w:color="auto" w:fill="FFFFFF"/>
        <w:spacing w:after="0" w:line="240" w:lineRule="auto"/>
        <w:ind w:left="360"/>
        <w:rPr>
          <w:rFonts w:ascii="Georgia" w:eastAsia="Georgia" w:hAnsi="Georgia" w:cs="Georgia"/>
          <w:sz w:val="22"/>
          <w:szCs w:val="22"/>
          <w:u w:val="single"/>
        </w:rPr>
      </w:pPr>
    </w:p>
    <w:p w:rsidR="00392E57" w:rsidRDefault="007766DA">
      <w:pPr>
        <w:numPr>
          <w:ilvl w:val="0"/>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Záruční servis systému</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Záručním servisem se rozumí odborné zásahy poskytovatele vedoucí k o</w:t>
      </w:r>
      <w:r>
        <w:rPr>
          <w:rFonts w:ascii="Georgia" w:eastAsia="Georgia" w:hAnsi="Georgia" w:cs="Georgia"/>
          <w:sz w:val="22"/>
          <w:szCs w:val="22"/>
        </w:rPr>
        <w:t>bnovení fungování systému podle aktuální elektronické dokumentace, zejména opravy zjevných chyb systému.</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Záruční servis je poskytován na fungování předaných částí (modulů) systému pouze v rozsahu uvedeného v dokumentu </w:t>
      </w:r>
      <w:hyperlink r:id="rId10">
        <w:r>
          <w:rPr>
            <w:rFonts w:ascii="Georgia" w:eastAsia="Georgia" w:hAnsi="Georgia" w:cs="Georgia"/>
            <w:color w:val="1155CC"/>
            <w:sz w:val="22"/>
            <w:szCs w:val="22"/>
            <w:u w:val="single"/>
          </w:rPr>
          <w:t>Základní funkčnosti systému Tritius</w:t>
        </w:r>
      </w:hyperlink>
      <w:r>
        <w:rPr>
          <w:rFonts w:ascii="Georgia" w:eastAsia="Georgia" w:hAnsi="Georgia" w:cs="Georgia"/>
          <w:sz w:val="22"/>
          <w:szCs w:val="22"/>
        </w:rPr>
        <w:t xml:space="preserve"> dostupného online na webu poskytovatele během platného záručního období.</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neručí za chybné fungování systému způsobené chybnými daty zadanými objednatelem do s</w:t>
      </w:r>
      <w:r>
        <w:rPr>
          <w:rFonts w:ascii="Georgia" w:eastAsia="Georgia" w:hAnsi="Georgia" w:cs="Georgia"/>
          <w:sz w:val="22"/>
          <w:szCs w:val="22"/>
        </w:rPr>
        <w:t>ystému nebo technickými nedostatky na straně objednatele.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Garantované lhůty pro řešení nahlášených vad systému bez uzavřené servisní smlouvy se liší v závislosti na prioritě závady.</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Všechny uvedené lhůty se počítají v rámci pracovní doby poskytovatele.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Pra</w:t>
      </w:r>
      <w:r>
        <w:rPr>
          <w:rFonts w:ascii="Georgia" w:eastAsia="Georgia" w:hAnsi="Georgia" w:cs="Georgia"/>
          <w:sz w:val="22"/>
          <w:szCs w:val="22"/>
        </w:rPr>
        <w:t>vidla pro určení priority požadavků určuje následující tabulka.</w:t>
      </w:r>
    </w:p>
    <w:tbl>
      <w:tblPr>
        <w:tblStyle w:val="a"/>
        <w:tblW w:w="89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0"/>
        <w:gridCol w:w="7540"/>
      </w:tblGrid>
      <w:tr w:rsidR="00392E57">
        <w:trPr>
          <w:trHeight w:val="480"/>
        </w:trPr>
        <w:tc>
          <w:tcPr>
            <w:tcW w:w="1420" w:type="dxa"/>
            <w:shd w:val="clear" w:color="auto" w:fill="E7E6E6"/>
            <w:tcMar>
              <w:top w:w="100" w:type="dxa"/>
              <w:left w:w="100" w:type="dxa"/>
              <w:bottom w:w="100" w:type="dxa"/>
              <w:right w:w="100" w:type="dxa"/>
            </w:tcMar>
          </w:tcPr>
          <w:p w:rsidR="00392E57" w:rsidRDefault="007766DA">
            <w:pPr>
              <w:rPr>
                <w:rFonts w:ascii="Georgia" w:eastAsia="Georgia" w:hAnsi="Georgia" w:cs="Georgia"/>
                <w:b/>
                <w:sz w:val="22"/>
                <w:szCs w:val="22"/>
              </w:rPr>
            </w:pPr>
            <w:r>
              <w:rPr>
                <w:rFonts w:ascii="Georgia" w:eastAsia="Georgia" w:hAnsi="Georgia" w:cs="Georgia"/>
                <w:b/>
                <w:sz w:val="22"/>
                <w:szCs w:val="22"/>
              </w:rPr>
              <w:lastRenderedPageBreak/>
              <w:t>Priorita</w:t>
            </w:r>
          </w:p>
        </w:tc>
        <w:tc>
          <w:tcPr>
            <w:tcW w:w="7540" w:type="dxa"/>
            <w:shd w:val="clear" w:color="auto" w:fill="E7E6E6"/>
            <w:tcMar>
              <w:top w:w="100" w:type="dxa"/>
              <w:left w:w="100" w:type="dxa"/>
              <w:bottom w:w="100" w:type="dxa"/>
              <w:right w:w="100" w:type="dxa"/>
            </w:tcMar>
          </w:tcPr>
          <w:p w:rsidR="00392E57" w:rsidRDefault="007766DA">
            <w:pPr>
              <w:rPr>
                <w:rFonts w:ascii="Georgia" w:eastAsia="Georgia" w:hAnsi="Georgia" w:cs="Georgia"/>
                <w:b/>
                <w:sz w:val="22"/>
                <w:szCs w:val="22"/>
              </w:rPr>
            </w:pPr>
            <w:r>
              <w:rPr>
                <w:rFonts w:ascii="Georgia" w:eastAsia="Georgia" w:hAnsi="Georgia" w:cs="Georgia"/>
                <w:b/>
                <w:sz w:val="22"/>
                <w:szCs w:val="22"/>
              </w:rPr>
              <w:t>Vysvětlení</w:t>
            </w:r>
          </w:p>
        </w:tc>
      </w:tr>
      <w:tr w:rsidR="00392E57">
        <w:trPr>
          <w:trHeight w:val="580"/>
        </w:trPr>
        <w:tc>
          <w:tcPr>
            <w:tcW w:w="1420" w:type="dxa"/>
            <w:shd w:val="clear" w:color="auto" w:fill="FFFFFF"/>
            <w:tcMar>
              <w:top w:w="100" w:type="dxa"/>
              <w:left w:w="100" w:type="dxa"/>
              <w:bottom w:w="100" w:type="dxa"/>
              <w:right w:w="100" w:type="dxa"/>
            </w:tcMar>
          </w:tcPr>
          <w:p w:rsidR="00392E57" w:rsidRDefault="007766DA">
            <w:pPr>
              <w:rPr>
                <w:rFonts w:ascii="Georgia" w:eastAsia="Georgia" w:hAnsi="Georgia" w:cs="Georgia"/>
                <w:sz w:val="22"/>
                <w:szCs w:val="22"/>
              </w:rPr>
            </w:pPr>
            <w:r>
              <w:rPr>
                <w:rFonts w:ascii="Georgia" w:eastAsia="Georgia" w:hAnsi="Georgia" w:cs="Georgia"/>
                <w:sz w:val="22"/>
                <w:szCs w:val="22"/>
              </w:rPr>
              <w:t>A – Blocker</w:t>
            </w:r>
          </w:p>
        </w:tc>
        <w:tc>
          <w:tcPr>
            <w:tcW w:w="754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Zásadní problém dostupnosti systému, neumožňuje systém využívat vůbec nebo nefungují základní funkce a činnosti.</w:t>
            </w:r>
          </w:p>
        </w:tc>
      </w:tr>
      <w:tr w:rsidR="00392E57">
        <w:tc>
          <w:tcPr>
            <w:tcW w:w="1420" w:type="dxa"/>
            <w:shd w:val="clear" w:color="auto" w:fill="FFFFFF"/>
            <w:tcMar>
              <w:top w:w="100" w:type="dxa"/>
              <w:left w:w="100" w:type="dxa"/>
              <w:bottom w:w="100" w:type="dxa"/>
              <w:right w:w="100" w:type="dxa"/>
            </w:tcMar>
          </w:tcPr>
          <w:p w:rsidR="00392E57" w:rsidRDefault="007766DA">
            <w:pPr>
              <w:rPr>
                <w:rFonts w:ascii="Georgia" w:eastAsia="Georgia" w:hAnsi="Georgia" w:cs="Georgia"/>
                <w:sz w:val="22"/>
                <w:szCs w:val="22"/>
              </w:rPr>
            </w:pPr>
            <w:r>
              <w:rPr>
                <w:rFonts w:ascii="Georgia" w:eastAsia="Georgia" w:hAnsi="Georgia" w:cs="Georgia"/>
                <w:sz w:val="22"/>
                <w:szCs w:val="22"/>
              </w:rPr>
              <w:t>B – Critical</w:t>
            </w:r>
          </w:p>
        </w:tc>
        <w:tc>
          <w:tcPr>
            <w:tcW w:w="754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Závada brání primární funkčnosti systému a/nebo způsobuje chyby v datech na více místech softwaru nebo chyby, které výrazně ovlivňují chod dalších součástí softwaru, způsobuje chyby v datech, které nemohou být opraveny objednatelem a neexistuje náhradní ře</w:t>
            </w:r>
            <w:r>
              <w:rPr>
                <w:rFonts w:ascii="Georgia" w:eastAsia="Georgia" w:hAnsi="Georgia" w:cs="Georgia"/>
                <w:sz w:val="22"/>
                <w:szCs w:val="22"/>
              </w:rPr>
              <w:t>šení (tzv. Workaround)</w:t>
            </w:r>
          </w:p>
        </w:tc>
      </w:tr>
      <w:tr w:rsidR="00392E57">
        <w:tc>
          <w:tcPr>
            <w:tcW w:w="1420" w:type="dxa"/>
            <w:shd w:val="clear" w:color="auto" w:fill="FFFFFF"/>
            <w:tcMar>
              <w:top w:w="100" w:type="dxa"/>
              <w:left w:w="100" w:type="dxa"/>
              <w:bottom w:w="100" w:type="dxa"/>
              <w:right w:w="100" w:type="dxa"/>
            </w:tcMar>
          </w:tcPr>
          <w:p w:rsidR="00392E57" w:rsidRDefault="007766DA">
            <w:pPr>
              <w:rPr>
                <w:rFonts w:ascii="Georgia" w:eastAsia="Georgia" w:hAnsi="Georgia" w:cs="Georgia"/>
                <w:sz w:val="22"/>
                <w:szCs w:val="22"/>
              </w:rPr>
            </w:pPr>
            <w:r>
              <w:rPr>
                <w:rFonts w:ascii="Georgia" w:eastAsia="Georgia" w:hAnsi="Georgia" w:cs="Georgia"/>
                <w:sz w:val="22"/>
                <w:szCs w:val="22"/>
              </w:rPr>
              <w:t>C – Major</w:t>
            </w:r>
          </w:p>
        </w:tc>
        <w:tc>
          <w:tcPr>
            <w:tcW w:w="754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 xml:space="preserve">Závažný problém v jedné z vyjmenovaných </w:t>
            </w:r>
            <w:hyperlink r:id="rId11">
              <w:r>
                <w:rPr>
                  <w:rFonts w:ascii="Georgia" w:eastAsia="Georgia" w:hAnsi="Georgia" w:cs="Georgia"/>
                  <w:color w:val="0563C1"/>
                  <w:sz w:val="22"/>
                  <w:szCs w:val="22"/>
                  <w:u w:val="single"/>
                </w:rPr>
                <w:t>Základních funkčností systému</w:t>
              </w:r>
            </w:hyperlink>
            <w:r>
              <w:rPr>
                <w:rFonts w:ascii="Georgia" w:eastAsia="Georgia" w:hAnsi="Georgia" w:cs="Georgia"/>
                <w:sz w:val="22"/>
                <w:szCs w:val="22"/>
              </w:rPr>
              <w:t>. Problém lze obejít náhradním řešením nebo je funkčnost závislá na zařízení od třetího dodavatele.</w:t>
            </w:r>
          </w:p>
        </w:tc>
      </w:tr>
      <w:tr w:rsidR="00392E57">
        <w:tc>
          <w:tcPr>
            <w:tcW w:w="1420" w:type="dxa"/>
            <w:shd w:val="clear" w:color="auto" w:fill="FFFFFF"/>
            <w:tcMar>
              <w:top w:w="100" w:type="dxa"/>
              <w:left w:w="100" w:type="dxa"/>
              <w:bottom w:w="100" w:type="dxa"/>
              <w:right w:w="100" w:type="dxa"/>
            </w:tcMar>
          </w:tcPr>
          <w:p w:rsidR="00392E57" w:rsidRDefault="007766DA">
            <w:pPr>
              <w:rPr>
                <w:rFonts w:ascii="Georgia" w:eastAsia="Georgia" w:hAnsi="Georgia" w:cs="Georgia"/>
                <w:sz w:val="22"/>
                <w:szCs w:val="22"/>
              </w:rPr>
            </w:pPr>
            <w:r>
              <w:rPr>
                <w:rFonts w:ascii="Georgia" w:eastAsia="Georgia" w:hAnsi="Georgia" w:cs="Georgia"/>
                <w:sz w:val="22"/>
                <w:szCs w:val="22"/>
              </w:rPr>
              <w:t>D – Minor</w:t>
            </w:r>
          </w:p>
        </w:tc>
        <w:tc>
          <w:tcPr>
            <w:tcW w:w="754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Méně závažné požadavky a drobné chyby, které nemají vliv na správnou funkci systému.</w:t>
            </w:r>
          </w:p>
        </w:tc>
      </w:tr>
    </w:tbl>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si vyhrazuje právo prioritu změnit a tuto změn</w:t>
      </w:r>
      <w:r>
        <w:rPr>
          <w:rFonts w:ascii="Georgia" w:eastAsia="Georgia" w:hAnsi="Georgia" w:cs="Georgia"/>
          <w:sz w:val="22"/>
          <w:szCs w:val="22"/>
        </w:rPr>
        <w:t>u odůvodnit objednateli.</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Lhůty pro odstranění vad v závislosti na prioritě závady:</w:t>
      </w:r>
    </w:p>
    <w:tbl>
      <w:tblPr>
        <w:tblStyle w:val="a0"/>
        <w:tblW w:w="896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392E57">
        <w:trPr>
          <w:trHeight w:val="480"/>
        </w:trPr>
        <w:tc>
          <w:tcPr>
            <w:tcW w:w="1560" w:type="dxa"/>
            <w:shd w:val="clear" w:color="auto" w:fill="E7E6E6"/>
            <w:tcMar>
              <w:top w:w="100" w:type="dxa"/>
              <w:left w:w="100" w:type="dxa"/>
              <w:bottom w:w="100" w:type="dxa"/>
              <w:right w:w="100" w:type="dxa"/>
            </w:tcMar>
          </w:tcPr>
          <w:p w:rsidR="00392E57" w:rsidRDefault="007766DA">
            <w:pPr>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rsidR="00392E57" w:rsidRDefault="007766DA">
            <w:pPr>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rsidR="00392E57" w:rsidRDefault="007766DA">
            <w:pPr>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392E57" w:rsidRDefault="007766DA">
            <w:pPr>
              <w:rPr>
                <w:rFonts w:ascii="Georgia" w:eastAsia="Georgia" w:hAnsi="Georgia" w:cs="Georgia"/>
                <w:b/>
                <w:sz w:val="22"/>
                <w:szCs w:val="22"/>
              </w:rPr>
            </w:pPr>
            <w:r>
              <w:rPr>
                <w:rFonts w:ascii="Georgia" w:eastAsia="Georgia" w:hAnsi="Georgia" w:cs="Georgia"/>
                <w:b/>
                <w:sz w:val="22"/>
                <w:szCs w:val="22"/>
              </w:rPr>
              <w:t>Doba odstranění</w:t>
            </w:r>
          </w:p>
        </w:tc>
      </w:tr>
      <w:tr w:rsidR="00392E57">
        <w:trPr>
          <w:trHeight w:val="240"/>
        </w:trPr>
        <w:tc>
          <w:tcPr>
            <w:tcW w:w="1560" w:type="dxa"/>
            <w:shd w:val="clear" w:color="auto" w:fill="FFFFFF"/>
            <w:tcMar>
              <w:top w:w="100" w:type="dxa"/>
              <w:left w:w="100" w:type="dxa"/>
              <w:bottom w:w="100" w:type="dxa"/>
              <w:right w:w="100" w:type="dxa"/>
            </w:tcMar>
          </w:tcPr>
          <w:p w:rsidR="00392E57" w:rsidRDefault="007766DA">
            <w:pPr>
              <w:spacing w:after="0" w:line="240" w:lineRule="auto"/>
              <w:jc w:val="center"/>
              <w:rPr>
                <w:rFonts w:ascii="Georgia" w:eastAsia="Georgia" w:hAnsi="Georgia" w:cs="Georgia"/>
                <w:sz w:val="22"/>
                <w:szCs w:val="22"/>
              </w:rPr>
            </w:pPr>
            <w:r>
              <w:rPr>
                <w:rFonts w:ascii="Georgia" w:eastAsia="Georgia" w:hAnsi="Georgia" w:cs="Georgia"/>
                <w:sz w:val="22"/>
                <w:szCs w:val="22"/>
              </w:rPr>
              <w:t>Nefunkční hosting</w:t>
            </w:r>
          </w:p>
        </w:tc>
        <w:tc>
          <w:tcPr>
            <w:tcW w:w="1734"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2 hodin*</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24 hodin*</w:t>
            </w:r>
          </w:p>
        </w:tc>
      </w:tr>
      <w:tr w:rsidR="00392E57">
        <w:trPr>
          <w:trHeight w:val="240"/>
        </w:trPr>
        <w:tc>
          <w:tcPr>
            <w:tcW w:w="156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A – Blocker</w:t>
            </w:r>
          </w:p>
        </w:tc>
        <w:tc>
          <w:tcPr>
            <w:tcW w:w="1734"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8 hodin*</w:t>
            </w:r>
          </w:p>
        </w:tc>
      </w:tr>
      <w:tr w:rsidR="00392E57">
        <w:trPr>
          <w:trHeight w:val="300"/>
        </w:trPr>
        <w:tc>
          <w:tcPr>
            <w:tcW w:w="156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B – Critical</w:t>
            </w:r>
          </w:p>
        </w:tc>
        <w:tc>
          <w:tcPr>
            <w:tcW w:w="1734"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5 dnů</w:t>
            </w:r>
          </w:p>
        </w:tc>
      </w:tr>
      <w:tr w:rsidR="00392E57">
        <w:trPr>
          <w:trHeight w:val="240"/>
        </w:trPr>
        <w:tc>
          <w:tcPr>
            <w:tcW w:w="156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392E57">
        <w:trPr>
          <w:trHeight w:val="280"/>
        </w:trPr>
        <w:tc>
          <w:tcPr>
            <w:tcW w:w="1560"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rsidR="00392E57" w:rsidRDefault="007766DA">
            <w:pPr>
              <w:spacing w:after="0" w:line="240" w:lineRule="auto"/>
              <w:rPr>
                <w:rFonts w:ascii="Georgia" w:eastAsia="Georgia" w:hAnsi="Georgia" w:cs="Georgia"/>
                <w:sz w:val="22"/>
                <w:szCs w:val="22"/>
              </w:rPr>
            </w:pPr>
            <w:r>
              <w:rPr>
                <w:rFonts w:ascii="Georgia" w:eastAsia="Georgia" w:hAnsi="Georgia" w:cs="Georgia"/>
                <w:sz w:val="22"/>
                <w:szCs w:val="22"/>
              </w:rPr>
              <w:t>do 30 dnů</w:t>
            </w:r>
          </w:p>
        </w:tc>
      </w:tr>
    </w:tbl>
    <w:p w:rsidR="00392E57" w:rsidRDefault="007766DA">
      <w:pPr>
        <w:rPr>
          <w:rFonts w:ascii="Georgia" w:eastAsia="Georgia" w:hAnsi="Georgia" w:cs="Georgia"/>
          <w:sz w:val="22"/>
          <w:szCs w:val="22"/>
          <w:u w:val="single"/>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Služba hotline a pracovní doba posk</w:t>
      </w:r>
      <w:r>
        <w:rPr>
          <w:rFonts w:ascii="Georgia" w:eastAsia="Georgia" w:hAnsi="Georgia" w:cs="Georgia"/>
          <w:sz w:val="22"/>
          <w:szCs w:val="22"/>
          <w:u w:val="single"/>
        </w:rPr>
        <w:t>ytovatele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Pracovní doba poskytovatele je pondělí – pátek od 8:00 do 16:00. </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Pracovní den odpovídá 8 pracovním hodinám.</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Zhotovitel zajišťuje hotline službu v rámci jeho provozní doby formou:</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preferované zákaznické Helpdesk aplikace: </w:t>
      </w:r>
      <w:hyperlink r:id="rId12">
        <w:r>
          <w:rPr>
            <w:rFonts w:ascii="Georgia" w:eastAsia="Georgia" w:hAnsi="Georgia" w:cs="Georgia"/>
            <w:color w:val="1155CC"/>
            <w:sz w:val="22"/>
            <w:szCs w:val="22"/>
            <w:u w:val="single"/>
          </w:rPr>
          <w:t>https://jira.tritius.cz/servicedesk</w:t>
        </w:r>
      </w:hyperlink>
      <w:r>
        <w:rPr>
          <w:rFonts w:ascii="Georgia" w:eastAsia="Georgia" w:hAnsi="Georgia" w:cs="Georgia"/>
          <w:sz w:val="22"/>
          <w:szCs w:val="22"/>
        </w:rPr>
        <w:t>,</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telefonní komunikace: </w:t>
      </w:r>
      <w:r>
        <w:rPr>
          <w:rFonts w:ascii="Georgia" w:eastAsia="Georgia" w:hAnsi="Georgia" w:cs="Georgia"/>
          <w:b/>
          <w:sz w:val="22"/>
          <w:szCs w:val="22"/>
        </w:rPr>
        <w:t>+420 777 251 715</w:t>
      </w:r>
      <w:r>
        <w:rPr>
          <w:rFonts w:ascii="Georgia" w:eastAsia="Georgia" w:hAnsi="Georgia" w:cs="Georgia"/>
          <w:sz w:val="22"/>
          <w:szCs w:val="22"/>
        </w:rPr>
        <w:t>,</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e-mailové komunikace: </w:t>
      </w:r>
      <w:hyperlink r:id="rId13">
        <w:r>
          <w:rPr>
            <w:rFonts w:ascii="Georgia" w:eastAsia="Georgia" w:hAnsi="Georgia" w:cs="Georgia"/>
            <w:color w:val="1155CC"/>
            <w:sz w:val="22"/>
            <w:szCs w:val="22"/>
            <w:u w:val="single"/>
          </w:rPr>
          <w:t>podpora@tritius.cz</w:t>
        </w:r>
      </w:hyperlink>
      <w:r>
        <w:rPr>
          <w:rFonts w:ascii="Georgia" w:eastAsia="Georgia" w:hAnsi="Georgia" w:cs="Georgia"/>
          <w:sz w:val="22"/>
          <w:szCs w:val="22"/>
        </w:rPr>
        <w:t>.</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Hotline službu lze použít pouze k řešení konkrétních dotazů a nejasností nebo k objednávání servisních zásahů a návštěv. </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Hotline služba nenahrazuje řádné školení. </w:t>
      </w:r>
    </w:p>
    <w:p w:rsidR="00392E57" w:rsidRDefault="00392E57">
      <w:pPr>
        <w:pBdr>
          <w:top w:val="nil"/>
          <w:left w:val="nil"/>
          <w:bottom w:val="nil"/>
          <w:right w:val="nil"/>
          <w:between w:val="nil"/>
        </w:pBdr>
        <w:shd w:val="clear" w:color="auto" w:fill="FFFFFF"/>
        <w:spacing w:after="0" w:line="240" w:lineRule="auto"/>
        <w:ind w:left="360"/>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Obecné platební podmínky</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Splatnost všech daňových dokladů (dále faktur) se oboustranně sjednává na 21 dnů.</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Poslední faktura v kalendářním roce musí být oběma smluvním stranám doručena nejpozději 15. prosince příslušného roku.</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Dnem zaplacení ceny se rozumí den připsání platby na cí</w:t>
      </w:r>
      <w:r>
        <w:rPr>
          <w:rFonts w:ascii="Georgia" w:eastAsia="Georgia" w:hAnsi="Georgia" w:cs="Georgia"/>
          <w:sz w:val="22"/>
          <w:szCs w:val="22"/>
        </w:rPr>
        <w:t>lový bankovní účet.</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Při vyhotovování faktur se uplatňují pravidla členského státu spotřeby. Faktury musí být v souladu s právními předpisy členského státu objednatele.</w:t>
      </w:r>
    </w:p>
    <w:p w:rsidR="00392E57" w:rsidRDefault="007766DA">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Pokud faktura neobsahuje všechny zákonem a smlouvou stanovené náležitosti, je cílová smluvní strana oprávněna ji do data splatnosti vrátit s tím, že vystavitel faktury je poté povinen vystavit novou fakturu s novým termínem splatnosti. V takovém případě ne</w:t>
      </w:r>
      <w:r>
        <w:rPr>
          <w:rFonts w:ascii="Georgia" w:eastAsia="Georgia" w:hAnsi="Georgia" w:cs="Georgia"/>
          <w:sz w:val="22"/>
          <w:szCs w:val="22"/>
        </w:rPr>
        <w:t>ní cílová smluvní strana v prodlení s úhradou.</w:t>
      </w:r>
    </w:p>
    <w:p w:rsidR="00392E57" w:rsidRDefault="007766DA">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Další závazné podmínky pro plnění v rámci České republiky:</w:t>
      </w:r>
    </w:p>
    <w:p w:rsidR="00392E57" w:rsidRDefault="007766DA">
      <w:pPr>
        <w:keepNext/>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prohlašuje, že ke dni podpisu smlouvy není nespolehlivým plátcem DPH dle § 106a zákona č. 235/2004 Sb., o dani z přidané hodnoty, v platn</w:t>
      </w:r>
      <w:r>
        <w:rPr>
          <w:rFonts w:ascii="Georgia" w:eastAsia="Georgia" w:hAnsi="Georgia" w:cs="Georgia"/>
          <w:sz w:val="22"/>
          <w:szCs w:val="22"/>
        </w:rPr>
        <w:t xml:space="preserve">ém znění, a není vedena v registru nespolehlivých plátců DPH. Poskytovatel se dále zavazuje uvádět pro účely bezhotovostního převodu pouze účet či účty, které jsou správcem daně zveřejněny způsobem umožňujícím dálkový přístup dle zákona č. 235/2004 Sb., o </w:t>
      </w:r>
      <w:r>
        <w:rPr>
          <w:rFonts w:ascii="Georgia" w:eastAsia="Georgia" w:hAnsi="Georgia" w:cs="Georgia"/>
          <w:sz w:val="22"/>
          <w:szCs w:val="22"/>
        </w:rPr>
        <w:t>dani z přidané hodnoty, v platném znění. V případě, že se poskytovatel stane nespolehlivým plátcem DPH, je povinen tuto skutečnost oznámit objednateli nejpozději do 5 pracovních dnů ode dne, kdy tato skutečnost nastala, přičemž oznámením se rozumí den, kdy</w:t>
      </w:r>
      <w:r>
        <w:rPr>
          <w:rFonts w:ascii="Georgia" w:eastAsia="Georgia" w:hAnsi="Georgia" w:cs="Georgia"/>
          <w:sz w:val="22"/>
          <w:szCs w:val="22"/>
        </w:rPr>
        <w:t xml:space="preserve"> objednatel předmětnou informaci prokazatelně obdržel. V případě porušení některé z těchto povinnosti je poskytovatel povinen uhradit objednateli smluvní pokutu ve výši 10.000,- Kč, a to za každý jednotlivý případ porušení povinnosti. Uhrazení smluvní poku</w:t>
      </w:r>
      <w:r>
        <w:rPr>
          <w:rFonts w:ascii="Georgia" w:eastAsia="Georgia" w:hAnsi="Georgia" w:cs="Georgia"/>
          <w:sz w:val="22"/>
          <w:szCs w:val="22"/>
        </w:rPr>
        <w:t>ty se nedotýká nároku na náhradu škody způsobené porušením této povinnosti.</w:t>
      </w:r>
    </w:p>
    <w:p w:rsidR="00392E57" w:rsidRDefault="007766DA">
      <w:pPr>
        <w:keepNext/>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dále souhlasí s tím, aby objednatel provedl zajišťovací úhradu DPH přímo na účet jeho správce daně, jestliže poskytovatel bude ke dni uskutečnění zdanitelného plnění v</w:t>
      </w:r>
      <w:r>
        <w:rPr>
          <w:rFonts w:ascii="Georgia" w:eastAsia="Georgia" w:hAnsi="Georgia" w:cs="Georgia"/>
          <w:sz w:val="22"/>
          <w:szCs w:val="22"/>
        </w:rPr>
        <w:t>eden v registru nespolehlivých plátců DPH.</w:t>
      </w:r>
    </w:p>
    <w:p w:rsidR="00392E57" w:rsidRDefault="007766DA">
      <w:pPr>
        <w:keepNext/>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Při nedodržení termínu splatnosti faktur má poskytovatel právo uložit smluvní pokutu ve výši 0.3% z ceny díla za každý den prodlení, nejméně však ve výši stanovené platnými právními předpisy.</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Zabezpečení osobních</w:t>
      </w:r>
      <w:r>
        <w:rPr>
          <w:rFonts w:ascii="Georgia" w:eastAsia="Georgia" w:hAnsi="Georgia" w:cs="Georgia"/>
          <w:sz w:val="22"/>
          <w:szCs w:val="22"/>
          <w:u w:val="single"/>
        </w:rPr>
        <w:t xml:space="preserve"> údajů</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Poskytovatel je zpracovatelem osobních údajů a objednatel je správce osobních údajů ve smyslu nařízení evropského parlamentu č. 2006/679 o ochraně osobních údajů fyzických osob (GDPR). </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Správce osobních údajů zpracovává osobní údaje o čtenářích v rozsahu zejména : jméno, příjmení, datum narození, bydliště uvedená na přihlášce čtenáře za účelem vedení knihovnické agendy, aby bylo umožněno poskytování knihovnických a informačních služeb a b</w:t>
      </w:r>
      <w:r>
        <w:rPr>
          <w:rFonts w:ascii="Georgia" w:eastAsia="Georgia" w:hAnsi="Georgia" w:cs="Georgia"/>
          <w:sz w:val="22"/>
          <w:szCs w:val="22"/>
        </w:rPr>
        <w:t xml:space="preserve">yla zabezpečena ochrana knihovního fondu. Osobní údaje objednatel používá pouze pro jmenované účely po dobu trvání čtenářského vztahu, chrání je před zneužitím a neposkytuje je třetím osobám. </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se zavazuje jako zpracovatel osobní údaje vymezené</w:t>
      </w:r>
      <w:r>
        <w:rPr>
          <w:rFonts w:ascii="Georgia" w:eastAsia="Georgia" w:hAnsi="Georgia" w:cs="Georgia"/>
          <w:sz w:val="22"/>
          <w:szCs w:val="22"/>
        </w:rPr>
        <w:t xml:space="preserve"> výše (dále jen „osobní údaje“) zpracovávat tímto způsobem: spravuje systém, provádí úpravy softwaru, programové změny apod. Zpracování se nesmí účastnit žádná třetí osoba s výjimkou poskytovatele serverhostingových služeb, pokud jsou zpracovatelem či sprá</w:t>
      </w:r>
      <w:r>
        <w:rPr>
          <w:rFonts w:ascii="Georgia" w:eastAsia="Georgia" w:hAnsi="Georgia" w:cs="Georgia"/>
          <w:sz w:val="22"/>
          <w:szCs w:val="22"/>
        </w:rPr>
        <w:t>vcem využívány.</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tímto deklaruje záruky zpracovatele o technickém a organizačním zabezpečení ochrany osobních údajů zejména:</w:t>
      </w:r>
    </w:p>
    <w:p w:rsidR="00392E57" w:rsidRDefault="007766D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že po skončení smlouvy všechny údaje vymaže</w:t>
      </w:r>
    </w:p>
    <w:p w:rsidR="00392E57" w:rsidRDefault="007766DA">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že umožní audity ze strany objednatele a poskytne součinnost</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Parametry poskytování služby</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Tyto parametry platí pro poskytování služby (např. poskytování služby systému nebo poskytování hostingu systému).</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je oprávněn pověřit provedením části prací jinou osobu; v takovém případě však má poskytovatel odpov</w:t>
      </w:r>
      <w:r>
        <w:rPr>
          <w:rFonts w:ascii="Georgia" w:eastAsia="Georgia" w:hAnsi="Georgia" w:cs="Georgia"/>
          <w:sz w:val="22"/>
          <w:szCs w:val="22"/>
        </w:rPr>
        <w:t>ědnost, jako by tyto činnosti prováděl sám.</w:t>
      </w:r>
    </w:p>
    <w:p w:rsidR="00392E57" w:rsidRDefault="00392E57">
      <w:pPr>
        <w:shd w:val="clear" w:color="auto" w:fill="FFFFFF"/>
        <w:spacing w:after="0" w:line="240" w:lineRule="auto"/>
        <w:rPr>
          <w:rFonts w:ascii="Georgia" w:eastAsia="Georgia" w:hAnsi="Georgia" w:cs="Georgia"/>
          <w:sz w:val="22"/>
          <w:szCs w:val="22"/>
        </w:rPr>
      </w:pP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Dostupnost služby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Služba je dostupná přes síť internet a to 24 hodin denně, 7 dní v týdnu. Poskytovatel garantuje dostupnost minimálně 97 %. </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Služba je dostupná z jakéhokoliv místa, podmínkou je zařízení (počítač) plnohodnotně připojený do mezinárodní sítě internet a internetový prohlížeč uvedený v aktuální elektronické dokumentaci.</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Tolerována je nedostupnost v rozsahu 24 hodin v průběhu jednoho</w:t>
      </w:r>
      <w:r>
        <w:rPr>
          <w:rFonts w:ascii="Georgia" w:eastAsia="Georgia" w:hAnsi="Georgia" w:cs="Georgia"/>
          <w:sz w:val="22"/>
          <w:szCs w:val="22"/>
        </w:rPr>
        <w:t xml:space="preserve"> kalendářního měsíce. Pokud služba není dostupná z důvodů technických problémů na straně objednatele není toto zahrnuto do výpočtu garantované dostupnosti.</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Výpadek služby je definován jako kompletní přerušení poskytování služby minimálně na 15 minut a to z důvodů, které jsou prokazatelně na straně poskytovatele a nejsou způsobeny vyšší mocí.</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Je-li služba dostupná, ale vykazuje sníženou funkčnost nebo je pomal</w:t>
      </w:r>
      <w:r>
        <w:rPr>
          <w:rFonts w:ascii="Georgia" w:eastAsia="Georgia" w:hAnsi="Georgia" w:cs="Georgia"/>
          <w:sz w:val="22"/>
          <w:szCs w:val="22"/>
        </w:rPr>
        <w:t>ejší odezvu, nejedná se o výpadek služby.</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Plánované odstavení služby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 některých případech je nutné službu dočasně odstavit na nezbytně nutnou dobu z důvodů údržby či update systému. Plánované odstavení není počítáno do dostupnosti služby. Údržba je prová</w:t>
      </w:r>
      <w:r>
        <w:rPr>
          <w:rFonts w:ascii="Georgia" w:eastAsia="Georgia" w:hAnsi="Georgia" w:cs="Georgia"/>
          <w:sz w:val="22"/>
          <w:szCs w:val="22"/>
        </w:rPr>
        <w:t>děna přednostně v časech od 23:00 do 05:00 hod.</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je povinen objednatele předem informovat o plánovaném odstavení služby během běžné pracovní doby případně mimo běžnou pracovní dobu pro plánované odstavení delší než 30 minut</w:t>
      </w:r>
      <w:r>
        <w:rPr>
          <w:rFonts w:ascii="Georgia" w:eastAsia="Georgia" w:hAnsi="Georgia" w:cs="Georgia"/>
          <w:sz w:val="22"/>
          <w:szCs w:val="22"/>
        </w:rPr>
        <w:t xml:space="preserve"> a to mailem na adresu kontaktu objednatele alespoň 1 den předem.</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Bezpečnost služby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Služba je provozována v profesionálním hostingovém centru. </w:t>
      </w:r>
      <w:r>
        <w:rPr>
          <w:rFonts w:ascii="Georgia" w:eastAsia="Georgia" w:hAnsi="Georgia" w:cs="Georgia"/>
          <w:sz w:val="22"/>
          <w:szCs w:val="22"/>
        </w:rPr>
        <w:br/>
        <w:t>Služba je poskytována pomocí zabezpečeného protokolu HTTPS, který je průmyslovým standardem v oblasti zabezpeče</w:t>
      </w:r>
      <w:r>
        <w:rPr>
          <w:rFonts w:ascii="Georgia" w:eastAsia="Georgia" w:hAnsi="Georgia" w:cs="Georgia"/>
          <w:sz w:val="22"/>
          <w:szCs w:val="22"/>
        </w:rPr>
        <w:t>ného připojení webových aplikací. Pro jeho použití je potřeba, aby klientská zařízení akceptovala tento protokol.</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Přístupové údaje jsou uživateli předány při nastavení systému osobně nebo formou emailu/SMS. Objednatel je povinen uchovávat v tajnosti své př</w:t>
      </w:r>
      <w:r>
        <w:rPr>
          <w:rFonts w:ascii="Georgia" w:eastAsia="Georgia" w:hAnsi="Georgia" w:cs="Georgia"/>
          <w:sz w:val="22"/>
          <w:szCs w:val="22"/>
        </w:rPr>
        <w:t>ístupové údaje k systému a chránit je před zneužitím ze strany třetích osob. Objednatel je výhradně zodpovědný za ochranu a utajení svých přístupových údajů. Objednatel souhlasí s tím, že zejména své heslo nikdy nesdělí nikomu jinému a také nebude používat</w:t>
      </w:r>
      <w:r>
        <w:rPr>
          <w:rFonts w:ascii="Georgia" w:eastAsia="Georgia" w:hAnsi="Georgia" w:cs="Georgia"/>
          <w:sz w:val="22"/>
          <w:szCs w:val="22"/>
        </w:rPr>
        <w:t xml:space="preserve"> přihlašovací jméno nebo heslo žádného jiného uživatele. Poskytovatel nenese žádným způsobem odpovědnost za užití přihlašovacího jména nebo hesla třetí osobou.</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u w:val="single"/>
        </w:rPr>
        <w:t>Zálohování dat</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zajišťuje denní zálohy a tyto archivuje v režimu 3 poslední denní z</w:t>
      </w:r>
      <w:r>
        <w:rPr>
          <w:rFonts w:ascii="Georgia" w:eastAsia="Georgia" w:hAnsi="Georgia" w:cs="Georgia"/>
          <w:sz w:val="22"/>
          <w:szCs w:val="22"/>
        </w:rPr>
        <w:t>álohy, 1 poslední týdenní záloha a 1 poslední měsíční záloha. Zálohy jsou uložené jednou ve stejném datovém centru a podruhé v geograficky odděleném datovém centru.</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má právo přístupu ke všem zálohám jeho dat. Zálohy jsou dostupné přes zabezpečené webové rozhraní, ke kterému je předán na vyžádání přístup.</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Hrubé porušení pravidel pro užití systému</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je oprávněn jednostranně ukončit poskytování slu</w:t>
      </w:r>
      <w:r>
        <w:rPr>
          <w:rFonts w:ascii="Georgia" w:eastAsia="Georgia" w:hAnsi="Georgia" w:cs="Georgia"/>
          <w:sz w:val="22"/>
          <w:szCs w:val="22"/>
        </w:rPr>
        <w:t xml:space="preserve">žby hostingu či poskytování služby Tritius, jestliže objednatel hrubým způsobem nebo opakovaně poruší pravidla pro užití systému, stanovená právními předpisy nebo uvedená ve smlouvě a/nebo ve VOP, nebo jestliže objednatel takto poruší svou jinou povinnost </w:t>
      </w:r>
      <w:r>
        <w:rPr>
          <w:rFonts w:ascii="Georgia" w:eastAsia="Georgia" w:hAnsi="Georgia" w:cs="Georgia"/>
          <w:sz w:val="22"/>
          <w:szCs w:val="22"/>
        </w:rPr>
        <w:t>či jiné povinnosti podle smlouvy a/nebo VOP, jakož i v dalších případech uvedených ve smlouvě a/nebo VOP.</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V případě ukončení poskytování služby Tritius je objednatel povinen ukončit užívání systému včetně dokumentace. Poskytovatel je též oprávněn provést t</w:t>
      </w:r>
      <w:r>
        <w:rPr>
          <w:rFonts w:ascii="Georgia" w:eastAsia="Georgia" w:hAnsi="Georgia" w:cs="Georgia"/>
          <w:sz w:val="22"/>
          <w:szCs w:val="22"/>
        </w:rPr>
        <w:t>akový technický zásah, kterým znemožní objednateli další užívání systému a objednatel je povinen umožnit či neznemožnit poskytovateli provedení takového technického zásahu.</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V případě ukončení poskytování hostingu je poskytovatel povinen předat kompletní sy</w:t>
      </w:r>
      <w:r>
        <w:rPr>
          <w:rFonts w:ascii="Georgia" w:eastAsia="Georgia" w:hAnsi="Georgia" w:cs="Georgia"/>
          <w:sz w:val="22"/>
          <w:szCs w:val="22"/>
        </w:rPr>
        <w:t>stém včetně konfigurace objednateli ve formě virtuálního stroje.</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Pro případ hrubého porušení povinností objednatele je objednatel povinen zaplatit poskytovateli smluvní pokutu ve výši roční ceny služby za každé jednotlivé porušení, a to do čtrnácti (14) ka</w:t>
      </w:r>
      <w:r>
        <w:rPr>
          <w:rFonts w:ascii="Georgia" w:eastAsia="Georgia" w:hAnsi="Georgia" w:cs="Georgia"/>
          <w:sz w:val="22"/>
          <w:szCs w:val="22"/>
        </w:rPr>
        <w:t>lendářních dnů ode dne doručení jejího vyúčtování objednateli.</w:t>
      </w:r>
    </w:p>
    <w:p w:rsidR="00392E57" w:rsidRDefault="00392E57">
      <w:pPr>
        <w:shd w:val="clear" w:color="auto" w:fill="FFFFFF"/>
        <w:spacing w:after="0" w:line="240" w:lineRule="auto"/>
        <w:rPr>
          <w:rFonts w:ascii="Georgia" w:eastAsia="Georgia" w:hAnsi="Georgia" w:cs="Georgia"/>
          <w:sz w:val="22"/>
          <w:szCs w:val="22"/>
          <w:u w:val="single"/>
        </w:rPr>
      </w:pP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u w:val="single"/>
        </w:rPr>
        <w:t>Období garantované ceny služby a změna ceny služby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Pro poskytování služby (např. poskytování služby systému nebo poskytování hostingu systému) může poskytovatel ve smlouvě stanovit období garantované ceny služby. </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Během období garantované ceny služby nesmí poskytovatel cenu změnit.</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Mimo období garantované </w:t>
      </w:r>
      <w:r>
        <w:rPr>
          <w:rFonts w:ascii="Georgia" w:eastAsia="Georgia" w:hAnsi="Georgia" w:cs="Georgia"/>
          <w:sz w:val="22"/>
          <w:szCs w:val="22"/>
        </w:rPr>
        <w:t>ceny služby je poskytovatel oprávněn cenu změnit:</w:t>
      </w:r>
    </w:p>
    <w:p w:rsidR="00392E57" w:rsidRDefault="007766DA">
      <w:pPr>
        <w:numPr>
          <w:ilvl w:val="3"/>
          <w:numId w:val="2"/>
        </w:numPr>
        <w:pBdr>
          <w:top w:val="nil"/>
          <w:left w:val="nil"/>
          <w:bottom w:val="nil"/>
          <w:right w:val="nil"/>
          <w:between w:val="nil"/>
        </w:pBd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Poskytovatel písemně sdělí informaci o nové ceně objednateli nejméně 1 měsíc před platností nových cen.</w:t>
      </w:r>
    </w:p>
    <w:p w:rsidR="00392E57" w:rsidRDefault="007766DA">
      <w:pPr>
        <w:numPr>
          <w:ilvl w:val="3"/>
          <w:numId w:val="2"/>
        </w:numPr>
        <w:pBdr>
          <w:top w:val="nil"/>
          <w:left w:val="nil"/>
          <w:bottom w:val="nil"/>
          <w:right w:val="nil"/>
          <w:between w:val="nil"/>
        </w:pBd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Objednatel je povinen se s novými cenovými podmínkami bez zbytečného odkladu seznámit.</w:t>
      </w:r>
    </w:p>
    <w:p w:rsidR="00392E57" w:rsidRDefault="007766DA">
      <w:pPr>
        <w:numPr>
          <w:ilvl w:val="3"/>
          <w:numId w:val="2"/>
        </w:numPr>
        <w:pBdr>
          <w:top w:val="nil"/>
          <w:left w:val="nil"/>
          <w:bottom w:val="nil"/>
          <w:right w:val="nil"/>
          <w:between w:val="nil"/>
        </w:pBd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Přijímá-li obje</w:t>
      </w:r>
      <w:r>
        <w:rPr>
          <w:rFonts w:ascii="Georgia" w:eastAsia="Georgia" w:hAnsi="Georgia" w:cs="Georgia"/>
          <w:sz w:val="22"/>
          <w:szCs w:val="22"/>
        </w:rPr>
        <w:t>dnatel nadále služby hostingu systému či jiné plnění poskytované ze strany poskytovatele, stávají se pro něj nové cenové podmínky závaznými okamžikem a s účinností ode dne, kdy službu nebo plnění přijal.</w:t>
      </w:r>
    </w:p>
    <w:p w:rsidR="00392E57" w:rsidRDefault="007766DA">
      <w:pPr>
        <w:numPr>
          <w:ilvl w:val="3"/>
          <w:numId w:val="2"/>
        </w:numPr>
        <w:pBdr>
          <w:top w:val="nil"/>
          <w:left w:val="nil"/>
          <w:bottom w:val="nil"/>
          <w:right w:val="nil"/>
          <w:between w:val="nil"/>
        </w:pBd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Objednatel má možnost tuto změnu cenových podmínek o</w:t>
      </w:r>
      <w:r>
        <w:rPr>
          <w:rFonts w:ascii="Georgia" w:eastAsia="Georgia" w:hAnsi="Georgia" w:cs="Georgia"/>
          <w:sz w:val="22"/>
          <w:szCs w:val="22"/>
        </w:rPr>
        <w:t>dmítnout, a to formou výpovědi s výpovědní dobou 3 měsíců, která začíná běžet okamžikem doručení výpovědi poskytovateli. Po dobu výpovědní lhůty platí původní znění cenových podmínek. Pokud objednatel neučiní výpověď ve lhůtě 30 dnů ode dne oznámení o změn</w:t>
      </w:r>
      <w:r>
        <w:rPr>
          <w:rFonts w:ascii="Georgia" w:eastAsia="Georgia" w:hAnsi="Georgia" w:cs="Georgia"/>
          <w:sz w:val="22"/>
          <w:szCs w:val="22"/>
        </w:rPr>
        <w:t>ě cenových podmínek, pak se má za to, že tato druhá smluvní strana se změnou cenových podmínek souhlasí.</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1"/>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Převod systému z hostingu na vlastní server</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V případě ukončení smlouvy poskytování hostingu může objednatel písemně požádat poskytovatele o převod systému na vlastní připravený HW splňující aktuální technické požadavky dle veřejné dokumentace. Tato služba je zpoplatněna a její výše se stanovuje doho</w:t>
      </w:r>
      <w:r>
        <w:rPr>
          <w:rFonts w:ascii="Georgia" w:eastAsia="Georgia" w:hAnsi="Georgia" w:cs="Georgia"/>
          <w:sz w:val="22"/>
          <w:szCs w:val="22"/>
        </w:rPr>
        <w:t>dou na základě náročnosti převodu a velikosti převáděné databáze.</w:t>
      </w:r>
    </w:p>
    <w:p w:rsidR="00392E57" w:rsidRDefault="00392E57">
      <w:pPr>
        <w:shd w:val="clear" w:color="auto" w:fill="FFFFFF"/>
        <w:spacing w:after="0" w:line="240" w:lineRule="auto"/>
        <w:ind w:left="360"/>
        <w:rPr>
          <w:rFonts w:ascii="Georgia" w:eastAsia="Georgia" w:hAnsi="Georgia" w:cs="Georgia"/>
          <w:sz w:val="22"/>
          <w:szCs w:val="22"/>
          <w:u w:val="single"/>
        </w:rPr>
      </w:pPr>
    </w:p>
    <w:p w:rsidR="00392E57" w:rsidRDefault="007766DA">
      <w:pPr>
        <w:numPr>
          <w:ilvl w:val="1"/>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Předání dat ze systému</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V případě ukončení smlouvy poskytování hostingu nebo služby Tritius může objednatel písemně požádat poskytovatele o export dat ze systému poskytovatele. </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Služba expor</w:t>
      </w:r>
      <w:r>
        <w:rPr>
          <w:rFonts w:ascii="Georgia" w:eastAsia="Georgia" w:hAnsi="Georgia" w:cs="Georgia"/>
          <w:sz w:val="22"/>
          <w:szCs w:val="22"/>
        </w:rPr>
        <w:t>tu dat je zpoplatněna částkou 15.000 Kč bez DPH a zahrnuje následující:</w:t>
      </w:r>
    </w:p>
    <w:p w:rsidR="00392E57" w:rsidRDefault="007766DA">
      <w:pPr>
        <w:numPr>
          <w:ilvl w:val="3"/>
          <w:numId w:val="2"/>
        </w:numP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předání dat knihovního fondu ve formě TAG souboru v mezinárodním knihovnickém formátu MARC21 včetně údajů svazků,</w:t>
      </w:r>
    </w:p>
    <w:p w:rsidR="00392E57" w:rsidRDefault="007766DA">
      <w:pPr>
        <w:numPr>
          <w:ilvl w:val="3"/>
          <w:numId w:val="2"/>
        </w:numP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předání dat o čtenářích a výpůjčkách ve formě SQL dump souborů s popis</w:t>
      </w:r>
      <w:r>
        <w:rPr>
          <w:rFonts w:ascii="Georgia" w:eastAsia="Georgia" w:hAnsi="Georgia" w:cs="Georgia"/>
          <w:sz w:val="22"/>
          <w:szCs w:val="22"/>
        </w:rPr>
        <w:t>em struktury jednotlivých tabulek.</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Služba exportu a předání dat ze systému včetně následného odstranění ze serverů systému je provedena po písemném objednání objednatelem a zaplacením příslušné ceny na účet poskytovatele.</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Poskytovatel je povinen data po př</w:t>
      </w:r>
      <w:r>
        <w:rPr>
          <w:rFonts w:ascii="Georgia" w:eastAsia="Georgia" w:hAnsi="Georgia" w:cs="Georgia"/>
          <w:sz w:val="22"/>
          <w:szCs w:val="22"/>
        </w:rPr>
        <w:t>evzetí objednatelem ze systému odstranit s výjimkou sdílených dat dalšími knihovnami, pokud taková existují (bibliografické záznamy dokumentů a autorit, sdílené údaje čtenářů, hodnocení a komentáře).</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Obecné podmínky ukončení smlouvy služby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Tyto podmínky platí pro smlouvy jejichž předmětem je poskytování služby (hosting, servisní smlouva, poskytování SW Tritius jako služba).</w:t>
      </w:r>
    </w:p>
    <w:p w:rsidR="00392E57" w:rsidRDefault="007766DA">
      <w:pPr>
        <w:numPr>
          <w:ilvl w:val="2"/>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Smlouvu je možné ukončit písemným odstoupením od smlouvy v případě podstatného porušení smlouvy jednou ze smluvních str</w:t>
      </w:r>
      <w:r>
        <w:rPr>
          <w:rFonts w:ascii="Georgia" w:eastAsia="Georgia" w:hAnsi="Georgia" w:cs="Georgia"/>
          <w:sz w:val="22"/>
          <w:szCs w:val="22"/>
        </w:rPr>
        <w:t>an. Smluvní strana je oprávněna odstoupit od smlouvy pouze v případě, že druhá smluvní strana přes písemné upozornění na podstatné porušení smlouvy toto porušení v poskytnuté lhůtě min. 10 dnů, neodstranila. Za podstatné porušení smlouvy se považuje zejmén</w:t>
      </w:r>
      <w:r>
        <w:rPr>
          <w:rFonts w:ascii="Georgia" w:eastAsia="Georgia" w:hAnsi="Georgia" w:cs="Georgia"/>
          <w:sz w:val="22"/>
          <w:szCs w:val="22"/>
        </w:rPr>
        <w:t>a:</w:t>
      </w:r>
    </w:p>
    <w:p w:rsidR="00392E57" w:rsidRDefault="007766DA">
      <w:pPr>
        <w:numPr>
          <w:ilvl w:val="3"/>
          <w:numId w:val="2"/>
        </w:numP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prodlení objednatele s uhrazením ceny nebo její části delším než 30 dnů;</w:t>
      </w:r>
    </w:p>
    <w:p w:rsidR="00392E57" w:rsidRDefault="007766DA">
      <w:pPr>
        <w:numPr>
          <w:ilvl w:val="3"/>
          <w:numId w:val="2"/>
        </w:numP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prodlení poskytovatele s předáním přístupu k systému delším než 60 dnů;</w:t>
      </w:r>
    </w:p>
    <w:p w:rsidR="00392E57" w:rsidRDefault="007766DA">
      <w:pPr>
        <w:numPr>
          <w:ilvl w:val="3"/>
          <w:numId w:val="2"/>
        </w:numPr>
        <w:shd w:val="clear" w:color="auto" w:fill="FFFFFF"/>
        <w:spacing w:after="0" w:line="240" w:lineRule="auto"/>
        <w:ind w:left="1559" w:hanging="135"/>
        <w:rPr>
          <w:rFonts w:ascii="Georgia" w:eastAsia="Georgia" w:hAnsi="Georgia" w:cs="Georgia"/>
        </w:rPr>
      </w:pPr>
      <w:r>
        <w:rPr>
          <w:rFonts w:ascii="Georgia" w:eastAsia="Georgia" w:hAnsi="Georgia" w:cs="Georgia"/>
          <w:sz w:val="22"/>
          <w:szCs w:val="22"/>
        </w:rPr>
        <w:t>neposkytnutí nutné součinnosti ze strany objednatele, pokud toto znemožňuje splnění povinností poskytovatele</w:t>
      </w:r>
      <w:r>
        <w:rPr>
          <w:rFonts w:ascii="Georgia" w:eastAsia="Georgia" w:hAnsi="Georgia" w:cs="Georgia"/>
          <w:sz w:val="22"/>
          <w:szCs w:val="22"/>
        </w:rPr>
        <w:t xml:space="preserve"> dle této smlouvy.</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Vypoví-li objednatel tuto smlouvu během období garantované ceny služby systému, poskytovatel má právo na úhradu ceny za službu za celé zbývající garantované období. Neuhrazenou částku je objednatel povinen zaplatit najednou do 30 dnů od </w:t>
      </w:r>
      <w:r>
        <w:rPr>
          <w:rFonts w:ascii="Georgia" w:eastAsia="Georgia" w:hAnsi="Georgia" w:cs="Georgia"/>
          <w:sz w:val="22"/>
          <w:szCs w:val="22"/>
        </w:rPr>
        <w:t>odstoupení od smlouvy. To platí i v případě ukončení této smlouvy dohodou, není-li dohodnuto jinak.</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Odstoupí-li poskytovatel od této smlouvy z důvodu jejího podstatného porušení objednatelem, má poskytovatel nárok na úhradu části ceny odpovídající rozsahu </w:t>
      </w:r>
      <w:r>
        <w:rPr>
          <w:rFonts w:ascii="Georgia" w:eastAsia="Georgia" w:hAnsi="Georgia" w:cs="Georgia"/>
          <w:sz w:val="22"/>
          <w:szCs w:val="22"/>
        </w:rPr>
        <w:t>částečného provedení činností dle této smlouvy a dále má nárok na úhradu závazně objednaného hardwaru a softwaru, a to dle cen uvedených v této smlouvě.</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Veškeré majetkové vypořádání jsou povinny smluvní strany splnit do 30 dnů ode dne ukončení smlouvy.</w:t>
      </w:r>
    </w:p>
    <w:p w:rsidR="00392E57" w:rsidRDefault="00392E57">
      <w:pPr>
        <w:shd w:val="clear" w:color="auto" w:fill="FFFFFF"/>
        <w:spacing w:after="0" w:line="240" w:lineRule="auto"/>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Důvěrné informace</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Smluvní strany se vzájemně zavazují zachovávat mlčenlivost o všech podstatných skutečnostech získaných při své činnosti vyplývající ze smlouvy a VOP, a to zejména o skutečnostech, které tvoří jejich obchodní tajemství a důvěrné informace,</w:t>
      </w:r>
      <w:r>
        <w:rPr>
          <w:rFonts w:ascii="Georgia" w:eastAsia="Georgia" w:hAnsi="Georgia" w:cs="Georgia"/>
          <w:sz w:val="22"/>
          <w:szCs w:val="22"/>
        </w:rPr>
        <w:t xml:space="preserve"> vyjma povinného poskytování informací dle platných právních norem.</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w:t>
      </w:r>
      <w:r>
        <w:rPr>
          <w:rFonts w:ascii="Georgia" w:eastAsia="Georgia" w:hAnsi="Georgia" w:cs="Georgia"/>
          <w:sz w:val="22"/>
          <w:szCs w:val="22"/>
        </w:rPr>
        <w:t>ejně dostupné.</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Pod pojem důvěrné informace smluvní strany zahrnují i obchodní tajemství, kterým se rozumí konkurenčně významné, určitelné, ocenitelné a v příslušných obchodních kruzích běžně nedostupné skutečnosti, které souvisejí se společností a jejichž </w:t>
      </w:r>
      <w:r>
        <w:rPr>
          <w:rFonts w:ascii="Georgia" w:eastAsia="Georgia" w:hAnsi="Georgia" w:cs="Georgia"/>
          <w:sz w:val="22"/>
          <w:szCs w:val="22"/>
        </w:rPr>
        <w:t>vlastník zajišťuje ve svém zájmu odpovídajícím způsobem jejich utajení.</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 porušení důvěrných informací je kvalifikováno jednání, jímž jedna smluvní strana jiné osobě neoprávněně sdělí, zpřístupní, pro sebe nebo pro jiného využije důvěrné informace získané</w:t>
      </w:r>
      <w:r>
        <w:rPr>
          <w:rFonts w:ascii="Georgia" w:eastAsia="Georgia" w:hAnsi="Georgia" w:cs="Georgia"/>
          <w:sz w:val="22"/>
          <w:szCs w:val="22"/>
        </w:rPr>
        <w:t xml:space="preserve"> při své činnosti od druhé smluvní strany, pokud je to v rozporu se zájmy druhé smluvní strany, a učiní tak bez jejího souhlasu.</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Touto povinností mlčenlivosti jsou smluvní strany vázány po dobu trvání skutečností zakládajících tuto povinnost mlčenlivosti, </w:t>
      </w:r>
      <w:r>
        <w:rPr>
          <w:rFonts w:ascii="Georgia" w:eastAsia="Georgia" w:hAnsi="Georgia" w:cs="Georgia"/>
          <w:sz w:val="22"/>
          <w:szCs w:val="22"/>
        </w:rPr>
        <w:t>pokud nebudou mlčenlivosti zproštěny nebo se nestanou dané informace veřejně dostupnými.</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Smluvní strany jsou povinny zachovávat mlčenlivost ohledně veškerých důvěrných informací i po skončení smlouvy.</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0"/>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Souhlas se zveřejněním reference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Poskytovatel je oprávněn zveřejnit, že objednatel je uživatelem systému nebo služby ve svých informačních a reklamních materiálech nebo referenčních listech a tuto informaci je oprávněn sdělovat prostřednictvím internetu nebo jiných prostředků komunikace. </w:t>
      </w:r>
      <w:r>
        <w:rPr>
          <w:rFonts w:ascii="Georgia" w:eastAsia="Georgia" w:hAnsi="Georgia" w:cs="Georgia"/>
          <w:sz w:val="22"/>
          <w:szCs w:val="22"/>
        </w:rPr>
        <w:t>Za tímto účelem je oprávněn použít též aktuálního loga objednatele či jeho knihovny a jeho stručnou charakteristiku. Způsob použití reference nesmí snižovat dobré jméno objednatele.</w:t>
      </w:r>
    </w:p>
    <w:p w:rsidR="00392E57" w:rsidRDefault="00392E57">
      <w:pPr>
        <w:shd w:val="clear" w:color="auto" w:fill="FFFFFF"/>
        <w:spacing w:after="0" w:line="240" w:lineRule="auto"/>
        <w:ind w:left="792"/>
        <w:rPr>
          <w:rFonts w:ascii="Georgia" w:eastAsia="Georgia" w:hAnsi="Georgia" w:cs="Georgia"/>
          <w:sz w:val="22"/>
          <w:szCs w:val="22"/>
        </w:rPr>
      </w:pPr>
    </w:p>
    <w:p w:rsidR="00392E57" w:rsidRDefault="007766DA">
      <w:pPr>
        <w:numPr>
          <w:ilvl w:val="0"/>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Souhlas s analýzou dat</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lastRenderedPageBreak/>
        <w:t>Poskytovatel je oprávněn anonymizovaná data dále z</w:t>
      </w:r>
      <w:r>
        <w:rPr>
          <w:rFonts w:ascii="Georgia" w:eastAsia="Georgia" w:hAnsi="Georgia" w:cs="Georgia"/>
          <w:sz w:val="22"/>
          <w:szCs w:val="22"/>
        </w:rPr>
        <w:t>pracovávat pro analytické potřeby za účelem poskytování lepších služeb.</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Odpovědnost za škodu</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odpovídá za škodu při poskytování hostingu nebo služby Tritius, kterou zaviní porušením povinnosti ze smlouvy nebo VOP. Smluvní strany se dohodly, že výše náhrady škody je omezena pouze na skutečnou škodu, a to do částky odpovídající 100 % cen</w:t>
      </w:r>
      <w:r>
        <w:rPr>
          <w:rFonts w:ascii="Georgia" w:eastAsia="Georgia" w:hAnsi="Georgia" w:cs="Georgia"/>
          <w:sz w:val="22"/>
          <w:szCs w:val="22"/>
        </w:rPr>
        <w:t>y uhrazené objednatelem za poslední tři měsíce. Poskytovatel dále neodpovídá za ušlý zisk Objednatele.</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Objednatel odpovídá za škodu při využívání hostingu nebo služby Tritius, kterou zaviní porušením povinnosti ze smlouvy nebo VOP. Smluvní strany se dohodl</w:t>
      </w:r>
      <w:r>
        <w:rPr>
          <w:rFonts w:ascii="Georgia" w:eastAsia="Georgia" w:hAnsi="Georgia" w:cs="Georgia"/>
          <w:sz w:val="22"/>
          <w:szCs w:val="22"/>
        </w:rPr>
        <w:t>y, že výše náhrady škody je omezena pouze na skutečnou škodu, a to ve výši nákladů odpovídajícím provedené práci na nápravu stavu.</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neodpovídá za škodu způsobenou vadami systému, bylo-li toto zapříčiněno objednatelem, třetími osobami nebo okoln</w:t>
      </w:r>
      <w:r>
        <w:rPr>
          <w:rFonts w:ascii="Georgia" w:eastAsia="Georgia" w:hAnsi="Georgia" w:cs="Georgia"/>
          <w:sz w:val="22"/>
          <w:szCs w:val="22"/>
        </w:rPr>
        <w:t xml:space="preserve">ostmi uvedenými níže. </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Poskytovatel neodpovídá za škody vzniklé v důsledku okolností nezávislých na vůli poskytovatele, které lze označit za okolnosti vylučující odpovědnost; nastane-li taková okolnost, je poskytovatel povinen toto bez zbytečného odkladu o</w:t>
      </w:r>
      <w:r>
        <w:rPr>
          <w:rFonts w:ascii="Georgia" w:eastAsia="Georgia" w:hAnsi="Georgia" w:cs="Georgia"/>
          <w:sz w:val="22"/>
          <w:szCs w:val="22"/>
        </w:rPr>
        <w:t>známit objednateli. Za okolnost vylučující odpovědnost se pro účely smlouvy a VOP se považuje zejména:</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průnik virů do informačního systému objednatele, popř. jiný obdobný útok;</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překážky způsobené v důsledku stávky zaměstnanců objednatele, tj. v důsledku čá</w:t>
      </w:r>
      <w:r>
        <w:rPr>
          <w:rFonts w:ascii="Georgia" w:eastAsia="Georgia" w:hAnsi="Georgia" w:cs="Georgia"/>
          <w:sz w:val="22"/>
          <w:szCs w:val="22"/>
        </w:rPr>
        <w:t>stečného nebo úplného přerušení práce zaměstnanci;</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živelná katastrofa;</w:t>
      </w:r>
    </w:p>
    <w:p w:rsidR="00392E57" w:rsidRDefault="007766DA">
      <w:pPr>
        <w:numPr>
          <w:ilvl w:val="2"/>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cílený kybernetický útok na zařízení objednatele nebo poskytovatele;</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Účinky vylučující odpovědnost jsou omezeny na dobu, dokud trvá překážka, s níž jsou tyto účinky spojeny, ledaže došl</w:t>
      </w:r>
      <w:r>
        <w:rPr>
          <w:rFonts w:ascii="Georgia" w:eastAsia="Georgia" w:hAnsi="Georgia" w:cs="Georgia"/>
          <w:sz w:val="22"/>
          <w:szCs w:val="22"/>
        </w:rPr>
        <w:t>o v důsledku těchto okolností k závadám systému, popř. úplnému zničení technických zařízení nebo softwaru nezbytných pro provoz systému.</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0"/>
          <w:numId w:val="2"/>
        </w:num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Aktualizace VOP</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Poskytovatel je oprávněn změnit jednostranně VOP. </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 xml:space="preserve">Poskytovatel je povinen bez zbytečného odkladu zveřejnit novou verzi VOP na svých webových stránkách a upozorní na změnu objednatele. </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je povinen se s novými VOP bez zbytečného odkladu seznámit. Přijímá-li objednatel nadále služby či jiné plnění</w:t>
      </w:r>
      <w:r>
        <w:rPr>
          <w:rFonts w:ascii="Georgia" w:eastAsia="Georgia" w:hAnsi="Georgia" w:cs="Georgia"/>
          <w:sz w:val="22"/>
          <w:szCs w:val="22"/>
        </w:rPr>
        <w:t xml:space="preserve"> ze strany poskytovatele, stávají se pro něj nové VOP závaznými, pokud nové znění VOP neodmítne.</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Objednatel má možnost tuto změnu obchodních podmínek odmítnout, a to formou výpovědi s výpovědní dobou 3 měsíců, která začíná běžet okamžikem doručení výpovědi</w:t>
      </w:r>
      <w:r>
        <w:rPr>
          <w:rFonts w:ascii="Georgia" w:eastAsia="Georgia" w:hAnsi="Georgia" w:cs="Georgia"/>
          <w:sz w:val="22"/>
          <w:szCs w:val="22"/>
        </w:rPr>
        <w:t xml:space="preserve"> poskytovateli. Po dobu výpovědní lhůty platí původní znění obchodních podmínek. Pokud objednatel neučiní výpověď ve lhůtě 30 dnů ode dne oznámení o změně těchto VOP, pak se má za to, že tato druhá smluvní strana se změnami souhlasí.</w:t>
      </w:r>
    </w:p>
    <w:p w:rsidR="00392E57" w:rsidRDefault="00392E57">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rsidR="00392E57" w:rsidRDefault="007766DA">
      <w:pPr>
        <w:numPr>
          <w:ilvl w:val="0"/>
          <w:numId w:val="2"/>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u w:val="single"/>
        </w:rPr>
        <w:t>Závěrečná ustanovení</w:t>
      </w:r>
    </w:p>
    <w:p w:rsidR="00392E57" w:rsidRDefault="007766DA">
      <w:pPr>
        <w:numPr>
          <w:ilvl w:val="1"/>
          <w:numId w:val="2"/>
        </w:numPr>
        <w:shd w:val="clear" w:color="auto" w:fill="FFFFFF"/>
        <w:spacing w:after="0" w:line="240" w:lineRule="auto"/>
        <w:rPr>
          <w:rFonts w:ascii="Georgia" w:eastAsia="Georgia" w:hAnsi="Georgia" w:cs="Georgia"/>
        </w:rPr>
      </w:pPr>
      <w:r>
        <w:rPr>
          <w:rFonts w:ascii="Georgia" w:eastAsia="Georgia" w:hAnsi="Georgia" w:cs="Georgia"/>
          <w:sz w:val="22"/>
          <w:szCs w:val="22"/>
        </w:rPr>
        <w:t>Nevymahatelnost či neplatnost kteréhokoliv ustanovení smlouvy nebo těchto VOP nemá vliv na vymahatelnost či platnost zbývajících ustanovení smlouvy nebo těchto VOP, pokud z povahy nebo obsahu takového ustanovení nevyplývá, že nemůže být odděleno od ostatní</w:t>
      </w:r>
      <w:r>
        <w:rPr>
          <w:rFonts w:ascii="Georgia" w:eastAsia="Georgia" w:hAnsi="Georgia" w:cs="Georgia"/>
          <w:sz w:val="22"/>
          <w:szCs w:val="22"/>
        </w:rPr>
        <w:t>ho obsahu smlouvy či VOP.</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VOP jsou vždy platné a účinné od jejich zveřejnění do zveřejnění nových VOP nahrazujících dosavadní VOP.</w:t>
      </w:r>
    </w:p>
    <w:p w:rsidR="00392E57" w:rsidRDefault="007766DA">
      <w:pPr>
        <w:numPr>
          <w:ilvl w:val="1"/>
          <w:numId w:val="2"/>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 xml:space="preserve">Tyto VOP jsou platné od </w:t>
      </w:r>
      <w:r w:rsidR="00064E33">
        <w:rPr>
          <w:rFonts w:ascii="Georgia" w:eastAsia="Georgia" w:hAnsi="Georgia" w:cs="Georgia"/>
          <w:sz w:val="22"/>
          <w:szCs w:val="22"/>
        </w:rPr>
        <w:t>6</w:t>
      </w:r>
      <w:r>
        <w:rPr>
          <w:rFonts w:ascii="Georgia" w:eastAsia="Georgia" w:hAnsi="Georgia" w:cs="Georgia"/>
          <w:sz w:val="22"/>
          <w:szCs w:val="22"/>
        </w:rPr>
        <w:t>.0</w:t>
      </w:r>
      <w:r w:rsidR="00064E33">
        <w:rPr>
          <w:rFonts w:ascii="Georgia" w:eastAsia="Georgia" w:hAnsi="Georgia" w:cs="Georgia"/>
          <w:sz w:val="22"/>
          <w:szCs w:val="22"/>
        </w:rPr>
        <w:t>4</w:t>
      </w:r>
      <w:r>
        <w:rPr>
          <w:rFonts w:ascii="Georgia" w:eastAsia="Georgia" w:hAnsi="Georgia" w:cs="Georgia"/>
          <w:sz w:val="22"/>
          <w:szCs w:val="22"/>
        </w:rPr>
        <w:t>.20</w:t>
      </w:r>
      <w:r w:rsidR="00064E33">
        <w:rPr>
          <w:rFonts w:ascii="Georgia" w:eastAsia="Georgia" w:hAnsi="Georgia" w:cs="Georgia"/>
          <w:sz w:val="22"/>
          <w:szCs w:val="22"/>
        </w:rPr>
        <w:t>20</w:t>
      </w:r>
      <w:r>
        <w:rPr>
          <w:rFonts w:ascii="Georgia" w:eastAsia="Georgia" w:hAnsi="Georgia" w:cs="Georgia"/>
          <w:sz w:val="22"/>
          <w:szCs w:val="22"/>
        </w:rPr>
        <w:t>.</w:t>
      </w:r>
    </w:p>
    <w:sectPr w:rsidR="00392E57">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DA" w:rsidRDefault="007766DA">
      <w:pPr>
        <w:spacing w:after="0" w:line="240" w:lineRule="auto"/>
      </w:pPr>
      <w:r>
        <w:separator/>
      </w:r>
    </w:p>
  </w:endnote>
  <w:endnote w:type="continuationSeparator" w:id="0">
    <w:p w:rsidR="007766DA" w:rsidRDefault="0077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10" w:rsidRDefault="002D7F1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57" w:rsidRDefault="007766D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sidR="003E31C4">
      <w:rPr>
        <w:color w:val="000000"/>
      </w:rPr>
      <w:fldChar w:fldCharType="separate"/>
    </w:r>
    <w:r w:rsidR="002D7F10">
      <w:rPr>
        <w:noProof/>
        <w:color w:val="000000"/>
      </w:rPr>
      <w:t>1</w:t>
    </w:r>
    <w:r>
      <w:rPr>
        <w:color w:val="000000"/>
      </w:rPr>
      <w:fldChar w:fldCharType="end"/>
    </w:r>
  </w:p>
  <w:p w:rsidR="00392E57" w:rsidRDefault="00392E5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10" w:rsidRDefault="002D7F1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DA" w:rsidRDefault="007766DA">
      <w:pPr>
        <w:spacing w:after="0" w:line="240" w:lineRule="auto"/>
      </w:pPr>
      <w:r>
        <w:separator/>
      </w:r>
    </w:p>
  </w:footnote>
  <w:footnote w:type="continuationSeparator" w:id="0">
    <w:p w:rsidR="007766DA" w:rsidRDefault="00776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10" w:rsidRDefault="002D7F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57" w:rsidRDefault="007766DA">
    <w:pPr>
      <w:pBdr>
        <w:top w:val="nil"/>
        <w:left w:val="nil"/>
        <w:bottom w:val="nil"/>
        <w:right w:val="nil"/>
        <w:between w:val="nil"/>
      </w:pBdr>
      <w:tabs>
        <w:tab w:val="center" w:pos="4536"/>
        <w:tab w:val="right" w:pos="9072"/>
      </w:tabs>
      <w:spacing w:after="0" w:line="240" w:lineRule="auto"/>
      <w:jc w:val="right"/>
      <w:rPr>
        <w:color w:val="000000"/>
        <w:sz w:val="16"/>
        <w:szCs w:val="16"/>
      </w:rPr>
    </w:pPr>
    <w:r>
      <w:rPr>
        <w:sz w:val="16"/>
        <w:szCs w:val="16"/>
      </w:rPr>
      <w:t>GTC</w:t>
    </w:r>
    <w:r>
      <w:rPr>
        <w:color w:val="000000"/>
        <w:sz w:val="16"/>
        <w:szCs w:val="16"/>
      </w:rPr>
      <w:t xml:space="preserve"> </w:t>
    </w:r>
    <w:r>
      <w:rPr>
        <w:sz w:val="16"/>
        <w:szCs w:val="16"/>
      </w:rPr>
      <w:t>- Všeobecné obchodní podmínky -</w:t>
    </w:r>
    <w:r>
      <w:rPr>
        <w:color w:val="000000"/>
        <w:sz w:val="16"/>
        <w:szCs w:val="16"/>
      </w:rPr>
      <w:t xml:space="preserve"> 20</w:t>
    </w:r>
    <w:r w:rsidR="002D7F10">
      <w:rPr>
        <w:color w:val="000000"/>
        <w:sz w:val="16"/>
        <w:szCs w:val="16"/>
      </w:rPr>
      <w:t>200406</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F10" w:rsidRDefault="002D7F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66DFF"/>
    <w:multiLevelType w:val="multilevel"/>
    <w:tmpl w:val="43D482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61A9624D"/>
    <w:multiLevelType w:val="multilevel"/>
    <w:tmpl w:val="CBBCA4CE"/>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lowerLetter"/>
      <w:lvlText w:val="%3."/>
      <w:lvlJc w:val="left"/>
      <w:pPr>
        <w:ind w:left="1224" w:hanging="504"/>
      </w:pPr>
      <w:rPr>
        <w:sz w:val="18"/>
        <w:szCs w:val="18"/>
      </w:rPr>
    </w:lvl>
    <w:lvl w:ilvl="3">
      <w:start w:val="1"/>
      <w:numFmt w:val="lowerRoman"/>
      <w:lvlText w:val="%4."/>
      <w:lvlJc w:val="righ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92E57"/>
    <w:rsid w:val="00064E33"/>
    <w:rsid w:val="002D7F10"/>
    <w:rsid w:val="00392E57"/>
    <w:rsid w:val="003E31C4"/>
    <w:rsid w:val="007766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Zhlav">
    <w:name w:val="header"/>
    <w:basedOn w:val="Normln"/>
    <w:link w:val="ZhlavChar"/>
    <w:uiPriority w:val="99"/>
    <w:unhideWhenUsed/>
    <w:rsid w:val="002D7F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7F10"/>
  </w:style>
  <w:style w:type="paragraph" w:styleId="Zpat">
    <w:name w:val="footer"/>
    <w:basedOn w:val="Normln"/>
    <w:link w:val="ZpatChar"/>
    <w:uiPriority w:val="99"/>
    <w:unhideWhenUsed/>
    <w:rsid w:val="002D7F10"/>
    <w:pPr>
      <w:tabs>
        <w:tab w:val="center" w:pos="4536"/>
        <w:tab w:val="right" w:pos="9072"/>
      </w:tabs>
      <w:spacing w:after="0" w:line="240" w:lineRule="auto"/>
    </w:pPr>
  </w:style>
  <w:style w:type="character" w:customStyle="1" w:styleId="ZpatChar">
    <w:name w:val="Zápatí Char"/>
    <w:basedOn w:val="Standardnpsmoodstavce"/>
    <w:link w:val="Zpat"/>
    <w:uiPriority w:val="99"/>
    <w:rsid w:val="002D7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Zhlav">
    <w:name w:val="header"/>
    <w:basedOn w:val="Normln"/>
    <w:link w:val="ZhlavChar"/>
    <w:uiPriority w:val="99"/>
    <w:unhideWhenUsed/>
    <w:rsid w:val="002D7F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7F10"/>
  </w:style>
  <w:style w:type="paragraph" w:styleId="Zpat">
    <w:name w:val="footer"/>
    <w:basedOn w:val="Normln"/>
    <w:link w:val="ZpatChar"/>
    <w:uiPriority w:val="99"/>
    <w:unhideWhenUsed/>
    <w:rsid w:val="002D7F10"/>
    <w:pPr>
      <w:tabs>
        <w:tab w:val="center" w:pos="4536"/>
        <w:tab w:val="right" w:pos="9072"/>
      </w:tabs>
      <w:spacing w:after="0" w:line="240" w:lineRule="auto"/>
    </w:pPr>
  </w:style>
  <w:style w:type="character" w:customStyle="1" w:styleId="ZpatChar">
    <w:name w:val="Zápatí Char"/>
    <w:basedOn w:val="Standardnpsmoodstavce"/>
    <w:link w:val="Zpat"/>
    <w:uiPriority w:val="99"/>
    <w:rsid w:val="002D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fluence.tritius.cz/pages/viewpage.action?pageId=76481367" TargetMode="External"/><Relationship Id="rId13" Type="http://schemas.openxmlformats.org/officeDocument/2006/relationships/hyperlink" Target="mailto:podpora@tritius.cz"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ira.tritius.cz/servicedes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nfluence.tritius.cz/pages/viewpage.action?pageId=8398528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fluence.tritius.cz/pages/viewpage.action?pageId=8398528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nfluence.tritius.cz/pages/viewpage.action?pageId=764813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3590</Words>
  <Characters>21183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Vrbová</dc:creator>
  <cp:lastModifiedBy>Jitka Vrbová</cp:lastModifiedBy>
  <cp:revision>4</cp:revision>
  <dcterms:created xsi:type="dcterms:W3CDTF">2020-07-01T09:27:00Z</dcterms:created>
  <dcterms:modified xsi:type="dcterms:W3CDTF">2020-07-01T09:31:00Z</dcterms:modified>
</cp:coreProperties>
</file>