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1C8C1823" w:rsidR="005E277C" w:rsidRPr="005077C3" w:rsidRDefault="006920DA" w:rsidP="005E277C">
      <w:pPr>
        <w:jc w:val="center"/>
        <w:rPr>
          <w:b/>
        </w:rPr>
      </w:pPr>
      <w:r w:rsidRPr="005077C3">
        <w:rPr>
          <w:b/>
        </w:rPr>
        <w:t xml:space="preserve">(ID: </w:t>
      </w:r>
      <w:r w:rsidR="00746F18">
        <w:rPr>
          <w:b/>
        </w:rPr>
        <w:t>2000145</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749E13DA"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18432B" w:rsidRPr="0018432B">
        <w:rPr>
          <w:highlight w:val="black"/>
        </w:rPr>
        <w:t>xxxxxxxxxxxxxxxxxxxx</w:t>
      </w:r>
      <w:proofErr w:type="spellEnd"/>
    </w:p>
    <w:p w14:paraId="7AC2B175" w14:textId="54402224"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18432B" w:rsidRPr="0018432B">
        <w:rPr>
          <w:bCs/>
          <w:highlight w:val="black"/>
        </w:rPr>
        <w:t>xxxxxxxxxxxxxxxxx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1E5D506D"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066844">
        <w:rPr>
          <w:b/>
        </w:rPr>
        <w:t>LED Montage s.r.o.</w:t>
      </w:r>
    </w:p>
    <w:p w14:paraId="34F35A74" w14:textId="5BC8BED6" w:rsidR="00DF0F53" w:rsidRPr="00F92C7A" w:rsidRDefault="00DF0F53" w:rsidP="00DF0F53">
      <w:pPr>
        <w:ind w:left="720"/>
        <w:rPr>
          <w:bCs/>
        </w:rPr>
      </w:pPr>
      <w:r w:rsidRPr="00F92C7A">
        <w:rPr>
          <w:bCs/>
        </w:rPr>
        <w:tab/>
      </w:r>
      <w:r w:rsidRPr="00F92C7A">
        <w:rPr>
          <w:bCs/>
        </w:rPr>
        <w:tab/>
        <w:t>se sídlem</w:t>
      </w:r>
      <w:r w:rsidR="00AD7B77" w:rsidRPr="00F92C7A">
        <w:rPr>
          <w:bCs/>
        </w:rPr>
        <w:t>:</w:t>
      </w:r>
      <w:r w:rsidRPr="00F92C7A">
        <w:rPr>
          <w:bCs/>
        </w:rPr>
        <w:t xml:space="preserve"> </w:t>
      </w:r>
      <w:r w:rsidR="00066844">
        <w:rPr>
          <w:bCs/>
        </w:rPr>
        <w:t>Nádražní 1666, 397 01 Písek</w:t>
      </w:r>
    </w:p>
    <w:p w14:paraId="76E1D241" w14:textId="551FBE80" w:rsidR="00DF0F53" w:rsidRPr="00F92C7A" w:rsidRDefault="00DF0F53" w:rsidP="00DF0F53">
      <w:pPr>
        <w:ind w:left="720"/>
        <w:rPr>
          <w:bCs/>
        </w:rPr>
      </w:pPr>
      <w:r w:rsidRPr="00F92C7A">
        <w:rPr>
          <w:bCs/>
        </w:rPr>
        <w:tab/>
      </w:r>
      <w:r w:rsidRPr="00F92C7A">
        <w:rPr>
          <w:bCs/>
        </w:rPr>
        <w:tab/>
        <w:t>kterou zastupuje</w:t>
      </w:r>
      <w:r w:rsidR="00066844">
        <w:rPr>
          <w:bCs/>
        </w:rPr>
        <w:t xml:space="preserve"> Martin Odl, jednatel</w:t>
      </w:r>
    </w:p>
    <w:p w14:paraId="504BF7B5" w14:textId="25098127" w:rsidR="00DF0F53" w:rsidRPr="00F92C7A" w:rsidRDefault="00DF0F53" w:rsidP="00DF0F53">
      <w:pPr>
        <w:ind w:left="2126"/>
        <w:rPr>
          <w:bCs/>
        </w:rPr>
      </w:pPr>
      <w:r w:rsidRPr="00F92C7A">
        <w:rPr>
          <w:bCs/>
        </w:rPr>
        <w:t>IČO:</w:t>
      </w:r>
      <w:r w:rsidR="00AD7B77" w:rsidRPr="00F92C7A">
        <w:rPr>
          <w:bCs/>
        </w:rPr>
        <w:t xml:space="preserve"> </w:t>
      </w:r>
      <w:r w:rsidR="00066844">
        <w:rPr>
          <w:bCs/>
        </w:rPr>
        <w:t>08638454</w:t>
      </w:r>
      <w:r w:rsidRPr="00F92C7A">
        <w:rPr>
          <w:bCs/>
        </w:rPr>
        <w:t>; DIČ:</w:t>
      </w:r>
      <w:r w:rsidR="00066844">
        <w:rPr>
          <w:bCs/>
        </w:rPr>
        <w:t xml:space="preserve"> CZ08638454</w:t>
      </w:r>
    </w:p>
    <w:p w14:paraId="0D6AAA68" w14:textId="2A642C0A" w:rsidR="00DF0F53" w:rsidRPr="00F92C7A" w:rsidRDefault="00DF0F53" w:rsidP="00DF0F53">
      <w:pPr>
        <w:ind w:left="2126"/>
        <w:rPr>
          <w:bCs/>
        </w:rPr>
      </w:pPr>
      <w:r w:rsidRPr="00F92C7A">
        <w:rPr>
          <w:bCs/>
        </w:rPr>
        <w:t xml:space="preserve">bankovní spojení: </w:t>
      </w:r>
      <w:proofErr w:type="spellStart"/>
      <w:r w:rsidR="0018432B" w:rsidRPr="0018432B">
        <w:rPr>
          <w:bCs/>
          <w:highlight w:val="black"/>
        </w:rPr>
        <w:t>xxxxxxxxxxxxxxx</w:t>
      </w:r>
      <w:proofErr w:type="spellEnd"/>
      <w:r w:rsidR="00F92C7A" w:rsidRPr="00F92C7A">
        <w:rPr>
          <w:bCs/>
        </w:rPr>
        <w:t xml:space="preserve"> </w:t>
      </w:r>
    </w:p>
    <w:p w14:paraId="50180E7A" w14:textId="48246964" w:rsidR="00DF0F53" w:rsidRPr="00F92C7A" w:rsidRDefault="00DF0F53" w:rsidP="00DF0F53">
      <w:pPr>
        <w:ind w:left="2126"/>
        <w:rPr>
          <w:bCs/>
          <w:i/>
        </w:rPr>
      </w:pPr>
      <w:r w:rsidRPr="00F92C7A">
        <w:rPr>
          <w:bCs/>
        </w:rPr>
        <w:t>číslo účtu</w:t>
      </w:r>
      <w:r w:rsidR="00AD7B77" w:rsidRPr="00F92C7A">
        <w:rPr>
          <w:bCs/>
        </w:rPr>
        <w:t>:</w:t>
      </w:r>
      <w:r w:rsidR="00C43AD6" w:rsidRPr="00F92C7A">
        <w:rPr>
          <w:bCs/>
        </w:rPr>
        <w:t xml:space="preserve"> </w:t>
      </w:r>
      <w:proofErr w:type="spellStart"/>
      <w:r w:rsidR="0018432B" w:rsidRPr="0018432B">
        <w:rPr>
          <w:bCs/>
          <w:highlight w:val="black"/>
        </w:rPr>
        <w:t>xxxxxxxxxxxxxxxxxxx</w:t>
      </w:r>
      <w:proofErr w:type="spellEnd"/>
    </w:p>
    <w:p w14:paraId="226C1A9A" w14:textId="33E975EA" w:rsidR="000F22C7" w:rsidRPr="00F92C7A" w:rsidRDefault="00DF0F53" w:rsidP="00DF0F53">
      <w:pPr>
        <w:ind w:left="1700" w:firstLine="424"/>
        <w:contextualSpacing/>
        <w:rPr>
          <w:bCs/>
        </w:rPr>
      </w:pPr>
      <w:r w:rsidRPr="00F92C7A">
        <w:rPr>
          <w:bCs/>
        </w:rPr>
        <w:t xml:space="preserve">zapsaná </w:t>
      </w:r>
      <w:r w:rsidR="00066844">
        <w:rPr>
          <w:bCs/>
        </w:rPr>
        <w:t xml:space="preserve">v OR u KS v Českých Budějovicích, oddíl C, vložka </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026A6FA4" w14:textId="77777777" w:rsidR="00677869" w:rsidRPr="00BE1D80" w:rsidRDefault="00677869" w:rsidP="00DC38A6">
      <w:pPr>
        <w:jc w:val="both"/>
        <w:rPr>
          <w:bCs/>
        </w:rPr>
      </w:pP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3A93430D"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E5704B">
        <w:rPr>
          <w:b/>
        </w:rPr>
        <w:t xml:space="preserve">Výměnu </w:t>
      </w:r>
      <w:r w:rsidR="00446F4F">
        <w:rPr>
          <w:b/>
        </w:rPr>
        <w:t>osvětlovacích těles v 5 kancelářích v objektu VZP Rychnov nad Kněžnou</w:t>
      </w:r>
      <w:r w:rsidR="00B305EE">
        <w:rPr>
          <w:b/>
        </w:rPr>
        <w:t xml:space="preserve"> </w:t>
      </w:r>
      <w:r w:rsidR="001862CE" w:rsidRPr="00BE1D80">
        <w:t>(dále jen „dílo“)</w:t>
      </w:r>
      <w:r w:rsidR="00A8576E" w:rsidRPr="00BE1D80">
        <w:t>.</w:t>
      </w:r>
      <w:r w:rsidR="00C20E5B">
        <w:t xml:space="preserve"> </w:t>
      </w:r>
    </w:p>
    <w:p w14:paraId="701B775E" w14:textId="65D1EE84"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066844">
        <w:t>12.6.2020</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58B640A1" w14:textId="77777777" w:rsidR="00E72B05" w:rsidRPr="00BE1D80" w:rsidRDefault="00E72B05" w:rsidP="00F163F5">
      <w:pPr>
        <w:pStyle w:val="Odstavecseseznamem"/>
        <w:spacing w:after="120"/>
        <w:ind w:left="426"/>
        <w:jc w:val="both"/>
      </w:pP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42851BE2"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446F4F">
        <w:rPr>
          <w:iCs/>
        </w:rPr>
        <w:t>Palackého 698</w:t>
      </w:r>
      <w:r w:rsidR="00E5704B">
        <w:rPr>
          <w:iCs/>
        </w:rPr>
        <w:t>, Rychnov nad Kněžnou 516 01</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78B0649C" w:rsidR="00A617C4" w:rsidRPr="00BE1D80" w:rsidRDefault="00C20E5B" w:rsidP="00C20E5B">
      <w:pPr>
        <w:pStyle w:val="Odstavecseseznamem"/>
        <w:numPr>
          <w:ilvl w:val="0"/>
          <w:numId w:val="46"/>
        </w:numPr>
        <w:spacing w:after="120"/>
        <w:jc w:val="both"/>
      </w:pPr>
      <w:r>
        <w:lastRenderedPageBreak/>
        <w:t xml:space="preserve">do </w:t>
      </w:r>
      <w:r w:rsidR="00066844">
        <w:t>21</w:t>
      </w:r>
      <w:r>
        <w:t xml:space="preserve"> kalendářních dní od předání staveniště s termínem </w:t>
      </w:r>
      <w:r w:rsidR="00D13FA0">
        <w:t xml:space="preserve">nejpozdějšího dokončení </w:t>
      </w:r>
      <w:r w:rsidR="00D13FA0" w:rsidRPr="00066844">
        <w:rPr>
          <w:b/>
        </w:rPr>
        <w:t xml:space="preserve">do </w:t>
      </w:r>
      <w:r w:rsidR="00066844" w:rsidRPr="00066844">
        <w:rPr>
          <w:b/>
        </w:rPr>
        <w:t>31</w:t>
      </w:r>
      <w:r w:rsidR="00D13FA0" w:rsidRPr="00066844">
        <w:rPr>
          <w:b/>
        </w:rPr>
        <w:t xml:space="preserve">. </w:t>
      </w:r>
      <w:r w:rsidR="00066844" w:rsidRPr="00066844">
        <w:rPr>
          <w:b/>
        </w:rPr>
        <w:t>7</w:t>
      </w:r>
      <w:r w:rsidR="00446F4F" w:rsidRPr="00066844">
        <w:rPr>
          <w:b/>
        </w:rPr>
        <w:t>. 2020</w:t>
      </w:r>
    </w:p>
    <w:p w14:paraId="39746272" w14:textId="5DD497A8"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697AED2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0DB8B1C3"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066844">
        <w:rPr>
          <w:b/>
        </w:rPr>
        <w:t>53 380</w:t>
      </w:r>
      <w:r w:rsidR="00F92C7A" w:rsidRPr="00F92C7A">
        <w:rPr>
          <w:b/>
        </w:rPr>
        <w:t xml:space="preserve"> </w:t>
      </w:r>
      <w:r w:rsidRPr="00F92C7A">
        <w:rPr>
          <w:b/>
        </w:rPr>
        <w:t>Kč</w:t>
      </w:r>
      <w:r w:rsidRPr="00F92C7A">
        <w:t xml:space="preserve"> </w:t>
      </w:r>
      <w:r w:rsidRPr="00F92C7A">
        <w:rPr>
          <w:b/>
        </w:rPr>
        <w:t>bez DPH</w:t>
      </w:r>
      <w:r w:rsidR="00FA4ED0" w:rsidRPr="00F92C7A">
        <w:t xml:space="preserve"> (slovy:</w:t>
      </w:r>
      <w:r w:rsidR="00066844">
        <w:t xml:space="preserve"> </w:t>
      </w:r>
      <w:proofErr w:type="spellStart"/>
      <w:r w:rsidR="00066844">
        <w:t>padesáttřitisíctřistaosmdesát</w:t>
      </w:r>
      <w:proofErr w:type="spellEnd"/>
      <w:r w:rsidR="00F92C7A" w:rsidRPr="00F92C7A">
        <w:t xml:space="preserve"> korun českých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2CD02B28"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 i v případě změn podmínek, za nichž byl rozpočet zpracován</w:t>
      </w:r>
      <w:r w:rsidRPr="00BE1D80">
        <w:t>.</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13548B4D"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Pr="00BE1D80">
        <w:rPr>
          <w:u w:val="single"/>
        </w:rPr>
        <w:t xml:space="preserve">sídla </w:t>
      </w:r>
      <w:r w:rsidR="00DC38A6" w:rsidRPr="00BE1D80">
        <w:rPr>
          <w:u w:val="single"/>
        </w:rPr>
        <w:t>objednatele</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lastRenderedPageBreak/>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77777777" w:rsidR="0074701C" w:rsidRPr="00BE1D80" w:rsidRDefault="0074701C"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BE1D80" w:rsidRDefault="00AE5842" w:rsidP="00AE5842">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73D30161" w14:textId="77777777" w:rsidR="00833904" w:rsidRDefault="00833904" w:rsidP="00B83937">
      <w:pPr>
        <w:pStyle w:val="Zkladntextodsazen"/>
        <w:spacing w:after="0"/>
        <w:ind w:left="0"/>
        <w:jc w:val="center"/>
        <w:rPr>
          <w:b/>
          <w:szCs w:val="24"/>
        </w:rPr>
      </w:pPr>
    </w:p>
    <w:p w14:paraId="657582C8" w14:textId="77777777" w:rsidR="00066844" w:rsidRDefault="00066844" w:rsidP="00B83937">
      <w:pPr>
        <w:pStyle w:val="Zkladntextodsazen"/>
        <w:spacing w:after="0"/>
        <w:ind w:left="0"/>
        <w:jc w:val="center"/>
        <w:rPr>
          <w:b/>
          <w:szCs w:val="24"/>
        </w:rPr>
      </w:pPr>
    </w:p>
    <w:p w14:paraId="3EFFEB4A" w14:textId="77777777" w:rsidR="00066844" w:rsidRDefault="00066844" w:rsidP="00B83937">
      <w:pPr>
        <w:pStyle w:val="Zkladntextodsazen"/>
        <w:spacing w:after="0"/>
        <w:ind w:left="0"/>
        <w:jc w:val="center"/>
        <w:rPr>
          <w:b/>
          <w:szCs w:val="24"/>
        </w:rPr>
      </w:pPr>
    </w:p>
    <w:p w14:paraId="15782001" w14:textId="6827193B"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lastRenderedPageBreak/>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1F9852B9"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076076">
        <w:t>24</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77777777" w:rsidR="00D13FA0" w:rsidRDefault="00D13FA0" w:rsidP="001D6106">
      <w:pPr>
        <w:jc w:val="center"/>
        <w:rPr>
          <w:b/>
        </w:rPr>
      </w:pPr>
    </w:p>
    <w:p w14:paraId="3A233DD3" w14:textId="77777777" w:rsidR="00066844" w:rsidRDefault="00066844" w:rsidP="001D6106">
      <w:pPr>
        <w:jc w:val="center"/>
        <w:rPr>
          <w:b/>
        </w:rPr>
      </w:pPr>
    </w:p>
    <w:p w14:paraId="1EB97396" w14:textId="7AF23D36"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ze smlouvy dočasně nebo trvale zabránila mimořádná nepředvídatelná </w:t>
      </w:r>
      <w:r w:rsidR="00666183" w:rsidRPr="00BE1D80">
        <w:br/>
      </w:r>
      <w:r w:rsidRPr="00BE1D80">
        <w:t xml:space="preserve">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63B5BB28"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FF764A">
        <w:t>Palackého 698, 516 01 Rychnov nad Kněžnou.</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6E4AC0BC" w14:textId="77777777" w:rsidR="00E4189F" w:rsidRDefault="00E4189F" w:rsidP="00E4189F">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410537C6" w14:textId="77777777" w:rsidR="00B013F3" w:rsidRPr="00BE1D80" w:rsidRDefault="00B013F3" w:rsidP="00B013F3">
      <w:pPr>
        <w:spacing w:after="240"/>
        <w:jc w:val="both"/>
      </w:pP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lastRenderedPageBreak/>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8C5F405" w14:textId="77777777" w:rsidR="008D64A8" w:rsidRDefault="008D64A8" w:rsidP="005F171F">
      <w:pPr>
        <w:pStyle w:val="Stylpravidel"/>
        <w:spacing w:before="0" w:line="240" w:lineRule="auto"/>
        <w:rPr>
          <w:szCs w:val="24"/>
        </w:rPr>
      </w:pP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56B1D252" w:rsidR="00AE60D5" w:rsidRPr="00BE1D80"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6CF7D010" w:rsidR="0092681D" w:rsidRPr="00BE1D80" w:rsidRDefault="0092681D" w:rsidP="00446F4F">
      <w:pPr>
        <w:pStyle w:val="Odstavecseseznamem"/>
        <w:numPr>
          <w:ilvl w:val="0"/>
          <w:numId w:val="43"/>
        </w:numPr>
        <w:spacing w:after="120"/>
        <w:ind w:left="426" w:hanging="426"/>
        <w:jc w:val="both"/>
      </w:pPr>
      <w:r w:rsidRPr="00BE1D80">
        <w:t>Smluvní strany se dohodly, že tuto smlouvu zašle správci registru smluv k uveřejnění prostřednictvím registru smluv VZP ČR. Notifikace o uveřejnění smlouvy bude zaslána zhotoviteli na jeho email:</w:t>
      </w:r>
      <w:r w:rsidR="0018432B">
        <w:t xml:space="preserve"> </w:t>
      </w:r>
      <w:proofErr w:type="spellStart"/>
      <w:r w:rsidR="0018432B" w:rsidRPr="0018432B">
        <w:rPr>
          <w:highlight w:val="black"/>
        </w:rPr>
        <w:t>xxxxxxxxxxxxxxxxxx</w:t>
      </w:r>
      <w:proofErr w:type="spellEnd"/>
      <w:r w:rsidR="00066844">
        <w:t xml:space="preserve">.  </w:t>
      </w:r>
      <w:r w:rsidRPr="00BE1D80">
        <w:t xml:space="preserve">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C880AA9" w14:textId="7D394BBA" w:rsidR="00076076" w:rsidRPr="00BE1D80" w:rsidRDefault="0092681D" w:rsidP="00076076">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61C1F9" w14:textId="25564E0E" w:rsidR="007429F8" w:rsidRDefault="00DC38A6" w:rsidP="00437BB2">
      <w:pPr>
        <w:pStyle w:val="Stylpravidel"/>
        <w:numPr>
          <w:ilvl w:val="0"/>
          <w:numId w:val="8"/>
        </w:numPr>
        <w:tabs>
          <w:tab w:val="clear" w:pos="340"/>
        </w:tabs>
        <w:spacing w:before="0" w:after="120" w:line="240" w:lineRule="auto"/>
        <w:ind w:left="426" w:hanging="426"/>
        <w:rPr>
          <w:szCs w:val="24"/>
        </w:rPr>
      </w:pPr>
      <w:bookmarkStart w:id="0" w:name="OLE_LINK1"/>
      <w:bookmarkStart w:id="1" w:name="OLE_LINK2"/>
      <w:r w:rsidRPr="007429F8">
        <w:rPr>
          <w:szCs w:val="24"/>
        </w:rPr>
        <w:t>Za objednatele j</w:t>
      </w:r>
      <w:r w:rsidR="00E17CDB" w:rsidRPr="007429F8">
        <w:rPr>
          <w:szCs w:val="24"/>
        </w:rPr>
        <w:t>sou</w:t>
      </w:r>
      <w:r w:rsidRPr="007429F8">
        <w:rPr>
          <w:szCs w:val="24"/>
        </w:rPr>
        <w:t xml:space="preserve"> pověřen</w:t>
      </w:r>
      <w:r w:rsidR="00E17CDB" w:rsidRPr="007429F8">
        <w:rPr>
          <w:szCs w:val="24"/>
        </w:rPr>
        <w:t>i</w:t>
      </w:r>
      <w:r w:rsidRPr="007429F8">
        <w:rPr>
          <w:szCs w:val="24"/>
        </w:rPr>
        <w:t xml:space="preserve"> k jednání ve věci plnění této smlouvy</w:t>
      </w:r>
      <w:r w:rsidR="007429F8">
        <w:rPr>
          <w:szCs w:val="24"/>
        </w:rPr>
        <w:t>:</w:t>
      </w:r>
    </w:p>
    <w:bookmarkEnd w:id="0"/>
    <w:bookmarkEnd w:id="1"/>
    <w:p w14:paraId="53843750" w14:textId="62E3796E" w:rsidR="007429F8" w:rsidRDefault="0018432B" w:rsidP="007429F8">
      <w:pPr>
        <w:pStyle w:val="Stylpravidel"/>
        <w:spacing w:before="0" w:after="120" w:line="240" w:lineRule="auto"/>
        <w:ind w:left="426"/>
        <w:rPr>
          <w:szCs w:val="24"/>
        </w:rPr>
      </w:pPr>
      <w:proofErr w:type="spellStart"/>
      <w:r w:rsidRPr="0018432B">
        <w:rPr>
          <w:szCs w:val="24"/>
          <w:highlight w:val="black"/>
        </w:rPr>
        <w:t>xxxxxxxxxxxxxxxxxx</w:t>
      </w:r>
      <w:proofErr w:type="spellEnd"/>
      <w:r w:rsidR="007429F8">
        <w:rPr>
          <w:szCs w:val="24"/>
        </w:rPr>
        <w:t>,</w:t>
      </w:r>
      <w:r w:rsidR="00947F37" w:rsidRPr="007429F8">
        <w:rPr>
          <w:szCs w:val="24"/>
        </w:rPr>
        <w:t xml:space="preserve"> tel. č.: </w:t>
      </w:r>
      <w:proofErr w:type="spellStart"/>
      <w:r w:rsidRPr="0018432B">
        <w:rPr>
          <w:szCs w:val="24"/>
          <w:highlight w:val="black"/>
        </w:rPr>
        <w:t>xxxxxxxxxxxxxxxx</w:t>
      </w:r>
      <w:proofErr w:type="spellEnd"/>
      <w:r w:rsidR="00B82D6A" w:rsidRPr="007429F8">
        <w:rPr>
          <w:szCs w:val="24"/>
        </w:rPr>
        <w:t xml:space="preserve">, </w:t>
      </w:r>
      <w:proofErr w:type="gramStart"/>
      <w:r w:rsidR="00B82D6A" w:rsidRPr="007429F8">
        <w:rPr>
          <w:szCs w:val="24"/>
        </w:rPr>
        <w:t>email</w:t>
      </w:r>
      <w:r w:rsidR="00B82D6A" w:rsidRPr="0018432B">
        <w:rPr>
          <w:szCs w:val="24"/>
          <w:highlight w:val="black"/>
        </w:rPr>
        <w:t>:</w:t>
      </w:r>
      <w:r w:rsidR="007429F8" w:rsidRPr="0018432B">
        <w:rPr>
          <w:szCs w:val="24"/>
          <w:highlight w:val="black"/>
        </w:rPr>
        <w:t xml:space="preserve"> </w:t>
      </w:r>
      <w:r w:rsidRPr="0018432B">
        <w:rPr>
          <w:highlight w:val="black"/>
        </w:rPr>
        <w:t xml:space="preserve"> </w:t>
      </w:r>
      <w:proofErr w:type="spellStart"/>
      <w:r w:rsidRPr="0018432B">
        <w:rPr>
          <w:highlight w:val="black"/>
        </w:rPr>
        <w:t>xxxxxxxxxxxxxxxxxx</w:t>
      </w:r>
      <w:proofErr w:type="spellEnd"/>
      <w:proofErr w:type="gramEnd"/>
    </w:p>
    <w:p w14:paraId="5087A7D5" w14:textId="577BB800" w:rsidR="00B82D6A" w:rsidRPr="007429F8" w:rsidRDefault="007429F8" w:rsidP="007429F8">
      <w:pPr>
        <w:pStyle w:val="Stylpravidel"/>
        <w:spacing w:before="0" w:after="120" w:line="240" w:lineRule="auto"/>
        <w:ind w:left="426"/>
        <w:rPr>
          <w:szCs w:val="24"/>
        </w:rPr>
      </w:pPr>
      <w:r>
        <w:rPr>
          <w:szCs w:val="24"/>
        </w:rPr>
        <w:t xml:space="preserve">v místě bude kontaktní osoba, která provede i přejímku prací: </w:t>
      </w:r>
      <w:proofErr w:type="spellStart"/>
      <w:r w:rsidR="0018432B" w:rsidRPr="0018432B">
        <w:rPr>
          <w:szCs w:val="24"/>
          <w:highlight w:val="black"/>
        </w:rPr>
        <w:t>xxxxxxxxxxxx</w:t>
      </w:r>
      <w:proofErr w:type="spellEnd"/>
      <w:r>
        <w:rPr>
          <w:szCs w:val="24"/>
        </w:rPr>
        <w:t xml:space="preserve">, </w:t>
      </w:r>
      <w:proofErr w:type="spellStart"/>
      <w:r>
        <w:rPr>
          <w:szCs w:val="24"/>
        </w:rPr>
        <w:t>tel.č</w:t>
      </w:r>
      <w:proofErr w:type="spellEnd"/>
      <w:r>
        <w:rPr>
          <w:szCs w:val="24"/>
        </w:rPr>
        <w:t xml:space="preserve">. </w:t>
      </w:r>
      <w:proofErr w:type="spellStart"/>
      <w:r w:rsidR="0018432B" w:rsidRPr="0018432B">
        <w:rPr>
          <w:szCs w:val="24"/>
          <w:highlight w:val="black"/>
        </w:rPr>
        <w:t>xxxxxxxxxxxxxx</w:t>
      </w:r>
      <w:proofErr w:type="spellEnd"/>
      <w:r>
        <w:rPr>
          <w:szCs w:val="24"/>
        </w:rPr>
        <w:t>, e</w:t>
      </w:r>
      <w:proofErr w:type="gramStart"/>
      <w:r>
        <w:rPr>
          <w:szCs w:val="24"/>
        </w:rPr>
        <w:t>-  mail</w:t>
      </w:r>
      <w:proofErr w:type="gramEnd"/>
      <w:r>
        <w:rPr>
          <w:szCs w:val="24"/>
        </w:rPr>
        <w:t xml:space="preserve">: </w:t>
      </w:r>
      <w:proofErr w:type="spellStart"/>
      <w:r w:rsidR="0018432B" w:rsidRPr="0018432B">
        <w:rPr>
          <w:highlight w:val="black"/>
        </w:rPr>
        <w:t>xxxxxxxxxxxxxxx</w:t>
      </w:r>
      <w:proofErr w:type="spellEnd"/>
    </w:p>
    <w:p w14:paraId="373D6877" w14:textId="45576D8A"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w:t>
      </w:r>
      <w:proofErr w:type="gramStart"/>
      <w:r w:rsidRPr="00BE1D80">
        <w:t>smlouvy</w:t>
      </w:r>
      <w:r w:rsidR="00A1645D" w:rsidRPr="00BE1D80">
        <w:t xml:space="preserve"> </w:t>
      </w:r>
      <w:r w:rsidR="007429F8">
        <w:t xml:space="preserve"> </w:t>
      </w:r>
      <w:proofErr w:type="spellStart"/>
      <w:r w:rsidR="0018432B" w:rsidRPr="0018432B">
        <w:rPr>
          <w:highlight w:val="black"/>
        </w:rPr>
        <w:t>xxxxxxxxxxxxx</w:t>
      </w:r>
      <w:proofErr w:type="spellEnd"/>
      <w:proofErr w:type="gramEnd"/>
      <w:r w:rsidR="0018432B">
        <w:t>,</w:t>
      </w:r>
      <w:r w:rsidR="007429F8">
        <w:t xml:space="preserve"> </w:t>
      </w:r>
      <w:r w:rsidR="00194C7B" w:rsidRPr="008D64A8">
        <w:rPr>
          <w:highlight w:val="yellow"/>
        </w:rPr>
        <w:br/>
      </w:r>
      <w:r w:rsidR="00E513BB" w:rsidRPr="00466F45">
        <w:t>tel. č.</w:t>
      </w:r>
      <w:r w:rsidR="001C6E1C" w:rsidRPr="00466F45">
        <w:t>:</w:t>
      </w:r>
      <w:r w:rsidR="007429F8">
        <w:t xml:space="preserve"> </w:t>
      </w:r>
      <w:r w:rsidR="0018432B" w:rsidRPr="0018432B">
        <w:rPr>
          <w:highlight w:val="black"/>
        </w:rPr>
        <w:t>xxxxxxxxxxxx</w:t>
      </w:r>
      <w:r w:rsidR="007429F8" w:rsidRPr="0018432B">
        <w:rPr>
          <w:highlight w:val="black"/>
        </w:rPr>
        <w:t>9</w:t>
      </w:r>
      <w:r w:rsidR="007429F8">
        <w:t xml:space="preserve">, </w:t>
      </w:r>
      <w:r w:rsidR="00E513BB" w:rsidRPr="00466F45">
        <w:t xml:space="preserve"> </w:t>
      </w:r>
      <w:r w:rsidR="00DF0F53" w:rsidRPr="00466F45">
        <w:t>e-mail:</w:t>
      </w:r>
      <w:r w:rsidR="0018432B">
        <w:t xml:space="preserve"> </w:t>
      </w:r>
      <w:proofErr w:type="spellStart"/>
      <w:r w:rsidR="0018432B" w:rsidRPr="0018432B">
        <w:rPr>
          <w:highlight w:val="black"/>
        </w:rPr>
        <w:t>xxxxxxxxxxxxxx</w:t>
      </w:r>
      <w:proofErr w:type="spellEnd"/>
      <w:r w:rsidR="007429F8" w:rsidRPr="0018432B">
        <w:rPr>
          <w:highlight w:val="black"/>
        </w:rPr>
        <w:t>.</w:t>
      </w:r>
      <w:r w:rsidR="007429F8">
        <w:t xml:space="preserve"> </w:t>
      </w:r>
    </w:p>
    <w:p w14:paraId="7DDF331C" w14:textId="0740A3E5"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7429F8">
        <w:t>c</w:t>
      </w:r>
      <w:r w:rsidR="00245445" w:rsidRPr="00BE1D80">
        <w:t>enové nabídky z</w:t>
      </w:r>
      <w:r w:rsidR="008D64A8">
        <w:t>hotovitele ze dne</w:t>
      </w:r>
      <w:r w:rsidR="007429F8">
        <w:t xml:space="preserve"> 12.6.2020.</w:t>
      </w:r>
      <w:r w:rsidR="00466F45">
        <w:t xml:space="preserve"> </w:t>
      </w:r>
      <w:bookmarkStart w:id="2" w:name="_GoBack"/>
      <w:bookmarkEnd w:id="2"/>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13E75AB9" w14:textId="77777777" w:rsidR="008D64A8" w:rsidRPr="00BE1D80" w:rsidRDefault="008D64A8" w:rsidP="005F171F">
      <w:pPr>
        <w:pStyle w:val="Stylpravidel"/>
        <w:spacing w:before="0" w:line="240" w:lineRule="auto"/>
        <w:ind w:left="340"/>
        <w:rPr>
          <w:szCs w:val="24"/>
        </w:rPr>
      </w:pPr>
    </w:p>
    <w:p w14:paraId="3B4BC4F3" w14:textId="61B3CDAD"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1C5931" w:rsidRPr="00BE1D80">
        <w:t>…………….</w:t>
      </w:r>
    </w:p>
    <w:p w14:paraId="57548986" w14:textId="77777777" w:rsidR="00466F45" w:rsidRDefault="00466F45" w:rsidP="006910BA">
      <w:pPr>
        <w:jc w:val="both"/>
      </w:pPr>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62B0BDA6"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r w:rsidR="007429F8">
        <w:rPr>
          <w:b/>
        </w:rPr>
        <w:t>LED Montage s.r.o.</w:t>
      </w:r>
    </w:p>
    <w:p w14:paraId="2F651D0B" w14:textId="47EA0EC8" w:rsidR="00C500E2" w:rsidRPr="00BE1D80" w:rsidRDefault="00C500E2" w:rsidP="00C500E2">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945FC93" w14:textId="77777777" w:rsidR="00466F45" w:rsidRPr="00BE1D80" w:rsidRDefault="00466F45"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794771FD"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FE37F0">
        <w:tab/>
      </w:r>
      <w:r w:rsidR="007429F8">
        <w:t xml:space="preserve">       Martin Odl</w:t>
      </w:r>
    </w:p>
    <w:p w14:paraId="7DDF332F" w14:textId="16EFDB48"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7429F8">
        <w:t xml:space="preserve">            </w:t>
      </w:r>
      <w:r w:rsidR="00FE37F0">
        <w:t xml:space="preserve"> </w:t>
      </w:r>
      <w:r w:rsidR="007429F8">
        <w:t>jednatel</w:t>
      </w:r>
    </w:p>
    <w:p w14:paraId="65630E6D" w14:textId="42E2A95C"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77777777" w:rsidR="009B5A5C" w:rsidRDefault="009B5A5C"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DDB7" w14:textId="77777777" w:rsidR="00844F31" w:rsidRDefault="00844F31">
      <w:r>
        <w:separator/>
      </w:r>
    </w:p>
  </w:endnote>
  <w:endnote w:type="continuationSeparator" w:id="0">
    <w:p w14:paraId="3E62D469" w14:textId="77777777" w:rsidR="00844F31" w:rsidRDefault="00844F31">
      <w:r>
        <w:continuationSeparator/>
      </w:r>
    </w:p>
  </w:endnote>
  <w:endnote w:type="continuationNotice" w:id="1">
    <w:p w14:paraId="5067AEE0" w14:textId="77777777" w:rsidR="00844F31" w:rsidRDefault="0084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B767" w14:textId="77777777" w:rsidR="00844F31" w:rsidRDefault="00844F31">
      <w:r>
        <w:separator/>
      </w:r>
    </w:p>
  </w:footnote>
  <w:footnote w:type="continuationSeparator" w:id="0">
    <w:p w14:paraId="4E787CD8" w14:textId="77777777" w:rsidR="00844F31" w:rsidRDefault="00844F31">
      <w:r>
        <w:continuationSeparator/>
      </w:r>
    </w:p>
  </w:footnote>
  <w:footnote w:type="continuationNotice" w:id="1">
    <w:p w14:paraId="4703A4F7" w14:textId="77777777" w:rsidR="00844F31" w:rsidRDefault="00844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538E"/>
    <w:rsid w:val="00066844"/>
    <w:rsid w:val="00067970"/>
    <w:rsid w:val="0007064B"/>
    <w:rsid w:val="00073834"/>
    <w:rsid w:val="00074679"/>
    <w:rsid w:val="00076076"/>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32B"/>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F30"/>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0EFE"/>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29F8"/>
    <w:rsid w:val="0074450D"/>
    <w:rsid w:val="0074664D"/>
    <w:rsid w:val="00746F18"/>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50F84"/>
    <w:rsid w:val="00B5128E"/>
    <w:rsid w:val="00B51966"/>
    <w:rsid w:val="00B559AA"/>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92C7A"/>
    <w:rsid w:val="00FA4ED0"/>
    <w:rsid w:val="00FA54AD"/>
    <w:rsid w:val="00FA57FD"/>
    <w:rsid w:val="00FB0534"/>
    <w:rsid w:val="00FB1305"/>
    <w:rsid w:val="00FB5928"/>
    <w:rsid w:val="00FB623C"/>
    <w:rsid w:val="00FB7641"/>
    <w:rsid w:val="00FC5462"/>
    <w:rsid w:val="00FD66D6"/>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DF328E"/>
  <w15:docId w15:val="{18BD30E9-95BE-4C34-85CD-797655E1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06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8C77BFB-75B1-4E94-BBA2-1B7DFD78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20953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2020-06-27T12:25:00Z</cp:lastPrinted>
  <dcterms:created xsi:type="dcterms:W3CDTF">2020-06-30T09:46:00Z</dcterms:created>
  <dcterms:modified xsi:type="dcterms:W3CDTF">2020-06-30T09:46:00Z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