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38C62810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85B7114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070DD58D" w14:textId="77777777" w:rsidR="003B124A" w:rsidRDefault="00AD6229">
            <w:r>
              <w:rPr>
                <w:noProof/>
              </w:rPr>
              <w:drawing>
                <wp:inline distT="0" distB="0" distL="0" distR="0" wp14:anchorId="206F52A2" wp14:editId="69C1D8B5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5B480DAD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24FBBD3D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A37903" wp14:editId="36663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556EE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14:paraId="68979550" w14:textId="77777777" w:rsidR="003B124A" w:rsidRDefault="003B124A"/>
        </w:tc>
        <w:tc>
          <w:tcPr>
            <w:tcW w:w="1829" w:type="dxa"/>
            <w:gridSpan w:val="2"/>
            <w:vMerge/>
          </w:tcPr>
          <w:p w14:paraId="1A481B32" w14:textId="77777777" w:rsidR="003B124A" w:rsidRDefault="003B124A"/>
        </w:tc>
      </w:tr>
      <w:tr w:rsidR="001C1D3F" w:rsidRPr="008A1942" w14:paraId="663412AA" w14:textId="77777777" w:rsidTr="00B14188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76418EBF" w14:textId="77777777" w:rsidR="001C1D3F" w:rsidRPr="008A1942" w:rsidRDefault="001C1D3F" w:rsidP="001C1D3F">
            <w:pPr>
              <w:jc w:val="right"/>
            </w:pPr>
          </w:p>
        </w:tc>
        <w:tc>
          <w:tcPr>
            <w:tcW w:w="3235" w:type="dxa"/>
            <w:gridSpan w:val="2"/>
          </w:tcPr>
          <w:p w14:paraId="4C0E1A9D" w14:textId="77777777" w:rsidR="001C1D3F" w:rsidRPr="008A1942" w:rsidRDefault="001C1D3F" w:rsidP="001C1D3F">
            <w:pPr>
              <w:jc w:val="right"/>
            </w:pPr>
            <w:r>
              <w:rPr>
                <w:rFonts w:ascii="Calibri" w:hAnsi="Calibri" w:cs="Calibri"/>
                <w:bCs/>
                <w:sz w:val="56"/>
                <w:szCs w:val="56"/>
              </w:rPr>
              <w:t xml:space="preserve">  </w:t>
            </w:r>
            <w:r w:rsidR="00AE7368" w:rsidRPr="00AE7368">
              <w:rPr>
                <w:rFonts w:ascii="CKGinis" w:hAnsi="CKGinis" w:cs="Arial"/>
                <w:bCs/>
                <w:sz w:val="56"/>
                <w:szCs w:val="56"/>
              </w:rPr>
              <w:t>MMOPP00CW6VL</w:t>
            </w:r>
          </w:p>
        </w:tc>
        <w:tc>
          <w:tcPr>
            <w:tcW w:w="389" w:type="dxa"/>
            <w:vMerge w:val="restart"/>
            <w:vAlign w:val="center"/>
          </w:tcPr>
          <w:p w14:paraId="541FE229" w14:textId="77777777" w:rsidR="001C1D3F" w:rsidRPr="008A1942" w:rsidRDefault="001C1D3F" w:rsidP="001C1D3F">
            <w:pPr>
              <w:pStyle w:val="Nadpis1"/>
              <w:rPr>
                <w:b w:val="0"/>
                <w:bCs w:val="0"/>
              </w:rPr>
            </w:pPr>
          </w:p>
        </w:tc>
      </w:tr>
      <w:tr w:rsidR="001C1D3F" w14:paraId="612DBFA1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76BCE071" w14:textId="77777777" w:rsidR="001C1D3F" w:rsidRDefault="001C1D3F" w:rsidP="001C1D3F"/>
        </w:tc>
        <w:tc>
          <w:tcPr>
            <w:tcW w:w="3235" w:type="dxa"/>
            <w:gridSpan w:val="2"/>
            <w:vAlign w:val="center"/>
          </w:tcPr>
          <w:p w14:paraId="46FB4357" w14:textId="77777777" w:rsidR="001C1D3F" w:rsidRPr="00754241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="00AE736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AE7368" w:rsidRPr="00AE7368">
              <w:rPr>
                <w:rFonts w:ascii="Arial" w:hAnsi="Arial" w:cs="Arial"/>
                <w:bCs/>
                <w:sz w:val="20"/>
                <w:szCs w:val="20"/>
              </w:rPr>
              <w:t>MMOPP00CW6VL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305336D9" w14:textId="77777777" w:rsidR="001C1D3F" w:rsidRDefault="001C1D3F" w:rsidP="001C1D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36BFF4C" w14:textId="77777777" w:rsidR="001C1D3F" w:rsidRDefault="001C1D3F" w:rsidP="001C1D3F"/>
        </w:tc>
      </w:tr>
      <w:tr w:rsidR="001C1D3F" w14:paraId="09E2820F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331D6618" w14:textId="77777777" w:rsidR="001C1D3F" w:rsidRPr="009D4A9A" w:rsidRDefault="001C1D3F" w:rsidP="001C1D3F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1C1D3F" w14:paraId="24C655F7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51A43D09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§ 10a zákona č. 250/2000 Sb., o rozpočtových pravidlech územních rozpočtů </w:t>
            </w:r>
          </w:p>
        </w:tc>
      </w:tr>
      <w:tr w:rsidR="001C1D3F" w14:paraId="19E99FD4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67DCBA72" w14:textId="77777777" w:rsidR="001C1D3F" w:rsidRDefault="001C1D3F" w:rsidP="001C1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1C1D3F" w14:paraId="074FC94E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2A53785" w14:textId="77777777" w:rsidR="001C1D3F" w:rsidRDefault="001C1D3F" w:rsidP="001C1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1C1D3F" w14:paraId="2BEF3A51" w14:textId="77777777" w:rsidTr="009D4A9A">
        <w:trPr>
          <w:trHeight w:val="291"/>
        </w:trPr>
        <w:tc>
          <w:tcPr>
            <w:tcW w:w="9639" w:type="dxa"/>
            <w:gridSpan w:val="5"/>
          </w:tcPr>
          <w:p w14:paraId="1AEA5C9A" w14:textId="77777777" w:rsidR="001C1D3F" w:rsidRDefault="001C1D3F" w:rsidP="001C1D3F"/>
        </w:tc>
      </w:tr>
      <w:tr w:rsidR="001C1D3F" w14:paraId="33766F5D" w14:textId="77777777">
        <w:trPr>
          <w:trHeight w:val="357"/>
        </w:trPr>
        <w:tc>
          <w:tcPr>
            <w:tcW w:w="2320" w:type="dxa"/>
          </w:tcPr>
          <w:p w14:paraId="139CFC0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087CB69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1C1D3F" w14:paraId="5287DC00" w14:textId="77777777">
        <w:trPr>
          <w:trHeight w:val="357"/>
        </w:trPr>
        <w:tc>
          <w:tcPr>
            <w:tcW w:w="2320" w:type="dxa"/>
          </w:tcPr>
          <w:p w14:paraId="619B23D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17B9EB62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1C1D3F" w14:paraId="5E140C25" w14:textId="77777777">
        <w:trPr>
          <w:trHeight w:val="357"/>
        </w:trPr>
        <w:tc>
          <w:tcPr>
            <w:tcW w:w="2320" w:type="dxa"/>
          </w:tcPr>
          <w:p w14:paraId="410FDE3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8CBD0C0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1C1D3F" w14:paraId="2734F1A5" w14:textId="77777777">
        <w:trPr>
          <w:trHeight w:val="357"/>
        </w:trPr>
        <w:tc>
          <w:tcPr>
            <w:tcW w:w="2320" w:type="dxa"/>
          </w:tcPr>
          <w:p w14:paraId="4222E2B3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4F5FBF26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1C1D3F" w14:paraId="669254EE" w14:textId="77777777">
        <w:trPr>
          <w:trHeight w:val="357"/>
        </w:trPr>
        <w:tc>
          <w:tcPr>
            <w:tcW w:w="2320" w:type="dxa"/>
          </w:tcPr>
          <w:p w14:paraId="3526FC71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33AF490D" w14:textId="2F1E529D" w:rsidR="001C1D3F" w:rsidRDefault="00AA5115" w:rsidP="001C1D3F">
            <w:pPr>
              <w:rPr>
                <w:rFonts w:ascii="Arial" w:hAnsi="Arial"/>
                <w:b/>
                <w:sz w:val="20"/>
                <w:szCs w:val="20"/>
              </w:rPr>
            </w:pPr>
            <w:r w:rsidRPr="00F035B6">
              <w:rPr>
                <w:rFonts w:ascii="Arial" w:hAnsi="Arial"/>
                <w:b/>
                <w:sz w:val="20"/>
                <w:szCs w:val="20"/>
                <w:highlight w:val="black"/>
              </w:rPr>
              <w:t>XXXXXXXXXXXXXX</w:t>
            </w:r>
          </w:p>
        </w:tc>
      </w:tr>
      <w:tr w:rsidR="001C1D3F" w14:paraId="34DB6C8A" w14:textId="77777777">
        <w:trPr>
          <w:trHeight w:val="357"/>
        </w:trPr>
        <w:tc>
          <w:tcPr>
            <w:tcW w:w="2320" w:type="dxa"/>
          </w:tcPr>
          <w:p w14:paraId="16D12D2B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1BE8403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1C1D3F" w14:paraId="7EE6D7B8" w14:textId="77777777" w:rsidTr="00317B39">
        <w:trPr>
          <w:trHeight w:val="733"/>
        </w:trPr>
        <w:tc>
          <w:tcPr>
            <w:tcW w:w="2320" w:type="dxa"/>
          </w:tcPr>
          <w:p w14:paraId="60DFB0F0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093D9FB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431E3026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 sídlem 6. května 52/22, Zlatníky, 746 01 Opava</w:t>
            </w:r>
          </w:p>
          <w:p w14:paraId="782A03F5" w14:textId="5A92781C" w:rsidR="001C1D3F" w:rsidRPr="001255DA" w:rsidRDefault="001C1D3F" w:rsidP="001C1D3F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2E55BD" w:rsidRPr="00F035B6">
              <w:rPr>
                <w:rFonts w:ascii="Arial" w:hAnsi="Arial"/>
                <w:b/>
                <w:sz w:val="20"/>
                <w:szCs w:val="20"/>
                <w:highlight w:val="black"/>
              </w:rPr>
              <w:t>XXXXXXXXXXXXXXXX</w:t>
            </w:r>
            <w:r>
              <w:rPr>
                <w:rFonts w:ascii="Arial" w:hAnsi="Arial"/>
                <w:b/>
                <w:sz w:val="20"/>
                <w:szCs w:val="20"/>
              </w:rPr>
              <w:t>, starostou městské části</w:t>
            </w:r>
          </w:p>
        </w:tc>
      </w:tr>
      <w:tr w:rsidR="001C1D3F" w14:paraId="12E3281E" w14:textId="77777777">
        <w:trPr>
          <w:trHeight w:val="357"/>
        </w:trPr>
        <w:tc>
          <w:tcPr>
            <w:tcW w:w="2320" w:type="dxa"/>
          </w:tcPr>
          <w:p w14:paraId="78EEA8A6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76C8DD6A" w14:textId="77777777" w:rsidR="001C1D3F" w:rsidRPr="00F84173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1C1D3F" w14:paraId="0DBCA651" w14:textId="77777777">
        <w:trPr>
          <w:trHeight w:hRule="exact" w:val="220"/>
        </w:trPr>
        <w:tc>
          <w:tcPr>
            <w:tcW w:w="2320" w:type="dxa"/>
          </w:tcPr>
          <w:p w14:paraId="2F86BD13" w14:textId="77777777" w:rsidR="001C1D3F" w:rsidRDefault="001C1D3F" w:rsidP="001C1D3F"/>
        </w:tc>
        <w:tc>
          <w:tcPr>
            <w:tcW w:w="7319" w:type="dxa"/>
            <w:gridSpan w:val="4"/>
          </w:tcPr>
          <w:p w14:paraId="5F1041E4" w14:textId="77777777" w:rsidR="001C1D3F" w:rsidRPr="007E0CCB" w:rsidRDefault="001C1D3F" w:rsidP="001C1D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D3F" w14:paraId="0CED605C" w14:textId="77777777">
        <w:trPr>
          <w:trHeight w:val="357"/>
        </w:trPr>
        <w:tc>
          <w:tcPr>
            <w:tcW w:w="9639" w:type="dxa"/>
            <w:gridSpan w:val="5"/>
          </w:tcPr>
          <w:p w14:paraId="194526C7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1C1D3F" w14:paraId="71B56883" w14:textId="77777777">
        <w:trPr>
          <w:trHeight w:val="357"/>
        </w:trPr>
        <w:tc>
          <w:tcPr>
            <w:tcW w:w="2320" w:type="dxa"/>
          </w:tcPr>
          <w:p w14:paraId="09966884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6A34412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C1D3F" w14:paraId="0A0A404F" w14:textId="77777777">
        <w:trPr>
          <w:trHeight w:val="357"/>
        </w:trPr>
        <w:tc>
          <w:tcPr>
            <w:tcW w:w="2320" w:type="dxa"/>
          </w:tcPr>
          <w:p w14:paraId="57774B85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169916B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Římskokatolická farnost Stěbořice </w:t>
            </w:r>
          </w:p>
        </w:tc>
      </w:tr>
      <w:tr w:rsidR="001C1D3F" w14:paraId="40D33B1B" w14:textId="77777777">
        <w:trPr>
          <w:trHeight w:val="357"/>
        </w:trPr>
        <w:tc>
          <w:tcPr>
            <w:tcW w:w="2320" w:type="dxa"/>
          </w:tcPr>
          <w:p w14:paraId="4651BC8A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8BAC98E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Stěbořice 27, PSČ: 747 51 </w:t>
            </w:r>
          </w:p>
        </w:tc>
      </w:tr>
      <w:tr w:rsidR="001C1D3F" w14:paraId="666F9BB1" w14:textId="77777777" w:rsidTr="0063366F">
        <w:trPr>
          <w:trHeight w:val="357"/>
        </w:trPr>
        <w:tc>
          <w:tcPr>
            <w:tcW w:w="2320" w:type="dxa"/>
          </w:tcPr>
          <w:p w14:paraId="028F5194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4F395B47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47810556</w:t>
            </w:r>
          </w:p>
        </w:tc>
      </w:tr>
      <w:tr w:rsidR="001C1D3F" w14:paraId="531B7FF4" w14:textId="77777777">
        <w:trPr>
          <w:trHeight w:val="357"/>
        </w:trPr>
        <w:tc>
          <w:tcPr>
            <w:tcW w:w="2320" w:type="dxa"/>
          </w:tcPr>
          <w:p w14:paraId="62B4D188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4DD72E64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 rejstříku evidovaných právnických osob, č. evidence 8/1-08-215/1994 </w:t>
            </w:r>
          </w:p>
        </w:tc>
      </w:tr>
      <w:tr w:rsidR="001C1D3F" w14:paraId="6D127F63" w14:textId="77777777">
        <w:trPr>
          <w:trHeight w:val="357"/>
        </w:trPr>
        <w:tc>
          <w:tcPr>
            <w:tcW w:w="2320" w:type="dxa"/>
          </w:tcPr>
          <w:p w14:paraId="6108945F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130ED76" w14:textId="404781A4" w:rsidR="001C1D3F" w:rsidRDefault="002E55BD" w:rsidP="001C1D3F">
            <w:pPr>
              <w:rPr>
                <w:rFonts w:ascii="Arial" w:hAnsi="Arial"/>
                <w:b/>
                <w:sz w:val="20"/>
                <w:szCs w:val="20"/>
              </w:rPr>
            </w:pPr>
            <w:r w:rsidRPr="00F035B6">
              <w:rPr>
                <w:rFonts w:ascii="Arial" w:hAnsi="Arial"/>
                <w:b/>
                <w:sz w:val="20"/>
                <w:szCs w:val="20"/>
                <w:highlight w:val="black"/>
              </w:rPr>
              <w:t>XXXXXXXXXXXXXX</w:t>
            </w:r>
            <w:r w:rsidR="001C1D3F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</w:p>
        </w:tc>
      </w:tr>
      <w:tr w:rsidR="001C1D3F" w14:paraId="63874F57" w14:textId="77777777">
        <w:trPr>
          <w:trHeight w:val="357"/>
        </w:trPr>
        <w:tc>
          <w:tcPr>
            <w:tcW w:w="2320" w:type="dxa"/>
          </w:tcPr>
          <w:p w14:paraId="79ADE9A7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FE9B311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 s.</w:t>
            </w:r>
          </w:p>
        </w:tc>
      </w:tr>
      <w:tr w:rsidR="001C1D3F" w14:paraId="053D6C63" w14:textId="77777777">
        <w:trPr>
          <w:trHeight w:val="357"/>
        </w:trPr>
        <w:tc>
          <w:tcPr>
            <w:tcW w:w="2320" w:type="dxa"/>
          </w:tcPr>
          <w:p w14:paraId="58FBB756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4BB54C50" w14:textId="1F4BFA77" w:rsidR="001C1D3F" w:rsidRPr="001255DA" w:rsidRDefault="00AA5115" w:rsidP="001C1D3F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F035B6">
              <w:rPr>
                <w:rFonts w:ascii="Arial" w:hAnsi="Arial"/>
                <w:b/>
                <w:sz w:val="20"/>
                <w:szCs w:val="20"/>
                <w:highlight w:val="black"/>
              </w:rPr>
              <w:t>XXXXXXXXXXXXXX</w:t>
            </w:r>
            <w:r w:rsidR="001C1D3F">
              <w:rPr>
                <w:rFonts w:ascii="Arial" w:hAnsi="Arial"/>
                <w:b/>
                <w:sz w:val="20"/>
                <w:szCs w:val="20"/>
              </w:rPr>
              <w:t>, administrátorem</w:t>
            </w:r>
            <w:r w:rsidR="001C1D3F" w:rsidRPr="001C785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1C1D3F" w14:paraId="5B9AB078" w14:textId="77777777">
        <w:trPr>
          <w:trHeight w:val="357"/>
        </w:trPr>
        <w:tc>
          <w:tcPr>
            <w:tcW w:w="2320" w:type="dxa"/>
          </w:tcPr>
          <w:p w14:paraId="2073C4D8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145352C3" w14:textId="77777777" w:rsidR="001C1D3F" w:rsidRDefault="001C1D3F" w:rsidP="001C1D3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rkf.steborice@doo.cz</w:t>
            </w:r>
          </w:p>
        </w:tc>
      </w:tr>
      <w:tr w:rsidR="001C1D3F" w14:paraId="0E24A35F" w14:textId="77777777">
        <w:trPr>
          <w:trHeight w:hRule="exact" w:val="220"/>
        </w:trPr>
        <w:tc>
          <w:tcPr>
            <w:tcW w:w="2320" w:type="dxa"/>
          </w:tcPr>
          <w:p w14:paraId="5870DD2F" w14:textId="77777777" w:rsidR="001C1D3F" w:rsidRDefault="001C1D3F" w:rsidP="001C1D3F"/>
        </w:tc>
        <w:tc>
          <w:tcPr>
            <w:tcW w:w="7319" w:type="dxa"/>
            <w:gridSpan w:val="4"/>
          </w:tcPr>
          <w:p w14:paraId="7CE23BFF" w14:textId="77777777" w:rsidR="001C1D3F" w:rsidRDefault="001C1D3F" w:rsidP="001C1D3F"/>
        </w:tc>
      </w:tr>
      <w:tr w:rsidR="001C1D3F" w14:paraId="36659708" w14:textId="77777777">
        <w:trPr>
          <w:trHeight w:val="357"/>
        </w:trPr>
        <w:tc>
          <w:tcPr>
            <w:tcW w:w="9639" w:type="dxa"/>
            <w:gridSpan w:val="5"/>
          </w:tcPr>
          <w:p w14:paraId="2E9C1F32" w14:textId="77777777" w:rsidR="001C1D3F" w:rsidRDefault="001C1D3F" w:rsidP="001C1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dále také jen </w:t>
            </w:r>
            <w:r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725FEDE3" w14:textId="77777777" w:rsidR="003B124A" w:rsidRDefault="003B124A"/>
    <w:p w14:paraId="65361174" w14:textId="77777777" w:rsidR="003B124A" w:rsidRDefault="003B124A"/>
    <w:p w14:paraId="66486FDF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03F8AAF6" w14:textId="77777777" w:rsidR="008509EA" w:rsidRDefault="008509EA" w:rsidP="003F0DC7">
      <w:pPr>
        <w:pStyle w:val="clnek"/>
      </w:pPr>
      <w:r>
        <w:lastRenderedPageBreak/>
        <w:t>Článek II.</w:t>
      </w:r>
    </w:p>
    <w:p w14:paraId="75C356E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61E93328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4A5C6690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55D784C4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480D46F8" w14:textId="77777777" w:rsidR="008509EA" w:rsidRDefault="008509EA" w:rsidP="003F0DC7">
      <w:pPr>
        <w:pStyle w:val="lnek"/>
      </w:pPr>
      <w:r>
        <w:t>Článek III.</w:t>
      </w:r>
    </w:p>
    <w:p w14:paraId="406863EC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7FCE27AD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2D51AF9" w14:textId="77777777" w:rsidR="008509EA" w:rsidRDefault="008509EA" w:rsidP="003F0DC7">
      <w:pPr>
        <w:pStyle w:val="lnek"/>
      </w:pPr>
      <w:r>
        <w:t>Článek IV.</w:t>
      </w:r>
    </w:p>
    <w:p w14:paraId="64789780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158E990" w14:textId="77777777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902720">
        <w:rPr>
          <w:rFonts w:ascii="Arial" w:hAnsi="Arial" w:cs="Arial"/>
          <w:b/>
          <w:bCs/>
          <w:sz w:val="20"/>
          <w:szCs w:val="20"/>
        </w:rPr>
        <w:t>1</w:t>
      </w:r>
      <w:r w:rsidR="00975760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B04E78B" w14:textId="77777777" w:rsidR="008509EA" w:rsidRDefault="008509EA" w:rsidP="003F0DC7">
      <w:pPr>
        <w:pStyle w:val="lnek"/>
        <w:rPr>
          <w:b/>
        </w:rPr>
      </w:pPr>
      <w:r>
        <w:t>Článek V.</w:t>
      </w:r>
    </w:p>
    <w:p w14:paraId="16339C1D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54F8B098" w14:textId="20FFC93F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 xml:space="preserve">použít výhradně k tomuto účelu: </w:t>
      </w:r>
      <w:r w:rsidR="00975760">
        <w:rPr>
          <w:rFonts w:ascii="Arial" w:hAnsi="Arial" w:cs="Arial"/>
          <w:sz w:val="20"/>
          <w:szCs w:val="20"/>
        </w:rPr>
        <w:t xml:space="preserve">na </w:t>
      </w:r>
      <w:r w:rsidR="00FE69E4">
        <w:rPr>
          <w:rFonts w:ascii="Arial" w:hAnsi="Arial" w:cs="Arial"/>
          <w:sz w:val="20"/>
          <w:szCs w:val="20"/>
        </w:rPr>
        <w:t xml:space="preserve">restaurační práce dřevěných soch v kostele Narození Panny </w:t>
      </w:r>
      <w:commentRangeStart w:id="0"/>
      <w:r w:rsidR="00FE69E4">
        <w:rPr>
          <w:rFonts w:ascii="Arial" w:hAnsi="Arial" w:cs="Arial"/>
          <w:sz w:val="20"/>
          <w:szCs w:val="20"/>
        </w:rPr>
        <w:t>Marie</w:t>
      </w:r>
      <w:commentRangeEnd w:id="0"/>
      <w:r w:rsidR="00C514EA">
        <w:rPr>
          <w:rStyle w:val="Odkaznakoment"/>
        </w:rPr>
        <w:commentReference w:id="0"/>
      </w:r>
      <w:r w:rsidR="00DB6FF9">
        <w:rPr>
          <w:rFonts w:ascii="Arial" w:hAnsi="Arial" w:cs="Arial"/>
          <w:sz w:val="20"/>
          <w:szCs w:val="20"/>
        </w:rPr>
        <w:t xml:space="preserve"> ve Stěbořicích.</w:t>
      </w:r>
    </w:p>
    <w:p w14:paraId="639B8990" w14:textId="77777777" w:rsidR="00975760" w:rsidRDefault="00975760" w:rsidP="001B0434">
      <w:pPr>
        <w:jc w:val="both"/>
        <w:rPr>
          <w:rFonts w:ascii="Arial" w:hAnsi="Arial" w:cs="Arial"/>
          <w:sz w:val="20"/>
          <w:szCs w:val="20"/>
        </w:rPr>
      </w:pPr>
    </w:p>
    <w:p w14:paraId="60F94B0D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56C12795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4B18749E" w14:textId="77777777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C52F89">
        <w:rPr>
          <w:rFonts w:ascii="Arial" w:hAnsi="Arial" w:cs="Arial"/>
          <w:sz w:val="20"/>
          <w:szCs w:val="20"/>
        </w:rPr>
        <w:t>20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C52F89">
        <w:rPr>
          <w:rFonts w:ascii="Arial" w:hAnsi="Arial" w:cs="Arial"/>
          <w:sz w:val="20"/>
          <w:szCs w:val="20"/>
        </w:rPr>
        <w:t>20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C52F89">
        <w:rPr>
          <w:rFonts w:ascii="Arial" w:hAnsi="Arial" w:cs="Arial"/>
          <w:sz w:val="20"/>
          <w:szCs w:val="20"/>
        </w:rPr>
        <w:t>20</w:t>
      </w:r>
      <w:r w:rsidR="00006FF0">
        <w:rPr>
          <w:rFonts w:ascii="Arial" w:hAnsi="Arial" w:cs="Arial"/>
          <w:sz w:val="20"/>
          <w:szCs w:val="20"/>
        </w:rPr>
        <w:t>.</w:t>
      </w:r>
    </w:p>
    <w:p w14:paraId="043EA40C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7228213F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8905345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23D72867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1035C2F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79849B59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F489293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E2C0B4F" w14:textId="09D2C8FC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C514EA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F035B6" w:rsidRPr="00F035B6">
        <w:rPr>
          <w:rFonts w:ascii="Arial" w:hAnsi="Arial"/>
          <w:b/>
          <w:sz w:val="20"/>
          <w:szCs w:val="20"/>
          <w:highlight w:val="black"/>
        </w:rPr>
        <w:t>XXXXXXXXXXXXXX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C514EA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BAC3EC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9FAEFA1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</w:t>
      </w:r>
      <w:r w:rsidR="00C514EA">
        <w:rPr>
          <w:rFonts w:ascii="Arial" w:hAnsi="Arial" w:cs="Arial"/>
          <w:sz w:val="20"/>
          <w:szCs w:val="20"/>
        </w:rPr>
        <w:t>ánku</w:t>
      </w:r>
      <w:r>
        <w:rPr>
          <w:rFonts w:ascii="Arial" w:hAnsi="Arial" w:cs="Arial"/>
          <w:sz w:val="20"/>
          <w:szCs w:val="20"/>
        </w:rPr>
        <w:t xml:space="preserve"> V.</w:t>
      </w:r>
      <w:r w:rsidR="00C514EA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7C47C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C514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C514EA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0CC9B074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3082F8BB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2B8CE651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5C6E5C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576C76BC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7713E4CF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13DC339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49773C72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7E56B9FA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6029A07B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 xml:space="preserve">zastoupení, </w:t>
      </w:r>
    </w:p>
    <w:p w14:paraId="37FE87D8" w14:textId="77777777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nespecifikované výdaje (tj. výdaje, které nelze účetně doložit).</w:t>
      </w:r>
    </w:p>
    <w:p w14:paraId="3AAE384B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48B27262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00DAEAF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69753656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50B25FF4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6617E95B" w14:textId="77777777" w:rsidR="008B0B0F" w:rsidRDefault="008B0B0F" w:rsidP="0088493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</w:t>
      </w:r>
      <w:r w:rsidR="002F6C40">
        <w:rPr>
          <w:rFonts w:ascii="Arial" w:hAnsi="Arial" w:cs="Arial"/>
          <w:sz w:val="20"/>
          <w:szCs w:val="20"/>
        </w:rPr>
        <w:t>1</w:t>
      </w:r>
      <w:r w:rsidR="00810B6F">
        <w:rPr>
          <w:rFonts w:ascii="Arial" w:hAnsi="Arial" w:cs="Arial"/>
          <w:sz w:val="20"/>
          <w:szCs w:val="20"/>
        </w:rPr>
        <w:t xml:space="preserve">.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3E604078" w14:textId="77777777"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>
        <w:rPr>
          <w:rFonts w:ascii="Arial" w:hAnsi="Arial" w:cs="Arial"/>
          <w:sz w:val="20"/>
          <w:szCs w:val="20"/>
        </w:rPr>
        <w:t xml:space="preserve"> 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14:paraId="0D961177" w14:textId="77777777" w:rsidR="00533449" w:rsidRPr="00E2091F" w:rsidRDefault="00810B6F" w:rsidP="0053344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14:paraId="5128BBD9" w14:textId="77777777" w:rsidR="007C6EA4" w:rsidRDefault="007C6EA4" w:rsidP="003F0DC7">
      <w:pPr>
        <w:pStyle w:val="lnek"/>
      </w:pPr>
      <w:r>
        <w:t>Článek X.</w:t>
      </w:r>
    </w:p>
    <w:p w14:paraId="22BB67D3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0A8AC406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088EE0C4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6C5176B9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0C4487E7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129F3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3C1E6396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4DF53F2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36A45EAE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129F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5AD1051D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1FBE0374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uvedeném v odstavci 1.4. t</w:t>
      </w:r>
      <w:r w:rsidR="00C514EA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7972B6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C514EA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5D697D23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32F29CAE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20718772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3E65D7C9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64141CC6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2A0C133" w14:textId="77777777" w:rsidR="0033518C" w:rsidRPr="007D0795" w:rsidRDefault="00066995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14:paraId="1C20C99A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30E2C707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06FA263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599018B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19DD0B1D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5000144D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2E17B3BA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E56B3AC" w14:textId="7777777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3F37A3CD" w14:textId="77777777" w:rsidR="00C514EA" w:rsidRDefault="00E2091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C514EA">
        <w:rPr>
          <w:rFonts w:ascii="Arial" w:hAnsi="Arial" w:cs="Arial"/>
          <w:sz w:val="20"/>
          <w:szCs w:val="20"/>
        </w:rPr>
        <w:t xml:space="preserve">, a </w:t>
      </w:r>
      <w:r w:rsidR="003F372F" w:rsidRPr="00C514EA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C514EA">
        <w:rPr>
          <w:rFonts w:ascii="Arial" w:hAnsi="Arial" w:cs="Arial"/>
          <w:sz w:val="20"/>
          <w:szCs w:val="20"/>
        </w:rPr>
        <w:t xml:space="preserve">. </w:t>
      </w:r>
    </w:p>
    <w:p w14:paraId="5493D2E7" w14:textId="77777777" w:rsidR="003376A5" w:rsidRPr="00C514EA" w:rsidRDefault="003F372F" w:rsidP="00C514E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514EA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C514EA">
        <w:rPr>
          <w:rFonts w:ascii="Arial" w:hAnsi="Arial" w:cs="Arial"/>
          <w:sz w:val="20"/>
          <w:szCs w:val="20"/>
        </w:rPr>
        <w:t>o</w:t>
      </w:r>
      <w:r w:rsidRPr="00C514EA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C514EA">
        <w:rPr>
          <w:rFonts w:ascii="Arial" w:hAnsi="Arial" w:cs="Arial"/>
          <w:sz w:val="20"/>
          <w:szCs w:val="20"/>
        </w:rPr>
        <w:t xml:space="preserve"> </w:t>
      </w:r>
      <w:r w:rsidRPr="00C514EA">
        <w:rPr>
          <w:rFonts w:ascii="Arial" w:hAnsi="Arial" w:cs="Arial"/>
          <w:sz w:val="20"/>
          <w:szCs w:val="20"/>
        </w:rPr>
        <w:t>této právnické osoby</w:t>
      </w:r>
      <w:r w:rsidR="007D0795" w:rsidRPr="003129F3">
        <w:rPr>
          <w:rFonts w:ascii="Arial" w:hAnsi="Arial" w:cs="Arial"/>
          <w:sz w:val="20"/>
          <w:szCs w:val="20"/>
        </w:rPr>
        <w:t xml:space="preserve"> </w:t>
      </w:r>
      <w:r w:rsidR="003129F3">
        <w:rPr>
          <w:rFonts w:ascii="Arial" w:hAnsi="Arial" w:cs="Arial"/>
          <w:sz w:val="20"/>
          <w:szCs w:val="20"/>
        </w:rPr>
        <w:br/>
      </w:r>
      <w:r w:rsidR="007D0795" w:rsidRPr="003129F3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3129F3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3129F3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C514EA">
        <w:rPr>
          <w:rFonts w:ascii="Arial" w:hAnsi="Arial" w:cs="Arial"/>
          <w:sz w:val="20"/>
          <w:szCs w:val="20"/>
        </w:rPr>
        <w:t xml:space="preserve"> </w:t>
      </w:r>
    </w:p>
    <w:p w14:paraId="460EC32E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3129F3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3F629EB1" w14:textId="77777777" w:rsidR="008509EA" w:rsidRDefault="008509EA" w:rsidP="006A37E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6A37EF" w:rsidRPr="006A37EF">
        <w:rPr>
          <w:rFonts w:ascii="Arial" w:hAnsi="Arial" w:cs="Arial"/>
          <w:sz w:val="20"/>
          <w:szCs w:val="20"/>
        </w:rPr>
        <w:t>15.06.2020 usnesením č. 95/12/ZMČ</w:t>
      </w:r>
      <w:r w:rsidR="006A37EF">
        <w:rPr>
          <w:rFonts w:ascii="Arial" w:hAnsi="Arial" w:cs="Arial"/>
          <w:sz w:val="20"/>
          <w:szCs w:val="20"/>
        </w:rPr>
        <w:t>/</w:t>
      </w:r>
      <w:r w:rsidR="006A37EF" w:rsidRPr="006A37EF">
        <w:rPr>
          <w:rFonts w:ascii="Arial" w:hAnsi="Arial" w:cs="Arial"/>
          <w:sz w:val="20"/>
          <w:szCs w:val="20"/>
        </w:rPr>
        <w:t>20.</w:t>
      </w:r>
    </w:p>
    <w:p w14:paraId="456EC41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4566883E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0985881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62C2C4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6505D720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6E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2C1AC5DC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1A255D98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26844D70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C9B8486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537E36B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3C1C5870" w14:textId="30216E6A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 </w:t>
      </w:r>
      <w:r w:rsidR="00F035B6" w:rsidRPr="00F035B6">
        <w:rPr>
          <w:rFonts w:ascii="Arial" w:hAnsi="Arial"/>
          <w:b/>
          <w:sz w:val="20"/>
          <w:szCs w:val="20"/>
          <w:highlight w:val="black"/>
        </w:rPr>
        <w:t>XXXX</w:t>
      </w:r>
      <w:r w:rsidR="00F035B6" w:rsidRPr="00F035B6">
        <w:rPr>
          <w:rFonts w:ascii="Arial" w:hAnsi="Arial"/>
          <w:b/>
          <w:sz w:val="20"/>
          <w:szCs w:val="20"/>
          <w:highlight w:val="black"/>
        </w:rPr>
        <w:t>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D763E9" w:rsidRPr="00810EE3">
        <w:rPr>
          <w:rFonts w:ascii="Arial" w:hAnsi="Arial" w:cs="Arial"/>
          <w:sz w:val="20"/>
          <w:szCs w:val="20"/>
        </w:rPr>
        <w:tab/>
      </w:r>
      <w:r w:rsidR="005C6E5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="00F035B6" w:rsidRPr="00F035B6">
        <w:rPr>
          <w:rFonts w:ascii="Arial" w:hAnsi="Arial"/>
          <w:b/>
          <w:sz w:val="20"/>
          <w:szCs w:val="20"/>
          <w:highlight w:val="black"/>
        </w:rPr>
        <w:t>XXXXXXXXXXXXXX</w:t>
      </w:r>
    </w:p>
    <w:p w14:paraId="26798EFD" w14:textId="77777777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5C6E5C">
        <w:rPr>
          <w:rFonts w:ascii="Arial" w:hAnsi="Arial" w:cs="Arial"/>
          <w:sz w:val="20"/>
          <w:szCs w:val="20"/>
        </w:rPr>
        <w:t xml:space="preserve">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5C6E5C">
        <w:rPr>
          <w:rFonts w:ascii="Arial" w:hAnsi="Arial" w:cs="Arial"/>
          <w:sz w:val="20"/>
          <w:szCs w:val="20"/>
        </w:rPr>
        <w:t xml:space="preserve">             </w:t>
      </w:r>
      <w:r w:rsidR="00975760">
        <w:rPr>
          <w:rFonts w:ascii="Arial" w:hAnsi="Arial" w:cs="Arial"/>
          <w:sz w:val="20"/>
          <w:szCs w:val="20"/>
        </w:rPr>
        <w:t>administrátor</w:t>
      </w:r>
    </w:p>
    <w:sectPr w:rsidR="00D763E9" w:rsidRPr="003F0DC7" w:rsidSect="00AA7851">
      <w:pgSz w:w="11906" w:h="16838"/>
      <w:pgMar w:top="1135" w:right="1134" w:bottom="1276" w:left="1134" w:header="709" w:footer="60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Šperlová Lucie" w:date="2020-02-21T12:20:00Z" w:initials="ŠL">
    <w:p w14:paraId="43AB7D52" w14:textId="77777777" w:rsidR="00C514EA" w:rsidRDefault="00C514EA">
      <w:pPr>
        <w:pStyle w:val="Textkomente"/>
      </w:pPr>
      <w:r>
        <w:rPr>
          <w:rStyle w:val="Odkaznakoment"/>
        </w:rPr>
        <w:annotationRef/>
      </w:r>
      <w:r>
        <w:t xml:space="preserve">Doporučuji uvést alespoň obec, s upřesněním na část obce, kde se kostel nachází.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AB7D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AB7D52" w16cid:durableId="22923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CCE8C" w14:textId="77777777" w:rsidR="00662A13" w:rsidRDefault="00662A13">
      <w:r>
        <w:separator/>
      </w:r>
    </w:p>
  </w:endnote>
  <w:endnote w:type="continuationSeparator" w:id="0">
    <w:p w14:paraId="48860029" w14:textId="77777777" w:rsidR="00662A13" w:rsidRDefault="0066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27042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E93EFD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8D4F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A37EF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A37EF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D7AD9F3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C31E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A37EF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6A37EF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46CA30DC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3C2A0" w14:textId="77777777" w:rsidR="00662A13" w:rsidRDefault="00662A13">
      <w:r>
        <w:separator/>
      </w:r>
    </w:p>
  </w:footnote>
  <w:footnote w:type="continuationSeparator" w:id="0">
    <w:p w14:paraId="47E2EC85" w14:textId="77777777" w:rsidR="00662A13" w:rsidRDefault="0066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B"/>
    <w:rsid w:val="00003C70"/>
    <w:rsid w:val="00003DC5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7643"/>
    <w:rsid w:val="001824A0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C1D3F"/>
    <w:rsid w:val="001C7850"/>
    <w:rsid w:val="001D0A7B"/>
    <w:rsid w:val="001E2ADC"/>
    <w:rsid w:val="001F1627"/>
    <w:rsid w:val="00203200"/>
    <w:rsid w:val="00212F5E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375F"/>
    <w:rsid w:val="002E55BD"/>
    <w:rsid w:val="002E7390"/>
    <w:rsid w:val="002F03CE"/>
    <w:rsid w:val="002F0601"/>
    <w:rsid w:val="002F6C40"/>
    <w:rsid w:val="0030436D"/>
    <w:rsid w:val="00305F63"/>
    <w:rsid w:val="003067B6"/>
    <w:rsid w:val="003129F3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50CA"/>
    <w:rsid w:val="00466993"/>
    <w:rsid w:val="00467909"/>
    <w:rsid w:val="00475389"/>
    <w:rsid w:val="004754BB"/>
    <w:rsid w:val="00481998"/>
    <w:rsid w:val="00486B46"/>
    <w:rsid w:val="00486BC5"/>
    <w:rsid w:val="00487279"/>
    <w:rsid w:val="004A62F5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6E5C"/>
    <w:rsid w:val="005C73B0"/>
    <w:rsid w:val="005C7752"/>
    <w:rsid w:val="005D4932"/>
    <w:rsid w:val="005F47D7"/>
    <w:rsid w:val="005F5AF9"/>
    <w:rsid w:val="005F6091"/>
    <w:rsid w:val="005F7B05"/>
    <w:rsid w:val="00601712"/>
    <w:rsid w:val="00612396"/>
    <w:rsid w:val="00615095"/>
    <w:rsid w:val="0063202F"/>
    <w:rsid w:val="00632AA5"/>
    <w:rsid w:val="0063366F"/>
    <w:rsid w:val="00633F05"/>
    <w:rsid w:val="006411EF"/>
    <w:rsid w:val="006470BD"/>
    <w:rsid w:val="00654445"/>
    <w:rsid w:val="00660710"/>
    <w:rsid w:val="00662A13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7EF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5C6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73F2"/>
    <w:rsid w:val="008509EA"/>
    <w:rsid w:val="008548F6"/>
    <w:rsid w:val="00860F24"/>
    <w:rsid w:val="00862770"/>
    <w:rsid w:val="00874F73"/>
    <w:rsid w:val="008774BC"/>
    <w:rsid w:val="00880755"/>
    <w:rsid w:val="00881D70"/>
    <w:rsid w:val="00881FAC"/>
    <w:rsid w:val="00884931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56258"/>
    <w:rsid w:val="00962781"/>
    <w:rsid w:val="00965E0F"/>
    <w:rsid w:val="00966037"/>
    <w:rsid w:val="00970A8F"/>
    <w:rsid w:val="00975760"/>
    <w:rsid w:val="00980CFF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5587"/>
    <w:rsid w:val="00AA17E0"/>
    <w:rsid w:val="00AA5115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E7368"/>
    <w:rsid w:val="00AF31FB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2419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14EA"/>
    <w:rsid w:val="00C52F89"/>
    <w:rsid w:val="00C6269C"/>
    <w:rsid w:val="00C71A80"/>
    <w:rsid w:val="00C77DB2"/>
    <w:rsid w:val="00C80B78"/>
    <w:rsid w:val="00C81706"/>
    <w:rsid w:val="00C823E3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15FF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6289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6FF9"/>
    <w:rsid w:val="00DC05F1"/>
    <w:rsid w:val="00DC2DA8"/>
    <w:rsid w:val="00DC3512"/>
    <w:rsid w:val="00DC6A2D"/>
    <w:rsid w:val="00DD132A"/>
    <w:rsid w:val="00DD72FD"/>
    <w:rsid w:val="00DF13B3"/>
    <w:rsid w:val="00DF3E8A"/>
    <w:rsid w:val="00DF405B"/>
    <w:rsid w:val="00DF5821"/>
    <w:rsid w:val="00E026C7"/>
    <w:rsid w:val="00E06819"/>
    <w:rsid w:val="00E15E00"/>
    <w:rsid w:val="00E2091F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35B6"/>
    <w:rsid w:val="00F0537B"/>
    <w:rsid w:val="00F13227"/>
    <w:rsid w:val="00F14656"/>
    <w:rsid w:val="00F156C5"/>
    <w:rsid w:val="00F15BB8"/>
    <w:rsid w:val="00F1715D"/>
    <w:rsid w:val="00F21C20"/>
    <w:rsid w:val="00F23098"/>
    <w:rsid w:val="00F24C0A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5558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6F19C"/>
  <w15:docId w15:val="{2A568007-21FA-4445-9FB7-02941272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3CC3-A3A0-4D9C-81F4-04BBDF53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</Template>
  <TotalTime>8</TotalTime>
  <Pages>4</Pages>
  <Words>1941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2014-12-03T15:33:00Z</cp:lastPrinted>
  <dcterms:created xsi:type="dcterms:W3CDTF">2020-06-29T20:41:00Z</dcterms:created>
  <dcterms:modified xsi:type="dcterms:W3CDTF">2020-06-29T20:41:00Z</dcterms:modified>
</cp:coreProperties>
</file>