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AEA" w:rsidRDefault="00C53AEA">
      <w:pPr>
        <w:pStyle w:val="Zkladntext"/>
        <w:rPr>
          <w:rFonts w:ascii="Times New Roman"/>
          <w:sz w:val="20"/>
        </w:rPr>
      </w:pPr>
      <w:bookmarkStart w:id="0" w:name="_GoBack"/>
      <w:bookmarkEnd w:id="0"/>
    </w:p>
    <w:p w:rsidR="00C53AEA" w:rsidRDefault="00C53AEA">
      <w:pPr>
        <w:pStyle w:val="Zkladntext"/>
        <w:spacing w:before="4"/>
        <w:rPr>
          <w:rFonts w:ascii="Times New Roman"/>
          <w:sz w:val="21"/>
        </w:rPr>
      </w:pPr>
    </w:p>
    <w:p w:rsidR="00C53AEA" w:rsidRDefault="00A852F9">
      <w:pPr>
        <w:spacing w:before="52" w:line="244" w:lineRule="auto"/>
        <w:ind w:left="460" w:right="959"/>
        <w:rPr>
          <w:b/>
          <w:sz w:val="32"/>
        </w:rPr>
      </w:pPr>
      <w:r>
        <w:rPr>
          <w:b/>
          <w:sz w:val="32"/>
        </w:rPr>
        <w:t>Stanovení finančních oprav za porušení povinností stanovených ve Smlouvě, sankcionovaných v souladu s článkem VII odst. 4, nižším odvodem, než činí výše porušení rozpočtové kázně</w:t>
      </w:r>
    </w:p>
    <w:p w:rsidR="00C53AEA" w:rsidRDefault="00C53AEA">
      <w:pPr>
        <w:pStyle w:val="Zkladntext"/>
        <w:rPr>
          <w:b/>
          <w:sz w:val="32"/>
        </w:rPr>
      </w:pPr>
    </w:p>
    <w:p w:rsidR="00C53AEA" w:rsidRDefault="00C53AEA">
      <w:pPr>
        <w:pStyle w:val="Zkladntext"/>
        <w:spacing w:before="3"/>
        <w:rPr>
          <w:b/>
          <w:sz w:val="41"/>
        </w:rPr>
      </w:pPr>
    </w:p>
    <w:p w:rsidR="00C53AEA" w:rsidRDefault="00A852F9">
      <w:pPr>
        <w:pStyle w:val="Nadpis1"/>
        <w:tabs>
          <w:tab w:val="left" w:pos="5009"/>
        </w:tabs>
      </w:pPr>
      <w:r>
        <w:t>Evidenční číslo:</w:t>
      </w:r>
      <w:r>
        <w:tab/>
        <w:t>2017010007</w:t>
      </w:r>
    </w:p>
    <w:p w:rsidR="00C53AEA" w:rsidRDefault="00A852F9">
      <w:pPr>
        <w:tabs>
          <w:tab w:val="left" w:pos="5009"/>
        </w:tabs>
        <w:spacing w:before="65"/>
        <w:ind w:left="460"/>
        <w:rPr>
          <w:sz w:val="18"/>
        </w:rPr>
      </w:pPr>
      <w:r>
        <w:rPr>
          <w:sz w:val="18"/>
        </w:rPr>
        <w:t>Příjemce podpory:</w:t>
      </w:r>
      <w:r>
        <w:rPr>
          <w:sz w:val="18"/>
        </w:rPr>
        <w:tab/>
        <w:t>Město Humpolec</w:t>
      </w:r>
    </w:p>
    <w:p w:rsidR="00C53AEA" w:rsidRDefault="00C53AEA">
      <w:pPr>
        <w:pStyle w:val="Zkladntext"/>
        <w:rPr>
          <w:sz w:val="20"/>
        </w:rPr>
      </w:pPr>
    </w:p>
    <w:p w:rsidR="00C53AEA" w:rsidRDefault="00C53AEA">
      <w:pPr>
        <w:pStyle w:val="Zkladntext"/>
        <w:rPr>
          <w:sz w:val="20"/>
        </w:rPr>
      </w:pPr>
    </w:p>
    <w:p w:rsidR="00C53AEA" w:rsidRDefault="00C53AEA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1820"/>
        <w:gridCol w:w="3003"/>
        <w:gridCol w:w="3822"/>
      </w:tblGrid>
      <w:tr w:rsidR="00C53AEA">
        <w:trPr>
          <w:trHeight w:hRule="exact" w:val="336"/>
        </w:trPr>
        <w:tc>
          <w:tcPr>
            <w:tcW w:w="455" w:type="dxa"/>
          </w:tcPr>
          <w:p w:rsidR="00C53AEA" w:rsidRDefault="00A852F9">
            <w:pPr>
              <w:pStyle w:val="TableParagraph"/>
              <w:spacing w:before="44"/>
              <w:rPr>
                <w:b/>
                <w:sz w:val="18"/>
              </w:rPr>
            </w:pPr>
            <w:r>
              <w:rPr>
                <w:b/>
                <w:sz w:val="18"/>
              </w:rPr>
              <w:t>Č.</w:t>
            </w:r>
          </w:p>
        </w:tc>
        <w:tc>
          <w:tcPr>
            <w:tcW w:w="1820" w:type="dxa"/>
          </w:tcPr>
          <w:p w:rsidR="00C53AEA" w:rsidRDefault="00A852F9">
            <w:pPr>
              <w:pStyle w:val="TableParagraph"/>
              <w:spacing w:before="44"/>
              <w:rPr>
                <w:b/>
                <w:sz w:val="18"/>
              </w:rPr>
            </w:pPr>
            <w:r>
              <w:rPr>
                <w:b/>
                <w:sz w:val="18"/>
              </w:rPr>
              <w:t>Podmínka Smlouvy</w:t>
            </w:r>
          </w:p>
        </w:tc>
        <w:tc>
          <w:tcPr>
            <w:tcW w:w="3003" w:type="dxa"/>
          </w:tcPr>
          <w:p w:rsidR="00C53AEA" w:rsidRDefault="00A852F9">
            <w:pPr>
              <w:pStyle w:val="TableParagraph"/>
              <w:spacing w:before="44"/>
              <w:rPr>
                <w:b/>
                <w:sz w:val="18"/>
              </w:rPr>
            </w:pPr>
            <w:r>
              <w:rPr>
                <w:b/>
                <w:sz w:val="18"/>
              </w:rPr>
              <w:t>Popis porušení</w:t>
            </w:r>
          </w:p>
        </w:tc>
        <w:tc>
          <w:tcPr>
            <w:tcW w:w="3822" w:type="dxa"/>
          </w:tcPr>
          <w:p w:rsidR="00C53AEA" w:rsidRDefault="00A852F9">
            <w:pPr>
              <w:pStyle w:val="TableParagraph"/>
              <w:spacing w:before="44"/>
              <w:rPr>
                <w:b/>
                <w:sz w:val="18"/>
              </w:rPr>
            </w:pPr>
            <w:r>
              <w:rPr>
                <w:b/>
                <w:sz w:val="18"/>
              </w:rPr>
              <w:t>Sazba finanční opravy</w:t>
            </w:r>
          </w:p>
        </w:tc>
      </w:tr>
      <w:tr w:rsidR="00C53AEA">
        <w:trPr>
          <w:trHeight w:hRule="exact" w:val="2040"/>
        </w:trPr>
        <w:tc>
          <w:tcPr>
            <w:tcW w:w="455" w:type="dxa"/>
          </w:tcPr>
          <w:p w:rsidR="00C53AEA" w:rsidRDefault="00A852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820" w:type="dxa"/>
          </w:tcPr>
          <w:p w:rsidR="00C53AEA" w:rsidRDefault="00A852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Čl. III. odst. 4</w:t>
            </w:r>
          </w:p>
        </w:tc>
        <w:tc>
          <w:tcPr>
            <w:tcW w:w="3003" w:type="dxa"/>
          </w:tcPr>
          <w:p w:rsidR="00C53AEA" w:rsidRDefault="00A852F9">
            <w:pPr>
              <w:pStyle w:val="TableParagraph"/>
              <w:spacing w:line="247" w:lineRule="auto"/>
              <w:ind w:right="287"/>
              <w:rPr>
                <w:sz w:val="20"/>
              </w:rPr>
            </w:pPr>
            <w:r>
              <w:rPr>
                <w:sz w:val="20"/>
              </w:rPr>
              <w:t>Nedodržení termínu ukončení realizace projektu</w:t>
            </w:r>
          </w:p>
        </w:tc>
        <w:tc>
          <w:tcPr>
            <w:tcW w:w="3822" w:type="dxa"/>
          </w:tcPr>
          <w:p w:rsidR="00C53AEA" w:rsidRDefault="00A852F9">
            <w:pPr>
              <w:pStyle w:val="TableParagraph"/>
              <w:spacing w:line="247" w:lineRule="auto"/>
              <w:ind w:right="192"/>
              <w:rPr>
                <w:sz w:val="20"/>
              </w:rPr>
            </w:pPr>
            <w:r>
              <w:rPr>
                <w:sz w:val="20"/>
              </w:rPr>
              <w:t>Do 30 kalendářních dnů bez finanční opravy, v případě prodlení trvajícího 31- 90 kalendářních dnů finanční oprava 1%</w:t>
            </w:r>
          </w:p>
          <w:p w:rsidR="00C53AEA" w:rsidRDefault="00A852F9">
            <w:pPr>
              <w:pStyle w:val="TableParagraph"/>
              <w:spacing w:before="0" w:line="247" w:lineRule="auto"/>
              <w:ind w:right="39"/>
              <w:rPr>
                <w:sz w:val="20"/>
              </w:rPr>
            </w:pPr>
            <w:r>
              <w:rPr>
                <w:sz w:val="20"/>
              </w:rPr>
              <w:t>z celkové částky podpory, prodlení 91-180 kalendářních dnů finanční oprava 3%</w:t>
            </w:r>
          </w:p>
          <w:p w:rsidR="00C53AEA" w:rsidRDefault="00A852F9">
            <w:pPr>
              <w:pStyle w:val="TableParagraph"/>
              <w:spacing w:before="0" w:line="247" w:lineRule="auto"/>
              <w:ind w:right="58"/>
              <w:rPr>
                <w:sz w:val="20"/>
              </w:rPr>
            </w:pPr>
            <w:r>
              <w:rPr>
                <w:sz w:val="20"/>
              </w:rPr>
              <w:t>z celkové částky podpory, prodlení delší než 180 kalendářních dnů finanční oprava 5% z celkové částky podpory</w:t>
            </w:r>
          </w:p>
        </w:tc>
      </w:tr>
      <w:tr w:rsidR="00C53AEA">
        <w:trPr>
          <w:trHeight w:hRule="exact" w:val="3240"/>
        </w:trPr>
        <w:tc>
          <w:tcPr>
            <w:tcW w:w="455" w:type="dxa"/>
          </w:tcPr>
          <w:p w:rsidR="00C53AEA" w:rsidRDefault="00A852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820" w:type="dxa"/>
          </w:tcPr>
          <w:p w:rsidR="00C53AEA" w:rsidRDefault="00A852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Čl. III. odst. 5 a čl.</w:t>
            </w:r>
          </w:p>
          <w:p w:rsidR="00C53AEA" w:rsidRDefault="00A852F9"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V. odst. 9</w:t>
            </w:r>
          </w:p>
        </w:tc>
        <w:tc>
          <w:tcPr>
            <w:tcW w:w="3003" w:type="dxa"/>
          </w:tcPr>
          <w:p w:rsidR="00C53AEA" w:rsidRDefault="00A852F9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line="247" w:lineRule="auto"/>
              <w:ind w:right="188" w:firstLine="0"/>
              <w:rPr>
                <w:sz w:val="20"/>
              </w:rPr>
            </w:pPr>
            <w:r>
              <w:rPr>
                <w:sz w:val="20"/>
              </w:rPr>
              <w:t>Nedodržení termínu předání podkladů k závěrečnému vyhodnocení akce.</w:t>
            </w:r>
          </w:p>
          <w:p w:rsidR="00C53AEA" w:rsidRDefault="00A852F9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0" w:line="247" w:lineRule="auto"/>
              <w:ind w:right="185" w:firstLine="0"/>
              <w:rPr>
                <w:sz w:val="20"/>
              </w:rPr>
            </w:pPr>
            <w:r>
              <w:rPr>
                <w:sz w:val="20"/>
              </w:rPr>
              <w:t>Nedodržení lhůty k doplnění či opravě žádosti o platbu.</w:t>
            </w:r>
          </w:p>
        </w:tc>
        <w:tc>
          <w:tcPr>
            <w:tcW w:w="3822" w:type="dxa"/>
          </w:tcPr>
          <w:p w:rsidR="00C53AEA" w:rsidRDefault="00A852F9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line="247" w:lineRule="auto"/>
              <w:ind w:right="210" w:firstLine="0"/>
              <w:jc w:val="both"/>
              <w:rPr>
                <w:sz w:val="20"/>
              </w:rPr>
            </w:pPr>
            <w:r>
              <w:rPr>
                <w:sz w:val="20"/>
              </w:rPr>
              <w:t>Do 30 kalendářních dnů bez finanční opravy, v případě prodlení trvajícího 31- 90 kalendářních dnů finanční oprava 1%</w:t>
            </w:r>
          </w:p>
          <w:p w:rsidR="00C53AEA" w:rsidRDefault="00A852F9">
            <w:pPr>
              <w:pStyle w:val="TableParagraph"/>
              <w:spacing w:before="0" w:line="247" w:lineRule="auto"/>
              <w:ind w:right="39"/>
              <w:rPr>
                <w:sz w:val="20"/>
              </w:rPr>
            </w:pPr>
            <w:r>
              <w:rPr>
                <w:sz w:val="20"/>
              </w:rPr>
              <w:t>z celkové částky podpory, prodlení 91-180 kalendářních dnů finanční oprava 3%</w:t>
            </w:r>
          </w:p>
          <w:p w:rsidR="00C53AEA" w:rsidRDefault="00A852F9">
            <w:pPr>
              <w:pStyle w:val="TableParagraph"/>
              <w:spacing w:before="0" w:line="247" w:lineRule="auto"/>
              <w:ind w:right="58"/>
              <w:rPr>
                <w:sz w:val="20"/>
              </w:rPr>
            </w:pPr>
            <w:r>
              <w:rPr>
                <w:sz w:val="20"/>
              </w:rPr>
              <w:t>z celkové částky podpory, prodlení delší než 180 kalendářních dnů finanční oprava 5% z celkové částky podpory</w:t>
            </w:r>
          </w:p>
          <w:p w:rsidR="00C53AEA" w:rsidRDefault="00A852F9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before="0" w:line="247" w:lineRule="auto"/>
              <w:ind w:right="73" w:firstLine="0"/>
              <w:rPr>
                <w:sz w:val="20"/>
              </w:rPr>
            </w:pPr>
            <w:r>
              <w:rPr>
                <w:sz w:val="20"/>
              </w:rPr>
              <w:t>lhůta k nápravě 30 dnů od vrácení žádosti k doplnění/opravě, tj. bez</w:t>
            </w:r>
            <w:r>
              <w:rPr>
                <w:sz w:val="20"/>
              </w:rPr>
              <w:t xml:space="preserve"> finanční opravy; poté finanční oprava ve výši 0,25% z celkové částky podpory za každých započatých 30 kalendářních dnů</w:t>
            </w:r>
          </w:p>
        </w:tc>
      </w:tr>
      <w:tr w:rsidR="00C53AEA">
        <w:trPr>
          <w:trHeight w:hRule="exact" w:val="600"/>
        </w:trPr>
        <w:tc>
          <w:tcPr>
            <w:tcW w:w="455" w:type="dxa"/>
          </w:tcPr>
          <w:p w:rsidR="00C53AEA" w:rsidRDefault="00A852F9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820" w:type="dxa"/>
          </w:tcPr>
          <w:p w:rsidR="00C53AEA" w:rsidRDefault="00A852F9">
            <w:pPr>
              <w:pStyle w:val="TableParagraph"/>
              <w:spacing w:before="49" w:line="247" w:lineRule="auto"/>
              <w:ind w:right="43"/>
              <w:rPr>
                <w:sz w:val="20"/>
              </w:rPr>
            </w:pPr>
            <w:r>
              <w:rPr>
                <w:sz w:val="20"/>
              </w:rPr>
              <w:t>Čl. IV. odst. 1 písm. a)</w:t>
            </w:r>
          </w:p>
        </w:tc>
        <w:tc>
          <w:tcPr>
            <w:tcW w:w="3003" w:type="dxa"/>
          </w:tcPr>
          <w:p w:rsidR="00C53AEA" w:rsidRDefault="00A852F9">
            <w:pPr>
              <w:pStyle w:val="TableParagraph"/>
              <w:spacing w:before="49" w:line="247" w:lineRule="auto"/>
              <w:ind w:right="157"/>
              <w:rPr>
                <w:sz w:val="20"/>
              </w:rPr>
            </w:pPr>
            <w:r>
              <w:rPr>
                <w:sz w:val="20"/>
              </w:rPr>
              <w:t>Nezajištění řádného stavebního dozoru</w:t>
            </w:r>
          </w:p>
        </w:tc>
        <w:tc>
          <w:tcPr>
            <w:tcW w:w="3822" w:type="dxa"/>
          </w:tcPr>
          <w:p w:rsidR="00C53AEA" w:rsidRDefault="00A852F9">
            <w:pPr>
              <w:pStyle w:val="TableParagraph"/>
              <w:spacing w:before="49" w:line="247" w:lineRule="auto"/>
              <w:ind w:right="567"/>
              <w:rPr>
                <w:sz w:val="20"/>
              </w:rPr>
            </w:pPr>
            <w:r>
              <w:rPr>
                <w:sz w:val="20"/>
              </w:rPr>
              <w:t>Finanční oprava 5% z celkové částky podpory</w:t>
            </w:r>
          </w:p>
        </w:tc>
      </w:tr>
      <w:tr w:rsidR="00C53AEA">
        <w:trPr>
          <w:trHeight w:hRule="exact" w:val="600"/>
        </w:trPr>
        <w:tc>
          <w:tcPr>
            <w:tcW w:w="455" w:type="dxa"/>
          </w:tcPr>
          <w:p w:rsidR="00C53AEA" w:rsidRDefault="00A852F9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820" w:type="dxa"/>
          </w:tcPr>
          <w:p w:rsidR="00C53AEA" w:rsidRDefault="00A852F9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Čl. IV. odst. 1 písm.</w:t>
            </w:r>
          </w:p>
          <w:p w:rsidR="00C53AEA" w:rsidRDefault="00A852F9"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h) až k)</w:t>
            </w:r>
          </w:p>
        </w:tc>
        <w:tc>
          <w:tcPr>
            <w:tcW w:w="3003" w:type="dxa"/>
          </w:tcPr>
          <w:p w:rsidR="00C53AEA" w:rsidRDefault="00A852F9">
            <w:pPr>
              <w:pStyle w:val="TableParagraph"/>
              <w:spacing w:before="49" w:line="247" w:lineRule="auto"/>
              <w:ind w:right="303"/>
              <w:rPr>
                <w:sz w:val="20"/>
              </w:rPr>
            </w:pPr>
            <w:r>
              <w:rPr>
                <w:sz w:val="20"/>
              </w:rPr>
              <w:t>Nevedení účetnictví v souladu s ust. Smlouvy</w:t>
            </w:r>
          </w:p>
        </w:tc>
        <w:tc>
          <w:tcPr>
            <w:tcW w:w="3822" w:type="dxa"/>
          </w:tcPr>
          <w:p w:rsidR="00C53AEA" w:rsidRDefault="00A852F9">
            <w:pPr>
              <w:pStyle w:val="TableParagraph"/>
              <w:spacing w:before="49" w:line="247" w:lineRule="auto"/>
              <w:ind w:right="120"/>
              <w:rPr>
                <w:sz w:val="20"/>
              </w:rPr>
            </w:pPr>
            <w:r>
              <w:rPr>
                <w:sz w:val="20"/>
              </w:rPr>
              <w:t>Finanční oprava 0,1-25% z celkové částky podpory.</w:t>
            </w:r>
          </w:p>
        </w:tc>
      </w:tr>
      <w:tr w:rsidR="00C53AEA">
        <w:trPr>
          <w:trHeight w:hRule="exact" w:val="600"/>
        </w:trPr>
        <w:tc>
          <w:tcPr>
            <w:tcW w:w="455" w:type="dxa"/>
          </w:tcPr>
          <w:p w:rsidR="00C53AEA" w:rsidRDefault="00A852F9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820" w:type="dxa"/>
          </w:tcPr>
          <w:p w:rsidR="00C53AEA" w:rsidRDefault="00A852F9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Čl. IV. odst. 1 písm.</w:t>
            </w:r>
          </w:p>
          <w:p w:rsidR="00C53AEA" w:rsidRDefault="00A852F9"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l) a o)</w:t>
            </w:r>
          </w:p>
        </w:tc>
        <w:tc>
          <w:tcPr>
            <w:tcW w:w="3003" w:type="dxa"/>
          </w:tcPr>
          <w:p w:rsidR="00C53AEA" w:rsidRDefault="00A852F9">
            <w:pPr>
              <w:pStyle w:val="TableParagraph"/>
              <w:spacing w:before="49" w:line="247" w:lineRule="auto"/>
              <w:ind w:right="131"/>
              <w:rPr>
                <w:sz w:val="20"/>
              </w:rPr>
            </w:pPr>
            <w:r>
              <w:rPr>
                <w:sz w:val="20"/>
              </w:rPr>
              <w:t>Nesplnění povinností spojených s kontrolou</w:t>
            </w:r>
          </w:p>
        </w:tc>
        <w:tc>
          <w:tcPr>
            <w:tcW w:w="3822" w:type="dxa"/>
          </w:tcPr>
          <w:p w:rsidR="00C53AEA" w:rsidRDefault="00A852F9">
            <w:pPr>
              <w:pStyle w:val="TableParagraph"/>
              <w:spacing w:before="49" w:line="247" w:lineRule="auto"/>
              <w:ind w:right="536"/>
              <w:rPr>
                <w:sz w:val="20"/>
              </w:rPr>
            </w:pPr>
            <w:r>
              <w:rPr>
                <w:sz w:val="20"/>
              </w:rPr>
              <w:t>Finanční oprava ve výši 1% z celkové částky podpory</w:t>
            </w:r>
          </w:p>
        </w:tc>
      </w:tr>
      <w:tr w:rsidR="00C53AEA">
        <w:trPr>
          <w:trHeight w:hRule="exact" w:val="840"/>
        </w:trPr>
        <w:tc>
          <w:tcPr>
            <w:tcW w:w="455" w:type="dxa"/>
          </w:tcPr>
          <w:p w:rsidR="00C53AEA" w:rsidRDefault="00A852F9">
            <w:pPr>
              <w:pStyle w:val="TableParagraph"/>
              <w:spacing w:before="4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820" w:type="dxa"/>
          </w:tcPr>
          <w:p w:rsidR="00C53AEA" w:rsidRDefault="00A852F9">
            <w:pPr>
              <w:pStyle w:val="TableParagraph"/>
              <w:spacing w:before="49" w:line="247" w:lineRule="auto"/>
              <w:ind w:right="516"/>
              <w:rPr>
                <w:sz w:val="20"/>
              </w:rPr>
            </w:pPr>
            <w:r>
              <w:rPr>
                <w:sz w:val="20"/>
              </w:rPr>
              <w:t>Čl. IV. Odst. 1 písm. m) a n)</w:t>
            </w:r>
          </w:p>
        </w:tc>
        <w:tc>
          <w:tcPr>
            <w:tcW w:w="3003" w:type="dxa"/>
          </w:tcPr>
          <w:p w:rsidR="00C53AEA" w:rsidRDefault="00A852F9">
            <w:pPr>
              <w:pStyle w:val="TableParagraph"/>
              <w:spacing w:before="49" w:line="247" w:lineRule="auto"/>
              <w:ind w:right="214"/>
              <w:rPr>
                <w:sz w:val="20"/>
              </w:rPr>
            </w:pPr>
            <w:r>
              <w:rPr>
                <w:sz w:val="20"/>
              </w:rPr>
              <w:t>Nesplnění některé z povinností spojených s uchováváním dokumentů</w:t>
            </w:r>
          </w:p>
        </w:tc>
        <w:tc>
          <w:tcPr>
            <w:tcW w:w="3822" w:type="dxa"/>
          </w:tcPr>
          <w:p w:rsidR="00C53AEA" w:rsidRDefault="00A852F9">
            <w:pPr>
              <w:pStyle w:val="TableParagraph"/>
              <w:spacing w:before="49" w:line="247" w:lineRule="auto"/>
              <w:ind w:right="120"/>
              <w:rPr>
                <w:sz w:val="20"/>
              </w:rPr>
            </w:pPr>
            <w:r>
              <w:rPr>
                <w:sz w:val="20"/>
              </w:rPr>
              <w:t>Finanční oprava 0,1-25% z celkové částky podpory</w:t>
            </w:r>
          </w:p>
        </w:tc>
      </w:tr>
    </w:tbl>
    <w:p w:rsidR="00C53AEA" w:rsidRDefault="00C53AEA">
      <w:pPr>
        <w:spacing w:line="247" w:lineRule="auto"/>
        <w:rPr>
          <w:sz w:val="20"/>
        </w:rPr>
        <w:sectPr w:rsidR="00C53AEA">
          <w:headerReference w:type="default" r:id="rId7"/>
          <w:footerReference w:type="default" r:id="rId8"/>
          <w:type w:val="continuous"/>
          <w:pgSz w:w="11900" w:h="16840"/>
          <w:pgMar w:top="1960" w:right="860" w:bottom="1940" w:left="1000" w:header="817" w:footer="1740" w:gutter="0"/>
          <w:pgNumType w:start="1"/>
          <w:cols w:space="708"/>
        </w:sectPr>
      </w:pPr>
    </w:p>
    <w:p w:rsidR="00C53AEA" w:rsidRDefault="00C53AEA">
      <w:pPr>
        <w:pStyle w:val="Zkladntext"/>
        <w:rPr>
          <w:rFonts w:ascii="Times New Roman"/>
          <w:sz w:val="20"/>
        </w:rPr>
      </w:pPr>
    </w:p>
    <w:p w:rsidR="00C53AEA" w:rsidRDefault="00C53AEA">
      <w:pPr>
        <w:pStyle w:val="Zkladntext"/>
        <w:spacing w:before="9"/>
        <w:rPr>
          <w:rFonts w:ascii="Times New Roman"/>
          <w:sz w:val="17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1820"/>
        <w:gridCol w:w="3003"/>
        <w:gridCol w:w="3822"/>
      </w:tblGrid>
      <w:tr w:rsidR="00C53AEA">
        <w:trPr>
          <w:trHeight w:hRule="exact" w:val="1080"/>
        </w:trPr>
        <w:tc>
          <w:tcPr>
            <w:tcW w:w="455" w:type="dxa"/>
          </w:tcPr>
          <w:p w:rsidR="00C53AEA" w:rsidRDefault="00A852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820" w:type="dxa"/>
          </w:tcPr>
          <w:p w:rsidR="00C53AEA" w:rsidRDefault="00A852F9">
            <w:pPr>
              <w:pStyle w:val="TableParagraph"/>
              <w:spacing w:line="247" w:lineRule="auto"/>
              <w:ind w:right="43"/>
              <w:rPr>
                <w:sz w:val="20"/>
              </w:rPr>
            </w:pPr>
            <w:r>
              <w:rPr>
                <w:sz w:val="20"/>
              </w:rPr>
              <w:t>Čl. IV. odst. 1 písm. p)</w:t>
            </w:r>
          </w:p>
        </w:tc>
        <w:tc>
          <w:tcPr>
            <w:tcW w:w="3003" w:type="dxa"/>
          </w:tcPr>
          <w:p w:rsidR="00C53AEA" w:rsidRDefault="00A852F9">
            <w:pPr>
              <w:pStyle w:val="TableParagraph"/>
              <w:spacing w:line="247" w:lineRule="auto"/>
              <w:ind w:right="70"/>
              <w:rPr>
                <w:sz w:val="20"/>
              </w:rPr>
            </w:pPr>
            <w:r>
              <w:rPr>
                <w:sz w:val="20"/>
              </w:rPr>
              <w:t>Nesplnění povinnosti předkládat Fondu průběžné a závěrečné monitorovací zprávy projektu</w:t>
            </w:r>
          </w:p>
        </w:tc>
        <w:tc>
          <w:tcPr>
            <w:tcW w:w="3822" w:type="dxa"/>
          </w:tcPr>
          <w:p w:rsidR="00C53AEA" w:rsidRDefault="00A852F9">
            <w:pPr>
              <w:pStyle w:val="TableParagraph"/>
              <w:spacing w:line="247" w:lineRule="auto"/>
              <w:ind w:right="94"/>
              <w:rPr>
                <w:sz w:val="20"/>
              </w:rPr>
            </w:pPr>
            <w:r>
              <w:rPr>
                <w:sz w:val="20"/>
              </w:rPr>
              <w:t>Do 30 dnů bez finanční opravy, dále finanč</w:t>
            </w:r>
            <w:r>
              <w:rPr>
                <w:sz w:val="20"/>
              </w:rPr>
              <w:t>ní oprava 0,1% z celkové částky podpory za každou zprávu nedodanou ve stanoveném termínu</w:t>
            </w:r>
          </w:p>
        </w:tc>
      </w:tr>
      <w:tr w:rsidR="00C53AEA">
        <w:trPr>
          <w:trHeight w:hRule="exact" w:val="1080"/>
        </w:trPr>
        <w:tc>
          <w:tcPr>
            <w:tcW w:w="455" w:type="dxa"/>
          </w:tcPr>
          <w:p w:rsidR="00C53AEA" w:rsidRDefault="00A852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820" w:type="dxa"/>
          </w:tcPr>
          <w:p w:rsidR="00C53AEA" w:rsidRDefault="00A852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Čl. IV. odst. 1 písm.</w:t>
            </w:r>
          </w:p>
          <w:p w:rsidR="00C53AEA" w:rsidRDefault="00A852F9"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q) a r)</w:t>
            </w:r>
          </w:p>
        </w:tc>
        <w:tc>
          <w:tcPr>
            <w:tcW w:w="3003" w:type="dxa"/>
          </w:tcPr>
          <w:p w:rsidR="00C53AEA" w:rsidRDefault="00A852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Nesplnění informační povinnosti</w:t>
            </w:r>
          </w:p>
        </w:tc>
        <w:tc>
          <w:tcPr>
            <w:tcW w:w="3822" w:type="dxa"/>
          </w:tcPr>
          <w:p w:rsidR="00C53AEA" w:rsidRDefault="00A852F9">
            <w:pPr>
              <w:pStyle w:val="TableParagraph"/>
              <w:spacing w:line="247" w:lineRule="auto"/>
              <w:ind w:right="138"/>
              <w:jc w:val="both"/>
              <w:rPr>
                <w:sz w:val="20"/>
              </w:rPr>
            </w:pPr>
            <w:r>
              <w:rPr>
                <w:sz w:val="20"/>
              </w:rPr>
              <w:t>Finanční oprava 0,1-25% z celkové částky podpory s výjimkou informace o rozsahu prací (vícepráce), které bude postiženo</w:t>
            </w:r>
          </w:p>
          <w:p w:rsidR="00C53AEA" w:rsidRDefault="00A852F9">
            <w:pPr>
              <w:pStyle w:val="TableParagraph"/>
              <w:spacing w:before="0" w:line="233" w:lineRule="exact"/>
              <w:jc w:val="both"/>
              <w:rPr>
                <w:sz w:val="20"/>
              </w:rPr>
            </w:pPr>
            <w:r>
              <w:rPr>
                <w:sz w:val="20"/>
              </w:rPr>
              <w:t>v souladu čl. VIII. bodu 1.2 Smlouvy</w:t>
            </w:r>
          </w:p>
        </w:tc>
      </w:tr>
      <w:tr w:rsidR="00C53AEA">
        <w:trPr>
          <w:trHeight w:hRule="exact" w:val="1560"/>
        </w:trPr>
        <w:tc>
          <w:tcPr>
            <w:tcW w:w="455" w:type="dxa"/>
          </w:tcPr>
          <w:p w:rsidR="00C53AEA" w:rsidRDefault="00A852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820" w:type="dxa"/>
          </w:tcPr>
          <w:p w:rsidR="00C53AEA" w:rsidRDefault="00A852F9">
            <w:pPr>
              <w:pStyle w:val="TableParagraph"/>
              <w:spacing w:line="247" w:lineRule="auto"/>
              <w:ind w:right="43"/>
              <w:rPr>
                <w:sz w:val="20"/>
              </w:rPr>
            </w:pPr>
            <w:r>
              <w:rPr>
                <w:sz w:val="20"/>
              </w:rPr>
              <w:t>Čl. IV. odst. 1 písm. v)</w:t>
            </w:r>
          </w:p>
        </w:tc>
        <w:tc>
          <w:tcPr>
            <w:tcW w:w="3003" w:type="dxa"/>
          </w:tcPr>
          <w:p w:rsidR="00C53AEA" w:rsidRDefault="00A852F9">
            <w:pPr>
              <w:pStyle w:val="TableParagraph"/>
              <w:spacing w:line="247" w:lineRule="auto"/>
              <w:ind w:right="214"/>
              <w:rPr>
                <w:sz w:val="20"/>
              </w:rPr>
            </w:pPr>
            <w:r>
              <w:rPr>
                <w:sz w:val="20"/>
              </w:rPr>
              <w:t>Nesplnění některé z povinností souvisejících s propagací projektu</w:t>
            </w:r>
          </w:p>
        </w:tc>
        <w:tc>
          <w:tcPr>
            <w:tcW w:w="3822" w:type="dxa"/>
          </w:tcPr>
          <w:p w:rsidR="00C53AEA" w:rsidRDefault="00A852F9">
            <w:pPr>
              <w:pStyle w:val="TableParagraph"/>
              <w:spacing w:line="247" w:lineRule="auto"/>
              <w:ind w:right="84"/>
              <w:rPr>
                <w:sz w:val="20"/>
              </w:rPr>
            </w:pPr>
            <w:r>
              <w:rPr>
                <w:sz w:val="20"/>
              </w:rPr>
              <w:t>Finanční oprava 0,1-1,2% z celkové částky podpory ke dni udělení sankce dle Metodického pokynu pro publicitu a komunikaci Evropských strukturálních a investičních fondů v programovém období 2014 - 2020</w:t>
            </w:r>
          </w:p>
        </w:tc>
      </w:tr>
      <w:tr w:rsidR="00C53AEA">
        <w:trPr>
          <w:trHeight w:hRule="exact" w:val="840"/>
        </w:trPr>
        <w:tc>
          <w:tcPr>
            <w:tcW w:w="455" w:type="dxa"/>
          </w:tcPr>
          <w:p w:rsidR="00C53AEA" w:rsidRDefault="00A852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820" w:type="dxa"/>
          </w:tcPr>
          <w:p w:rsidR="00C53AEA" w:rsidRDefault="00A852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Čl. V odst. 23 až 25</w:t>
            </w:r>
          </w:p>
        </w:tc>
        <w:tc>
          <w:tcPr>
            <w:tcW w:w="3003" w:type="dxa"/>
          </w:tcPr>
          <w:p w:rsidR="00C53AEA" w:rsidRDefault="00A852F9">
            <w:pPr>
              <w:pStyle w:val="TableParagraph"/>
              <w:spacing w:line="247" w:lineRule="auto"/>
              <w:ind w:right="367"/>
              <w:jc w:val="both"/>
              <w:rPr>
                <w:sz w:val="20"/>
              </w:rPr>
            </w:pPr>
            <w:r>
              <w:rPr>
                <w:sz w:val="20"/>
              </w:rPr>
              <w:t>Porušení povinnosti zachovat</w:t>
            </w:r>
            <w:r>
              <w:rPr>
                <w:sz w:val="20"/>
              </w:rPr>
              <w:t xml:space="preserve"> bankovní účet, trvalý příkaz a souhlas s inkasem</w:t>
            </w:r>
          </w:p>
        </w:tc>
        <w:tc>
          <w:tcPr>
            <w:tcW w:w="3822" w:type="dxa"/>
          </w:tcPr>
          <w:p w:rsidR="00C53AEA" w:rsidRDefault="00A852F9">
            <w:pPr>
              <w:pStyle w:val="TableParagraph"/>
              <w:spacing w:line="247" w:lineRule="auto"/>
              <w:ind w:right="420"/>
              <w:rPr>
                <w:sz w:val="20"/>
              </w:rPr>
            </w:pPr>
            <w:r>
              <w:rPr>
                <w:sz w:val="20"/>
              </w:rPr>
              <w:t>Finanční oprava ve výši 15 000,- Kč za porušení kterékoliv z povinností</w:t>
            </w:r>
          </w:p>
        </w:tc>
      </w:tr>
    </w:tbl>
    <w:p w:rsidR="00A852F9" w:rsidRDefault="00A852F9"/>
    <w:sectPr w:rsidR="00A852F9">
      <w:pgSz w:w="11900" w:h="16840"/>
      <w:pgMar w:top="1960" w:right="860" w:bottom="1940" w:left="1000" w:header="817" w:footer="17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2F9" w:rsidRDefault="00A852F9">
      <w:r>
        <w:separator/>
      </w:r>
    </w:p>
  </w:endnote>
  <w:endnote w:type="continuationSeparator" w:id="0">
    <w:p w:rsidR="00A852F9" w:rsidRDefault="00A8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JohnSans Text Pro">
    <w:altName w:val="JohnSans Text Pro"/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AEA" w:rsidRDefault="001C2E02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10560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9410700</wp:posOffset>
              </wp:positionV>
              <wp:extent cx="5891530" cy="370840"/>
              <wp:effectExtent l="0" t="0" r="4445" b="63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1530" cy="370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3AEA" w:rsidRDefault="00A852F9">
                          <w:pPr>
                            <w:pStyle w:val="Zkladntext"/>
                            <w:spacing w:line="183" w:lineRule="exact"/>
                            <w:ind w:left="20"/>
                          </w:pPr>
                          <w:r>
                            <w:rPr>
                              <w:color w:val="666666"/>
                            </w:rPr>
                            <w:t>Státní fond životního prostředí ČR, sídlo: Kaplanova 1931/1, 148 00 Praha 11</w:t>
                          </w:r>
                        </w:p>
                        <w:p w:rsidR="00C53AEA" w:rsidRDefault="00A852F9">
                          <w:pPr>
                            <w:pStyle w:val="Zkladntext"/>
                            <w:spacing w:before="5" w:line="247" w:lineRule="auto"/>
                            <w:ind w:left="20"/>
                          </w:pPr>
                          <w:r>
                            <w:rPr>
                              <w:color w:val="666666"/>
                            </w:rPr>
                            <w:t xml:space="preserve">Korespondenční a kontaktní adresa: Olbrachtova 2006/9, 140 00 Praha 4, T: +420 267 994 300, F: +420 272 936 585, IČ: 00020729 </w:t>
                          </w:r>
                          <w:hyperlink r:id="rId1">
                            <w:r>
                              <w:rPr>
                                <w:color w:val="666666"/>
                              </w:rPr>
                              <w:t>www.sfzp.cz,</w:t>
                            </w:r>
                          </w:hyperlink>
                          <w:r>
                            <w:rPr>
                              <w:color w:val="66666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666666"/>
                              </w:rPr>
                              <w:t>dotazy@sfzp.cz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741pt;width:463.9pt;height:29.2pt;z-index:-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5k2rgIAAKk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" filled="f" stroked="f">
              <v:textbox inset="0,0,0,0">
                <w:txbxContent>
                  <w:p w:rsidR="00C53AEA" w:rsidRDefault="00A852F9">
                    <w:pPr>
                      <w:pStyle w:val="Zkladntext"/>
                      <w:spacing w:line="183" w:lineRule="exact"/>
                      <w:ind w:left="20"/>
                    </w:pPr>
                    <w:r>
                      <w:rPr>
                        <w:color w:val="666666"/>
                      </w:rPr>
                      <w:t>Státní fond životního prostředí ČR, sídlo: Kaplanova 1931/1, 148 00 Praha 11</w:t>
                    </w:r>
                  </w:p>
                  <w:p w:rsidR="00C53AEA" w:rsidRDefault="00A852F9">
                    <w:pPr>
                      <w:pStyle w:val="Zkladntext"/>
                      <w:spacing w:before="5" w:line="247" w:lineRule="auto"/>
                      <w:ind w:left="20"/>
                    </w:pPr>
                    <w:r>
                      <w:rPr>
                        <w:color w:val="666666"/>
                      </w:rPr>
                      <w:t xml:space="preserve">Korespondenční a kontaktní adresa: Olbrachtova 2006/9, 140 00 Praha 4, T: +420 267 994 300, F: +420 272 936 585, IČ: 00020729 </w:t>
                    </w:r>
                    <w:hyperlink r:id="rId3">
                      <w:r>
                        <w:rPr>
                          <w:color w:val="666666"/>
                        </w:rPr>
                        <w:t>www.sfzp.cz,</w:t>
                      </w:r>
                    </w:hyperlink>
                    <w:r>
                      <w:rPr>
                        <w:color w:val="666666"/>
                      </w:rPr>
                      <w:t xml:space="preserve"> </w:t>
                    </w:r>
                    <w:hyperlink r:id="rId4">
                      <w:r>
                        <w:rPr>
                          <w:color w:val="666666"/>
                        </w:rPr>
                        <w:t>dotazy@sfzp.cz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10584" behindDoc="1" locked="0" layoutInCell="1" allowOverlap="1">
              <wp:simplePos x="0" y="0"/>
              <wp:positionH relativeFrom="page">
                <wp:posOffset>6864985</wp:posOffset>
              </wp:positionH>
              <wp:positionV relativeFrom="page">
                <wp:posOffset>9852660</wp:posOffset>
              </wp:positionV>
              <wp:extent cx="107315" cy="127000"/>
              <wp:effectExtent l="0" t="381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3AEA" w:rsidRDefault="00A852F9">
                          <w:pPr>
                            <w:pStyle w:val="Zkladntext"/>
                            <w:spacing w:line="183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66666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C2E02">
                            <w:rPr>
                              <w:noProof/>
                              <w:color w:val="66666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540.55pt;margin-top:775.8pt;width:8.45pt;height:10pt;z-index:-5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" filled="f" stroked="f">
              <v:textbox inset="0,0,0,0">
                <w:txbxContent>
                  <w:p w:rsidR="00C53AEA" w:rsidRDefault="00A852F9">
                    <w:pPr>
                      <w:pStyle w:val="Zkladntext"/>
                      <w:spacing w:line="183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color w:val="66666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C2E02">
                      <w:rPr>
                        <w:noProof/>
                        <w:color w:val="66666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2F9" w:rsidRDefault="00A852F9">
      <w:r>
        <w:separator/>
      </w:r>
    </w:p>
  </w:footnote>
  <w:footnote w:type="continuationSeparator" w:id="0">
    <w:p w:rsidR="00A852F9" w:rsidRDefault="00A85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AEA" w:rsidRDefault="00A852F9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w:drawing>
        <wp:anchor distT="0" distB="0" distL="0" distR="0" simplePos="0" relativeHeight="268429511" behindDoc="1" locked="0" layoutInCell="1" allowOverlap="1">
          <wp:simplePos x="0" y="0"/>
          <wp:positionH relativeFrom="page">
            <wp:posOffset>698500</wp:posOffset>
          </wp:positionH>
          <wp:positionV relativeFrom="page">
            <wp:posOffset>518922</wp:posOffset>
          </wp:positionV>
          <wp:extent cx="2540000" cy="72567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40000" cy="7256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C10DA"/>
    <w:multiLevelType w:val="hybridMultilevel"/>
    <w:tmpl w:val="7F6011F4"/>
    <w:lvl w:ilvl="0" w:tplc="0494F6FA">
      <w:start w:val="1"/>
      <w:numFmt w:val="lowerLetter"/>
      <w:lvlText w:val="%1)"/>
      <w:lvlJc w:val="left"/>
      <w:pPr>
        <w:ind w:left="55" w:hanging="238"/>
        <w:jc w:val="left"/>
      </w:pPr>
      <w:rPr>
        <w:rFonts w:ascii="JohnSans Text Pro" w:eastAsia="JohnSans Text Pro" w:hAnsi="JohnSans Text Pro" w:cs="JohnSans Text Pro" w:hint="default"/>
        <w:w w:val="100"/>
        <w:sz w:val="20"/>
        <w:szCs w:val="20"/>
      </w:rPr>
    </w:lvl>
    <w:lvl w:ilvl="1" w:tplc="928EDFC6">
      <w:numFmt w:val="bullet"/>
      <w:lvlText w:val="•"/>
      <w:lvlJc w:val="left"/>
      <w:pPr>
        <w:ind w:left="435" w:hanging="238"/>
      </w:pPr>
      <w:rPr>
        <w:rFonts w:hint="default"/>
      </w:rPr>
    </w:lvl>
    <w:lvl w:ilvl="2" w:tplc="725216F2">
      <w:numFmt w:val="bullet"/>
      <w:lvlText w:val="•"/>
      <w:lvlJc w:val="left"/>
      <w:pPr>
        <w:ind w:left="810" w:hanging="238"/>
      </w:pPr>
      <w:rPr>
        <w:rFonts w:hint="default"/>
      </w:rPr>
    </w:lvl>
    <w:lvl w:ilvl="3" w:tplc="92CABAD6">
      <w:numFmt w:val="bullet"/>
      <w:lvlText w:val="•"/>
      <w:lvlJc w:val="left"/>
      <w:pPr>
        <w:ind w:left="1185" w:hanging="238"/>
      </w:pPr>
      <w:rPr>
        <w:rFonts w:hint="default"/>
      </w:rPr>
    </w:lvl>
    <w:lvl w:ilvl="4" w:tplc="50E2400C">
      <w:numFmt w:val="bullet"/>
      <w:lvlText w:val="•"/>
      <w:lvlJc w:val="left"/>
      <w:pPr>
        <w:ind w:left="1560" w:hanging="238"/>
      </w:pPr>
      <w:rPr>
        <w:rFonts w:hint="default"/>
      </w:rPr>
    </w:lvl>
    <w:lvl w:ilvl="5" w:tplc="8544EAA4">
      <w:numFmt w:val="bullet"/>
      <w:lvlText w:val="•"/>
      <w:lvlJc w:val="left"/>
      <w:pPr>
        <w:ind w:left="1936" w:hanging="238"/>
      </w:pPr>
      <w:rPr>
        <w:rFonts w:hint="default"/>
      </w:rPr>
    </w:lvl>
    <w:lvl w:ilvl="6" w:tplc="20B4EE12">
      <w:numFmt w:val="bullet"/>
      <w:lvlText w:val="•"/>
      <w:lvlJc w:val="left"/>
      <w:pPr>
        <w:ind w:left="2311" w:hanging="238"/>
      </w:pPr>
      <w:rPr>
        <w:rFonts w:hint="default"/>
      </w:rPr>
    </w:lvl>
    <w:lvl w:ilvl="7" w:tplc="C1D231E2">
      <w:numFmt w:val="bullet"/>
      <w:lvlText w:val="•"/>
      <w:lvlJc w:val="left"/>
      <w:pPr>
        <w:ind w:left="2686" w:hanging="238"/>
      </w:pPr>
      <w:rPr>
        <w:rFonts w:hint="default"/>
      </w:rPr>
    </w:lvl>
    <w:lvl w:ilvl="8" w:tplc="27F42694">
      <w:numFmt w:val="bullet"/>
      <w:lvlText w:val="•"/>
      <w:lvlJc w:val="left"/>
      <w:pPr>
        <w:ind w:left="3061" w:hanging="238"/>
      </w:pPr>
      <w:rPr>
        <w:rFonts w:hint="default"/>
      </w:rPr>
    </w:lvl>
  </w:abstractNum>
  <w:abstractNum w:abstractNumId="1" w15:restartNumberingAfterBreak="0">
    <w:nsid w:val="29A55505"/>
    <w:multiLevelType w:val="hybridMultilevel"/>
    <w:tmpl w:val="C1AC7C64"/>
    <w:lvl w:ilvl="0" w:tplc="73C84276">
      <w:start w:val="1"/>
      <w:numFmt w:val="lowerLetter"/>
      <w:lvlText w:val="%1)"/>
      <w:lvlJc w:val="left"/>
      <w:pPr>
        <w:ind w:left="55" w:hanging="238"/>
        <w:jc w:val="left"/>
      </w:pPr>
      <w:rPr>
        <w:rFonts w:ascii="JohnSans Text Pro" w:eastAsia="JohnSans Text Pro" w:hAnsi="JohnSans Text Pro" w:cs="JohnSans Text Pro" w:hint="default"/>
        <w:w w:val="100"/>
        <w:sz w:val="20"/>
        <w:szCs w:val="20"/>
      </w:rPr>
    </w:lvl>
    <w:lvl w:ilvl="1" w:tplc="271CA028">
      <w:numFmt w:val="bullet"/>
      <w:lvlText w:val="•"/>
      <w:lvlJc w:val="left"/>
      <w:pPr>
        <w:ind w:left="353" w:hanging="238"/>
      </w:pPr>
      <w:rPr>
        <w:rFonts w:hint="default"/>
      </w:rPr>
    </w:lvl>
    <w:lvl w:ilvl="2" w:tplc="A992DEC6">
      <w:numFmt w:val="bullet"/>
      <w:lvlText w:val="•"/>
      <w:lvlJc w:val="left"/>
      <w:pPr>
        <w:ind w:left="646" w:hanging="238"/>
      </w:pPr>
      <w:rPr>
        <w:rFonts w:hint="default"/>
      </w:rPr>
    </w:lvl>
    <w:lvl w:ilvl="3" w:tplc="0E2036D4">
      <w:numFmt w:val="bullet"/>
      <w:lvlText w:val="•"/>
      <w:lvlJc w:val="left"/>
      <w:pPr>
        <w:ind w:left="939" w:hanging="238"/>
      </w:pPr>
      <w:rPr>
        <w:rFonts w:hint="default"/>
      </w:rPr>
    </w:lvl>
    <w:lvl w:ilvl="4" w:tplc="EA0ECC4A">
      <w:numFmt w:val="bullet"/>
      <w:lvlText w:val="•"/>
      <w:lvlJc w:val="left"/>
      <w:pPr>
        <w:ind w:left="1233" w:hanging="238"/>
      </w:pPr>
      <w:rPr>
        <w:rFonts w:hint="default"/>
      </w:rPr>
    </w:lvl>
    <w:lvl w:ilvl="5" w:tplc="C1C05AAE">
      <w:numFmt w:val="bullet"/>
      <w:lvlText w:val="•"/>
      <w:lvlJc w:val="left"/>
      <w:pPr>
        <w:ind w:left="1526" w:hanging="238"/>
      </w:pPr>
      <w:rPr>
        <w:rFonts w:hint="default"/>
      </w:rPr>
    </w:lvl>
    <w:lvl w:ilvl="6" w:tplc="2B20AE34">
      <w:numFmt w:val="bullet"/>
      <w:lvlText w:val="•"/>
      <w:lvlJc w:val="left"/>
      <w:pPr>
        <w:ind w:left="1819" w:hanging="238"/>
      </w:pPr>
      <w:rPr>
        <w:rFonts w:hint="default"/>
      </w:rPr>
    </w:lvl>
    <w:lvl w:ilvl="7" w:tplc="9474991C">
      <w:numFmt w:val="bullet"/>
      <w:lvlText w:val="•"/>
      <w:lvlJc w:val="left"/>
      <w:pPr>
        <w:ind w:left="2113" w:hanging="238"/>
      </w:pPr>
      <w:rPr>
        <w:rFonts w:hint="default"/>
      </w:rPr>
    </w:lvl>
    <w:lvl w:ilvl="8" w:tplc="4334B2E8">
      <w:numFmt w:val="bullet"/>
      <w:lvlText w:val="•"/>
      <w:lvlJc w:val="left"/>
      <w:pPr>
        <w:ind w:left="2406" w:hanging="23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EA"/>
    <w:rsid w:val="001C2E02"/>
    <w:rsid w:val="00A852F9"/>
    <w:rsid w:val="00C5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803C46-C036-4A14-835F-9EE940C32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JohnSans Text Pro" w:eastAsia="JohnSans Text Pro" w:hAnsi="JohnSans Text Pro" w:cs="JohnSans Text Pro"/>
    </w:rPr>
  </w:style>
  <w:style w:type="paragraph" w:styleId="Nadpis1">
    <w:name w:val="heading 1"/>
    <w:basedOn w:val="Normln"/>
    <w:uiPriority w:val="1"/>
    <w:qFormat/>
    <w:pPr>
      <w:ind w:left="460"/>
      <w:outlineLvl w:val="0"/>
    </w:pPr>
    <w:rPr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50"/>
      <w:ind w:left="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fzp.cz/" TargetMode="External"/><Relationship Id="rId2" Type="http://schemas.openxmlformats.org/officeDocument/2006/relationships/hyperlink" Target="mailto:dotazy@sfzp.cz" TargetMode="External"/><Relationship Id="rId1" Type="http://schemas.openxmlformats.org/officeDocument/2006/relationships/hyperlink" Target="http://www.sfzp.cz/" TargetMode="External"/><Relationship Id="rId4" Type="http://schemas.openxmlformats.org/officeDocument/2006/relationships/hyperlink" Target="mailto:dotazy@sfz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Lauferova Miroslava</dc:creator>
  <cp:lastModifiedBy>Lauferova Miroslava</cp:lastModifiedBy>
  <cp:revision>2</cp:revision>
  <dcterms:created xsi:type="dcterms:W3CDTF">2020-06-26T12:39:00Z</dcterms:created>
  <dcterms:modified xsi:type="dcterms:W3CDTF">2020-06-26T12:39:00Z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LastSaved">
    <vt:filetime>2020-06-26T00:00:00Z</vt:filetime>
  </property>
</Properties>
</file>