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1F7109C" w14:textId="77777777" w:rsidR="00913971" w:rsidRPr="00913971" w:rsidRDefault="00913971" w:rsidP="00913971">
      <w:pPr>
        <w:rPr>
          <w:rFonts w:ascii="Times New Roman" w:hAnsi="Times New Roman" w:cs="Times New Roman"/>
          <w:sz w:val="24"/>
          <w:szCs w:val="24"/>
        </w:rPr>
      </w:pPr>
      <w:r w:rsidRPr="00913971">
        <w:rPr>
          <w:rFonts w:ascii="Times New Roman" w:hAnsi="Times New Roman" w:cs="Times New Roman"/>
          <w:sz w:val="24"/>
          <w:szCs w:val="24"/>
        </w:rPr>
        <w:t>Základní škola Praha-Petrovice, příspěvková organizace</w:t>
      </w:r>
    </w:p>
    <w:p w14:paraId="2E4528EF" w14:textId="77777777" w:rsidR="00913971" w:rsidRPr="00913971" w:rsidRDefault="00913971" w:rsidP="00913971">
      <w:pPr>
        <w:rPr>
          <w:rFonts w:ascii="Times New Roman" w:hAnsi="Times New Roman" w:cs="Times New Roman"/>
          <w:sz w:val="24"/>
          <w:szCs w:val="24"/>
        </w:rPr>
      </w:pPr>
      <w:r w:rsidRPr="00913971">
        <w:rPr>
          <w:rFonts w:ascii="Times New Roman" w:hAnsi="Times New Roman" w:cs="Times New Roman"/>
          <w:sz w:val="24"/>
          <w:szCs w:val="24"/>
        </w:rPr>
        <w:t>Se sídlem: Dopplerova 351, 109 00 Praha 10 - Petrovice</w:t>
      </w:r>
    </w:p>
    <w:p w14:paraId="2E4020D5" w14:textId="77777777" w:rsidR="00913971" w:rsidRPr="00913971" w:rsidRDefault="00913971" w:rsidP="00913971">
      <w:pPr>
        <w:rPr>
          <w:rFonts w:ascii="Times New Roman" w:hAnsi="Times New Roman" w:cs="Times New Roman"/>
          <w:sz w:val="24"/>
          <w:szCs w:val="24"/>
        </w:rPr>
      </w:pPr>
      <w:r w:rsidRPr="00913971">
        <w:rPr>
          <w:rFonts w:ascii="Times New Roman" w:hAnsi="Times New Roman" w:cs="Times New Roman"/>
          <w:sz w:val="24"/>
          <w:szCs w:val="24"/>
        </w:rPr>
        <w:t>IČ: 71008314</w:t>
      </w:r>
    </w:p>
    <w:p w14:paraId="2F23AD34" w14:textId="6D385435" w:rsidR="005652F3" w:rsidRPr="000D357C" w:rsidRDefault="00913971" w:rsidP="00913971">
      <w:pPr>
        <w:rPr>
          <w:rFonts w:ascii="Times New Roman" w:hAnsi="Times New Roman" w:cs="Times New Roman"/>
          <w:sz w:val="24"/>
          <w:szCs w:val="24"/>
        </w:rPr>
      </w:pPr>
      <w:r w:rsidRPr="00913971">
        <w:rPr>
          <w:rFonts w:ascii="Times New Roman" w:hAnsi="Times New Roman" w:cs="Times New Roman"/>
          <w:sz w:val="24"/>
          <w:szCs w:val="24"/>
        </w:rPr>
        <w:t>Zastoupena: Ivetou Řezníčkovou, ředitelkou školy</w:t>
      </w: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31936CAC" w:rsidR="005F7C67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</w:t>
      </w:r>
      <w:r w:rsidR="00B9754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Začleňování a podpora žáků a s odlišným mateřským jazykem</w:t>
      </w:r>
      <w:r w:rsidR="00B9754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v prioritní ose 4.2 </w:t>
      </w:r>
      <w:r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13971">
        <w:rPr>
          <w:rFonts w:ascii="Times New Roman" w:hAnsi="Times New Roman" w:cs="Times New Roman"/>
          <w:b/>
          <w:sz w:val="24"/>
          <w:szCs w:val="24"/>
        </w:rPr>
        <w:t>Vzděláváme se všichni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4E73C015" w14:textId="4D07D071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850519">
        <w:rPr>
          <w:rFonts w:ascii="Times New Roman" w:hAnsi="Times New Roman" w:cs="Times New Roman"/>
          <w:sz w:val="24"/>
          <w:szCs w:val="24"/>
        </w:rPr>
        <w:t>73.378,6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850519">
        <w:rPr>
          <w:rFonts w:ascii="Times New Roman" w:hAnsi="Times New Roman" w:cs="Times New Roman"/>
          <w:sz w:val="24"/>
          <w:szCs w:val="24"/>
        </w:rPr>
        <w:t>88.788,11</w:t>
      </w:r>
      <w:r w:rsidR="00B97542">
        <w:rPr>
          <w:rFonts w:ascii="Times New Roman" w:hAnsi="Times New Roman" w:cs="Times New Roman"/>
          <w:sz w:val="24"/>
          <w:szCs w:val="24"/>
        </w:rPr>
        <w:t xml:space="preserve"> 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3F975A19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30.5.2020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15EAD6C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27.4.2020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0519"/>
    <w:rsid w:val="00854EB3"/>
    <w:rsid w:val="008639A7"/>
    <w:rsid w:val="00873A9B"/>
    <w:rsid w:val="008A5E83"/>
    <w:rsid w:val="008C5856"/>
    <w:rsid w:val="00913971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2005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12</cp:revision>
  <cp:lastPrinted>2016-12-08T16:09:00Z</cp:lastPrinted>
  <dcterms:created xsi:type="dcterms:W3CDTF">2018-12-07T09:58:00Z</dcterms:created>
  <dcterms:modified xsi:type="dcterms:W3CDTF">2020-06-28T14:34:00Z</dcterms:modified>
</cp:coreProperties>
</file>