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rPr>
          <w:b/>
        </w:rPr>
        <w:t>Smlouva o dílo</w:t>
      </w:r>
    </w:p>
    <w:p>
      <w:pPr>
        <w:pStyle w:val="Normal"/>
        <w:spacing w:lineRule="auto" w:line="240"/>
        <w:jc w:val="both"/>
        <w:rPr/>
      </w:pPr>
      <w:r>
        <w:rPr/>
        <w:t>Tato smlouva o dílo (dále jen „smlouva“) byla uzavřena níže uvedeného dne, měsíce a roku mezi těmito smluvními stranami:</w:t>
      </w:r>
    </w:p>
    <w:p>
      <w:pPr>
        <w:pStyle w:val="Normal"/>
        <w:spacing w:lineRule="auto" w:line="240" w:before="0" w:after="143"/>
        <w:jc w:val="both"/>
        <w:rPr/>
      </w:pPr>
      <w:r>
        <w:rPr/>
        <w:t>Firma:                     Jiřina Bosáková</w:t>
      </w:r>
    </w:p>
    <w:p>
      <w:pPr>
        <w:pStyle w:val="Normal"/>
        <w:spacing w:lineRule="auto" w:line="240" w:before="0" w:after="143"/>
        <w:jc w:val="both"/>
        <w:rPr/>
      </w:pPr>
      <w:r>
        <w:rPr/>
        <w:t>IČO:                         45751846</w:t>
      </w:r>
    </w:p>
    <w:p>
      <w:pPr>
        <w:pStyle w:val="Normal"/>
        <w:spacing w:lineRule="auto" w:line="240" w:before="0" w:after="143"/>
        <w:jc w:val="both"/>
        <w:rPr/>
      </w:pPr>
      <w:r>
        <w:rPr/>
        <w:t>Sídlo:                       Praha – Nebušice, U Pohádky 367,  PSČ 164 00</w:t>
      </w:r>
    </w:p>
    <w:p>
      <w:pPr>
        <w:pStyle w:val="Normal"/>
        <w:spacing w:lineRule="auto" w:line="240" w:before="0" w:after="143"/>
        <w:jc w:val="both"/>
        <w:rPr/>
      </w:pPr>
      <w:r>
        <w:rPr/>
        <w:t>Za kterou jedná:  Jiřina Bosáková, datum narození: 15. prosince 1954</w:t>
      </w:r>
    </w:p>
    <w:p>
      <w:pPr>
        <w:pStyle w:val="Normal"/>
        <w:spacing w:lineRule="auto" w:line="240" w:before="0" w:after="143"/>
        <w:jc w:val="both"/>
        <w:rPr/>
      </w:pPr>
      <w:r>
        <w:rPr/>
        <w:t>Zapsaná v ŽR, Úřad městské části Praha 6, živnostenské oprávnění č.1, vznik oprávnění 8.7.1992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Telefon:                  220 961 432                  </w:t>
      </w:r>
    </w:p>
    <w:p>
      <w:pPr>
        <w:pStyle w:val="Normal"/>
        <w:spacing w:lineRule="auto" w:line="240" w:before="0" w:after="143"/>
        <w:jc w:val="both"/>
        <w:rPr/>
      </w:pPr>
      <w:r>
        <w:rPr/>
        <w:t>(dále jako „Zhotovitel“)</w:t>
      </w:r>
    </w:p>
    <w:p>
      <w:pPr>
        <w:pStyle w:val="Normal"/>
        <w:spacing w:lineRule="auto" w:line="240"/>
        <w:jc w:val="both"/>
        <w:rPr/>
      </w:pPr>
      <w:r>
        <w:rPr/>
        <w:t>A</w:t>
      </w:r>
    </w:p>
    <w:p>
      <w:pPr>
        <w:pStyle w:val="Normal"/>
        <w:spacing w:lineRule="auto" w:line="240" w:before="0" w:after="143"/>
        <w:jc w:val="both"/>
        <w:rPr/>
      </w:pPr>
      <w:r>
        <w:rPr/>
        <w:t>Památník Karla Čapka ve Staré Huti u Dobříše, příspěvková organizace</w:t>
      </w:r>
    </w:p>
    <w:p>
      <w:pPr>
        <w:pStyle w:val="Normal"/>
        <w:spacing w:lineRule="auto" w:line="240" w:before="0" w:after="143"/>
        <w:jc w:val="both"/>
        <w:rPr/>
      </w:pPr>
      <w:r>
        <w:rPr/>
        <w:t>IČO:                 61100757</w:t>
      </w:r>
    </w:p>
    <w:p>
      <w:pPr>
        <w:pStyle w:val="Normal"/>
        <w:spacing w:lineRule="auto" w:line="240" w:before="0" w:after="143"/>
        <w:jc w:val="both"/>
        <w:rPr/>
      </w:pPr>
      <w:r>
        <w:rPr/>
        <w:t>Sídlo:               Stará Huť 120 a 125, Stará Huť, PSČ 262 02</w:t>
      </w:r>
    </w:p>
    <w:p>
      <w:pPr>
        <w:pStyle w:val="Normal"/>
        <w:spacing w:lineRule="auto" w:line="240" w:before="0" w:after="143"/>
        <w:jc w:val="both"/>
        <w:rPr/>
      </w:pPr>
      <w:r>
        <w:rPr/>
        <w:t>Zastoupená:  Kristinou Váňovou, ředitelkou</w:t>
      </w:r>
    </w:p>
    <w:p>
      <w:pPr>
        <w:pStyle w:val="Normal"/>
        <w:spacing w:lineRule="auto" w:line="240" w:before="0" w:after="143"/>
        <w:jc w:val="both"/>
        <w:rPr/>
      </w:pPr>
      <w:r>
        <w:rPr/>
        <w:t>Telefon:          318 522 265, 739 076 581</w:t>
      </w:r>
    </w:p>
    <w:p>
      <w:pPr>
        <w:pStyle w:val="Normal"/>
        <w:spacing w:lineRule="auto" w:line="240" w:before="0" w:after="143"/>
        <w:jc w:val="both"/>
        <w:rPr/>
      </w:pPr>
      <w:r>
        <w:rPr/>
        <w:t xml:space="preserve">E-mail:            </w:t>
      </w:r>
      <w:hyperlink r:id="rId2">
        <w:r>
          <w:rPr>
            <w:rStyle w:val="Internetovodkaz"/>
          </w:rPr>
          <w:t>památník.vanova@tiscali.cz</w:t>
        </w:r>
      </w:hyperlink>
    </w:p>
    <w:p>
      <w:pPr>
        <w:pStyle w:val="Normal"/>
        <w:spacing w:lineRule="auto" w:line="240" w:before="0" w:after="143"/>
        <w:jc w:val="both"/>
        <w:rPr/>
      </w:pPr>
      <w:r>
        <w:rPr/>
        <w:t>(dále jako „Objednatel“)</w:t>
      </w:r>
    </w:p>
    <w:p>
      <w:pPr>
        <w:pStyle w:val="Normal"/>
        <w:spacing w:lineRule="auto" w:line="240"/>
        <w:jc w:val="both"/>
        <w:rPr/>
      </w:pPr>
      <w:r>
        <w:rPr/>
        <w:t>(Zhotovitel a Objednatel dále též společně jako „Smluvní strany“ a každý jednotlivě jako „Smluvní strana)</w:t>
      </w:r>
    </w:p>
    <w:p>
      <w:pPr>
        <w:pStyle w:val="Normal"/>
        <w:spacing w:lineRule="auto" w:line="240"/>
        <w:jc w:val="both"/>
        <w:rPr/>
      </w:pPr>
      <w:r>
        <w:rPr/>
        <w:t>SMLUVNÍ STRANY UJEDNÁVAJÍ NÁSLEDUJÍCÍ:</w:t>
      </w:r>
    </w:p>
    <w:p>
      <w:pPr>
        <w:pStyle w:val="Normal"/>
        <w:spacing w:lineRule="auto" w:line="240"/>
        <w:jc w:val="both"/>
        <w:rPr/>
      </w:pPr>
      <w:r>
        <w:rPr/>
        <w:t>1 Definice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V této smlouvě „Dílo“ znamená vytvoření výtvarně prostorové koncepce a výtvarné řešení nové expozice K. Čapka ve vstupních prostorách a 1.patře (expozice „Život a dílo Karla Čapka“)Památníku Karla Čapka, č.p.125 ve Staré Huti u Dobříše,  zahrnující veškerý materiál potřebný pro zhotovení „Díla“ a dopravy na místo.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Předmět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se zavazuje provést pro Objednatele Dílo a Objednatel se zavazuje Dílo převzít a zaplatit za něj Zhotoviteli Cenu, a to vše za podmínek uvedených v této smlouvě.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Zhotovení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Zhotoviteli bude jakákoliv část zadání Díla nejasná, má Zhotovitel právo informovat se u Objednatele, resp. vyžádat si od Objednatele upřesňující informace a Objednatel má povinnost poskytnout Zhotoviteli součinnost, a to bez zbytečného odkladu.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předčasného ukončení plnění Zhotovitele (tj. jen částečného Díla) podle této Smlouvy má Zhotovitel právo na uhrazení části odměny za provedení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Cena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b/>
          <w:b/>
        </w:rPr>
      </w:pPr>
      <w:r>
        <w:rPr/>
        <w:t xml:space="preserve">Objednatel se zavazuje zaplatit Zhotoviteli za Dílo částku celkem </w:t>
      </w:r>
      <w:r>
        <w:rPr>
          <w:b/>
        </w:rPr>
        <w:t>Kč 165.300,--</w:t>
      </w:r>
      <w:r>
        <w:rPr/>
        <w:t xml:space="preserve"> (jednostošedesátpěttisíctřistakorun českých) (dále jako „Cena“). Zhotovitel i objednatel </w:t>
      </w:r>
      <w:r>
        <w:rPr>
          <w:b/>
        </w:rPr>
        <w:t>nejsou plátci DPH.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je pevná a neměnná.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Platební podmínky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má být zaplacena jednorázově po dokončení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Objednatel se zavazuje zaplatit Cenu nebo jakoukoliv její část bankovním převodem na bankovní účet Zhotovitele č.ú. </w:t>
      </w:r>
      <w:r>
        <w:rPr>
          <w:b/>
        </w:rPr>
        <w:t>2800255166/2010</w:t>
      </w:r>
      <w:r>
        <w:rPr/>
        <w:t xml:space="preserve"> vedený u Fio banky a.s.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Cena Díla je splatná k datu splatnosti uvedenému na faktuře vydané Zhotovitelem po dokončení Díla nebo jeho části.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Předání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má povinnost předvést Objednateli způsobilost Díla sloužit svému účelu.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Dílo je provedeno jeho předvedením a předáním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provést Dílo ve lhůtě do 30.12.2016.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ujednávají, že způsob předání Díla určuje Objednatel.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Vady Díla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zodpovídá za vady, které má Dílo v době jeho předání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je povinen Dílo při předání náležitě zkontrolovat a vytknout Zhotoviteli případné zjevné vady Díla a neučiní-li tak, platí, že Dílo nemá žádné zjevné vady.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je povinen vady Díla odstranit ve lhůtě 5 dní od doručení oznámení o vytknutí vad Díla.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Neodstraní-li Zhotovitel vady Díla v uvedené lhůtě, má Objednatel právo vytknuté vady Díla odstranit sám nebo prostřednictvím třetí osoby na náklady Zhotovitele a Zhotovitel se zavazuje tyto náklady Objednateli uhradit.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Záruka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tímto poskytuje záruku za jakost Díla v délce 24 měsíců od předání Díla Objednateli.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Zhotovitel poskytuje záruku na celé dílo.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 xml:space="preserve">Odpovědnost za škodu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Zhotovitel plně odpovídá Objednateli za jakoukoliv škodu způsobenou Zhotovitelem Objednateli jakýmkoliv porušením povinnosti Zhotovitele uvedené v této Smlouvě. 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Přechod nebezpečí škody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Nebezpečí škody na Díle přechází ze Zhotovitele na Objednatele momentem dokončení Díla.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Odstoupení od Smlouvy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Objednatel má právo od této Smlouvy odstoupit v případě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je v prodlení s provedením Díla delším než 5 dní.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Zhotovitel vstoupí do likvidace nebo bude na jeho majetek prohlášen soudem konkurz, nebo bude zamítnut návrh na vyhlášení konkurzu pro nedostatek majetku, nebo zanikne bez likvidace a/nebo bude soudem prohlášen úpadek Zhotovitele a/nebo Zhotovitel vstoupí do insolvence.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 xml:space="preserve"> </w:t>
      </w:r>
      <w:r>
        <w:rPr/>
        <w:t>Zhotovitel má právo od této smlouvy odstoupit v případě, že:</w:t>
      </w:r>
    </w:p>
    <w:p>
      <w:pPr>
        <w:pStyle w:val="ListParagraph"/>
        <w:numPr>
          <w:ilvl w:val="2"/>
          <w:numId w:val="1"/>
        </w:numPr>
        <w:spacing w:lineRule="auto" w:line="240"/>
        <w:jc w:val="both"/>
        <w:rPr/>
      </w:pPr>
      <w:r>
        <w:rPr/>
        <w:t>Objednatel je v prodlení se zaplacením Ceny nebo její části delším než 5 dní.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Kterákoliv smluvní strana má právo odstoupit od této Smlouvy i z kteréhokoliv zákonného důvodu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Odstoupení je účinné doručením písemného oznámení o odstoupení druhé Smluvní straně.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 odstoupení jsou Smluvní strany povinny vrátit si vzájemně poskytnutá plnění.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Smluvní pokuta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případě, že se Objednatel dostane do prodlení se zaplacením Ceny nebo její části podle článku 5 této Smlouvy, zavazuje se zaplatit Zhotoviteli smluvní pokutu ve výši 0,05 % z dlužné částky za každý den prodlení až do úplného zaplacení příslušné částky.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/>
        <w:t>V případě, že se Zhotovitel dostane do prodlení s předáním Díla podle odst.6.3 této Smlouvy, zavazuje se Objednateli poskytnout slevu z Ceny ve výši 0,05 % z Ceny za každý den prodlení až do předání Díla.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Rozhodné právo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se řídí právním řádem České republiky, zejména ust. 2586 a násl. zák. č. 89/2012 Sb., občanský zákoník, ve znění pozdějších předpisů.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/>
        <w:t>Závěrečná ustanovení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V této Smlouvě, pokud z kontextu nevyplývá jinak, zahrnuje význam slova v jednotném čísle rovněž význam daného slova v množném čísle a naopak, význam slova vyjadřujícího určitý rod zahrnuje rovněž ostatní rody. Nadpisy jsou uváděny pouze pro přehlednost a nemají vliv na výklad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představuje úplné ujednání mezi Smluvními stranami ve vztahu k předmětu této Smlouvy a nahrazuje veškerá předchozí ujednání ohledně předmětu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může být změněna písemnými dodatky podepsanými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je vyhotovena ve 2 stejnopisech. Každá Smluvní strana obdrží 1 stejnopis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Každá ze Smluvních stran nese své vlastní náklady vzniklé v důsledku uzavírání této Smlouvy.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Tato Smlouva nabývá platnosti a účinnosti v okamžiku jejího podpisu všemi Smluvními stranami.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/>
        <w:t>Smluvní strany si tuto Smlouvu přečetly, souhlasí s jejím obsahem a prohlašují, že je ujednána svobodně.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Na důkaz čehož Smluvní strany připojují své podpisy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Zhotovitele v  Praze dne 20. 12. 2016                podpis jednatele</w:t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</w:r>
    </w:p>
    <w:p>
      <w:pPr>
        <w:pStyle w:val="ListParagraph"/>
        <w:spacing w:lineRule="auto" w:line="240"/>
        <w:ind w:left="360" w:hanging="0"/>
        <w:jc w:val="both"/>
        <w:rPr/>
      </w:pPr>
      <w:r>
        <w:rPr/>
        <w:t>Za Objednatele ve Staré Huti dne 20. 12. 2016       podpis oprávněné osoby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1311265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Název"/>
    </w:sdtPr>
    <w:sdtContent>
      <w:p>
        <w:pPr>
          <w:pStyle w:val="Zhlav"/>
          <w:tabs>
            <w:tab w:val="left" w:pos="2580" w:leader="none"/>
            <w:tab w:val="left" w:pos="2985" w:leader="none"/>
            <w:tab w:val="center" w:pos="4536" w:leader="none"/>
            <w:tab w:val="right" w:pos="9072" w:leader="none"/>
          </w:tabs>
          <w:spacing w:lineRule="auto" w:line="276" w:before="0" w:after="120"/>
          <w:jc w:val="right"/>
          <w:rPr>
            <w:b/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6611007572016</w:t>
        </w:r>
      </w:p>
    </w:sdtContent>
  </w:sdt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78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8034d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b65ba1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b65ba1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65ba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a1162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b65b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b65b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65b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m&#225;tn&#237;k.vanova@tiscali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29E7C3AA0A4FE3961AB658EB43A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AA842-5F2F-4999-9DA6-9E785E6409DF}"/>
      </w:docPartPr>
      <w:docPartBody>
        <w:p w:rsidR="00000000" w:rsidRDefault="005A1CF6" w:rsidP="005A1CF6">
          <w:pPr>
            <w:pStyle w:val="EF29E7C3AA0A4FE3961AB658EB43A78F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1CF6"/>
    <w:rsid w:val="000B0CEF"/>
    <w:rsid w:val="005A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F29E7C3AA0A4FE3961AB658EB43A78F">
    <w:name w:val="EF29E7C3AA0A4FE3961AB658EB43A78F"/>
    <w:rsid w:val="005A1CF6"/>
  </w:style>
  <w:style w:type="paragraph" w:customStyle="1" w:styleId="A313523F79204E6486159D2DD3147F53">
    <w:name w:val="A313523F79204E6486159D2DD3147F53"/>
    <w:rsid w:val="005A1CF6"/>
  </w:style>
  <w:style w:type="paragraph" w:customStyle="1" w:styleId="1457545446404890A611A76B9CBD4A4C">
    <w:name w:val="1457545446404890A611A76B9CBD4A4C"/>
    <w:rsid w:val="005A1C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E163-71F5-4651-9074-CFD0A27B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LibreOffice/5.2.4.2$Windows_X86_64 LibreOffice_project/3d5603e1122f0f102b62521720ab13a38a4e0eb0</Application>
  <Pages>3</Pages>
  <Words>1044</Words>
  <Characters>5954</Characters>
  <CharactersWithSpaces>7047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2017-01-18T14:00:00Z</dcterms:created>
  <dc:creator>OEM</dc:creator>
  <dc:description/>
  <dc:language>cs-CZ</dc:language>
  <cp:lastModifiedBy/>
  <dcterms:modified xsi:type="dcterms:W3CDTF">2017-01-31T11:37:37Z</dcterms:modified>
  <cp:revision>9</cp:revision>
  <dc:subject/>
  <dc:title>6611007572016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