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4FEF" w:rsidRPr="005F3A2B" w:rsidRDefault="00AF4FEF">
      <w:pPr>
        <w:jc w:val="center"/>
        <w:rPr>
          <w:b/>
          <w:smallCaps/>
          <w:sz w:val="36"/>
        </w:rPr>
      </w:pPr>
      <w:r w:rsidRPr="005F3A2B">
        <w:rPr>
          <w:b/>
          <w:smallCaps/>
          <w:sz w:val="36"/>
        </w:rPr>
        <w:t xml:space="preserve">  Komisionářská smlouva</w:t>
      </w:r>
    </w:p>
    <w:p w:rsidR="00AF4FEF" w:rsidRPr="005F3A2B" w:rsidRDefault="00AF4FEF" w:rsidP="00894393">
      <w:pPr>
        <w:jc w:val="center"/>
        <w:rPr>
          <w:sz w:val="28"/>
        </w:rPr>
      </w:pPr>
      <w:r w:rsidRPr="005F3A2B">
        <w:rPr>
          <w:sz w:val="28"/>
        </w:rPr>
        <w:t xml:space="preserve">č. </w:t>
      </w:r>
      <w:r w:rsidR="00733F4C">
        <w:rPr>
          <w:sz w:val="28"/>
        </w:rPr>
        <w:t>2016/</w:t>
      </w:r>
      <w:r w:rsidR="00AB050A">
        <w:rPr>
          <w:sz w:val="28"/>
        </w:rPr>
        <w:t>1029</w:t>
      </w:r>
    </w:p>
    <w:p w:rsidR="00711A41" w:rsidRDefault="00711A41" w:rsidP="00711A41">
      <w:pPr>
        <w:pStyle w:val="Odstavecseseznamem"/>
        <w:tabs>
          <w:tab w:val="left" w:pos="3686"/>
        </w:tabs>
        <w:snapToGrid w:val="0"/>
        <w:ind w:left="3686" w:hanging="3686"/>
        <w:jc w:val="left"/>
        <w:rPr>
          <w:b/>
          <w:sz w:val="28"/>
        </w:rPr>
      </w:pPr>
    </w:p>
    <w:p w:rsidR="00C051AF" w:rsidRDefault="00C051AF" w:rsidP="00711A41">
      <w:pPr>
        <w:pStyle w:val="Odstavecseseznamem"/>
        <w:tabs>
          <w:tab w:val="left" w:pos="3686"/>
        </w:tabs>
        <w:snapToGrid w:val="0"/>
        <w:ind w:left="3686" w:hanging="3686"/>
        <w:jc w:val="left"/>
        <w:rPr>
          <w:b/>
          <w:sz w:val="28"/>
        </w:rPr>
      </w:pPr>
    </w:p>
    <w:p w:rsidR="00C051AF" w:rsidRDefault="00C051AF" w:rsidP="00711A41">
      <w:pPr>
        <w:pStyle w:val="Odstavecseseznamem"/>
        <w:tabs>
          <w:tab w:val="left" w:pos="3686"/>
        </w:tabs>
        <w:snapToGrid w:val="0"/>
        <w:ind w:left="3686" w:hanging="3686"/>
        <w:jc w:val="left"/>
        <w:rPr>
          <w:b/>
          <w:sz w:val="28"/>
        </w:rPr>
      </w:pPr>
    </w:p>
    <w:p w:rsidR="00711A41" w:rsidRPr="00711A41" w:rsidRDefault="00711A41" w:rsidP="00711A41">
      <w:pPr>
        <w:pStyle w:val="Odstavecseseznamem"/>
        <w:tabs>
          <w:tab w:val="left" w:pos="3686"/>
        </w:tabs>
        <w:snapToGrid w:val="0"/>
        <w:ind w:left="3686" w:hanging="3686"/>
        <w:jc w:val="left"/>
        <w:rPr>
          <w:sz w:val="22"/>
        </w:rPr>
      </w:pPr>
      <w:r w:rsidRPr="00711A41">
        <w:rPr>
          <w:b/>
          <w:sz w:val="28"/>
        </w:rPr>
        <w:t>Česká pošta, s.p.</w:t>
      </w:r>
      <w:r w:rsidRPr="00711A41">
        <w:rPr>
          <w:sz w:val="22"/>
        </w:rPr>
        <w:tab/>
      </w:r>
    </w:p>
    <w:p w:rsidR="00711A41" w:rsidRPr="00711A41" w:rsidRDefault="00711A41" w:rsidP="00711A41">
      <w:pPr>
        <w:pStyle w:val="Odstavecseseznamem"/>
        <w:tabs>
          <w:tab w:val="left" w:pos="3686"/>
        </w:tabs>
        <w:snapToGrid w:val="0"/>
        <w:ind w:left="3686" w:hanging="3686"/>
        <w:jc w:val="left"/>
        <w:rPr>
          <w:sz w:val="22"/>
        </w:rPr>
      </w:pPr>
      <w:r w:rsidRPr="00711A41">
        <w:rPr>
          <w:sz w:val="22"/>
        </w:rPr>
        <w:t>se sídlem:</w:t>
      </w:r>
      <w:r w:rsidRPr="00711A41">
        <w:rPr>
          <w:sz w:val="22"/>
        </w:rPr>
        <w:tab/>
        <w:t>Politických vězňů 909/4, 225 99, Praha 1</w:t>
      </w:r>
    </w:p>
    <w:p w:rsidR="00711A41" w:rsidRPr="00711A41" w:rsidRDefault="00711A41" w:rsidP="00711A41">
      <w:pPr>
        <w:pStyle w:val="Odstavecseseznamem"/>
        <w:tabs>
          <w:tab w:val="left" w:pos="3686"/>
        </w:tabs>
        <w:snapToGrid w:val="0"/>
        <w:ind w:left="3686" w:hanging="3686"/>
        <w:jc w:val="left"/>
        <w:rPr>
          <w:sz w:val="22"/>
        </w:rPr>
      </w:pPr>
      <w:r w:rsidRPr="00711A41">
        <w:rPr>
          <w:sz w:val="22"/>
        </w:rPr>
        <w:t>IČO:</w:t>
      </w:r>
      <w:r w:rsidRPr="00711A41">
        <w:rPr>
          <w:sz w:val="22"/>
        </w:rPr>
        <w:tab/>
        <w:t>47114983</w:t>
      </w:r>
    </w:p>
    <w:p w:rsidR="00711A41" w:rsidRPr="00711A41" w:rsidRDefault="00711A41" w:rsidP="00711A41">
      <w:pPr>
        <w:pStyle w:val="Odstavecseseznamem"/>
        <w:tabs>
          <w:tab w:val="left" w:pos="3686"/>
        </w:tabs>
        <w:snapToGrid w:val="0"/>
        <w:ind w:left="3686" w:hanging="3686"/>
        <w:jc w:val="left"/>
        <w:rPr>
          <w:sz w:val="22"/>
        </w:rPr>
      </w:pPr>
      <w:r w:rsidRPr="00711A41">
        <w:rPr>
          <w:sz w:val="22"/>
        </w:rPr>
        <w:t>DIČ:</w:t>
      </w:r>
      <w:r w:rsidRPr="00711A41">
        <w:rPr>
          <w:sz w:val="22"/>
        </w:rPr>
        <w:tab/>
        <w:t>CZ47114983</w:t>
      </w:r>
    </w:p>
    <w:p w:rsidR="00711A41" w:rsidRPr="00711A41" w:rsidRDefault="00711A41" w:rsidP="00711A41">
      <w:pPr>
        <w:pStyle w:val="Odstavecseseznamem"/>
        <w:tabs>
          <w:tab w:val="left" w:pos="3686"/>
        </w:tabs>
        <w:snapToGrid w:val="0"/>
        <w:ind w:left="3686" w:hanging="3686"/>
        <w:jc w:val="left"/>
        <w:rPr>
          <w:sz w:val="22"/>
        </w:rPr>
      </w:pPr>
      <w:r w:rsidRPr="00711A41">
        <w:rPr>
          <w:sz w:val="22"/>
        </w:rPr>
        <w:t xml:space="preserve">zastoupen:   </w:t>
      </w:r>
      <w:r w:rsidRPr="00711A41">
        <w:rPr>
          <w:sz w:val="22"/>
        </w:rPr>
        <w:tab/>
      </w:r>
      <w:r w:rsidR="00A53D8F">
        <w:rPr>
          <w:sz w:val="22"/>
        </w:rPr>
        <w:t>Ing. Andreou Pospíšilovou, vedoucí odboru poštovní a ostatní služby</w:t>
      </w:r>
    </w:p>
    <w:p w:rsidR="00711A41" w:rsidRPr="00711A41" w:rsidRDefault="00711A41" w:rsidP="00711A41">
      <w:pPr>
        <w:pStyle w:val="Odstavecseseznamem"/>
        <w:tabs>
          <w:tab w:val="left" w:pos="3686"/>
        </w:tabs>
        <w:snapToGrid w:val="0"/>
        <w:ind w:left="3686" w:hanging="3686"/>
        <w:jc w:val="left"/>
        <w:rPr>
          <w:rStyle w:val="platne1"/>
          <w:sz w:val="22"/>
        </w:rPr>
      </w:pPr>
      <w:r w:rsidRPr="00711A41">
        <w:rPr>
          <w:sz w:val="22"/>
        </w:rPr>
        <w:t>zapsán v obchodním rejstříku</w:t>
      </w:r>
      <w:r w:rsidRPr="00711A41">
        <w:rPr>
          <w:sz w:val="22"/>
        </w:rPr>
        <w:tab/>
        <w:t>Městského soudu v Praze</w:t>
      </w:r>
      <w:r w:rsidRPr="00711A41">
        <w:rPr>
          <w:rStyle w:val="platne1"/>
          <w:sz w:val="22"/>
        </w:rPr>
        <w:t>, oddíl A, vložka 7565</w:t>
      </w:r>
    </w:p>
    <w:p w:rsidR="00711A41" w:rsidRPr="00711A41" w:rsidRDefault="00711A41" w:rsidP="00711A41">
      <w:pPr>
        <w:pStyle w:val="Odstavecseseznamem"/>
        <w:tabs>
          <w:tab w:val="left" w:pos="3686"/>
        </w:tabs>
        <w:snapToGrid w:val="0"/>
        <w:ind w:left="3686" w:hanging="3686"/>
        <w:rPr>
          <w:sz w:val="22"/>
        </w:rPr>
      </w:pPr>
      <w:r w:rsidRPr="00711A41">
        <w:rPr>
          <w:sz w:val="22"/>
        </w:rPr>
        <w:t>bankovní spojení:</w:t>
      </w:r>
      <w:r w:rsidRPr="00711A41">
        <w:rPr>
          <w:sz w:val="22"/>
        </w:rPr>
        <w:tab/>
      </w:r>
      <w:r w:rsidR="0081739D">
        <w:rPr>
          <w:sz w:val="22"/>
        </w:rPr>
        <w:t>xxx</w:t>
      </w:r>
      <w:r w:rsidRPr="00711A41">
        <w:rPr>
          <w:sz w:val="22"/>
        </w:rPr>
        <w:t xml:space="preserve"> </w:t>
      </w:r>
    </w:p>
    <w:p w:rsidR="00711A41" w:rsidRDefault="00711A41" w:rsidP="00711A41">
      <w:pPr>
        <w:pStyle w:val="Odstavecseseznamem"/>
        <w:tabs>
          <w:tab w:val="left" w:pos="3686"/>
        </w:tabs>
        <w:ind w:left="3686" w:hanging="3686"/>
        <w:jc w:val="left"/>
        <w:rPr>
          <w:sz w:val="22"/>
        </w:rPr>
      </w:pPr>
      <w:r>
        <w:rPr>
          <w:sz w:val="22"/>
        </w:rPr>
        <w:tab/>
      </w:r>
      <w:r w:rsidR="0081739D">
        <w:rPr>
          <w:sz w:val="22"/>
        </w:rPr>
        <w:t>xxx</w:t>
      </w:r>
      <w:bookmarkStart w:id="0" w:name="_GoBack"/>
      <w:bookmarkEnd w:id="0"/>
    </w:p>
    <w:p w:rsidR="0016401A" w:rsidRDefault="0016401A" w:rsidP="00711A41">
      <w:pPr>
        <w:pStyle w:val="Odstavecseseznamem"/>
        <w:tabs>
          <w:tab w:val="left" w:pos="3686"/>
        </w:tabs>
        <w:ind w:left="3686" w:hanging="3686"/>
        <w:jc w:val="left"/>
      </w:pPr>
    </w:p>
    <w:p w:rsidR="00AF4FEF" w:rsidRDefault="00711A41" w:rsidP="00711A41">
      <w:pPr>
        <w:tabs>
          <w:tab w:val="left" w:pos="3686"/>
        </w:tabs>
        <w:ind w:left="3686" w:hanging="3686"/>
        <w:rPr>
          <w:sz w:val="22"/>
        </w:rPr>
      </w:pPr>
      <w:r>
        <w:rPr>
          <w:sz w:val="22"/>
        </w:rPr>
        <w:t>dále jako „ Komisionář“</w:t>
      </w:r>
    </w:p>
    <w:p w:rsidR="00711A41" w:rsidRDefault="00711A41">
      <w:pPr>
        <w:rPr>
          <w:sz w:val="22"/>
        </w:rPr>
      </w:pPr>
    </w:p>
    <w:p w:rsidR="00AF4FEF" w:rsidRDefault="00AF4FEF">
      <w:pPr>
        <w:rPr>
          <w:sz w:val="22"/>
        </w:rPr>
      </w:pPr>
      <w:r>
        <w:rPr>
          <w:sz w:val="22"/>
        </w:rPr>
        <w:t>a</w:t>
      </w:r>
      <w:r>
        <w:rPr>
          <w:sz w:val="22"/>
        </w:rPr>
        <w:tab/>
      </w:r>
      <w:r>
        <w:rPr>
          <w:sz w:val="22"/>
        </w:rPr>
        <w:tab/>
      </w:r>
      <w:r>
        <w:rPr>
          <w:sz w:val="22"/>
        </w:rPr>
        <w:tab/>
      </w:r>
    </w:p>
    <w:p w:rsidR="00711A41" w:rsidRPr="00E51AC6" w:rsidRDefault="00711A41" w:rsidP="00CB4C23">
      <w:pPr>
        <w:tabs>
          <w:tab w:val="left" w:pos="3035"/>
          <w:tab w:val="left" w:pos="3686"/>
        </w:tabs>
        <w:ind w:left="3686" w:hanging="3686"/>
        <w:jc w:val="center"/>
        <w:rPr>
          <w:sz w:val="22"/>
          <w:szCs w:val="22"/>
        </w:rPr>
      </w:pPr>
    </w:p>
    <w:p w:rsidR="00AF4FEF" w:rsidRDefault="00AF4FEF" w:rsidP="00711A41">
      <w:pPr>
        <w:tabs>
          <w:tab w:val="left" w:pos="3686"/>
        </w:tabs>
        <w:ind w:left="3686" w:hanging="3686"/>
        <w:rPr>
          <w:b/>
          <w:color w:val="FF0000"/>
          <w:sz w:val="24"/>
        </w:rPr>
      </w:pPr>
    </w:p>
    <w:p w:rsidR="00711A41" w:rsidRPr="00746A53" w:rsidRDefault="006561DD" w:rsidP="00711A41">
      <w:pPr>
        <w:tabs>
          <w:tab w:val="left" w:pos="3686"/>
        </w:tabs>
        <w:ind w:left="3686" w:hanging="3686"/>
        <w:rPr>
          <w:sz w:val="24"/>
        </w:rPr>
      </w:pPr>
      <w:r>
        <w:rPr>
          <w:b/>
          <w:bCs/>
          <w:sz w:val="28"/>
          <w:szCs w:val="28"/>
        </w:rPr>
        <w:t>XXX</w:t>
      </w:r>
    </w:p>
    <w:p w:rsidR="00711A41" w:rsidRPr="00E51AC6" w:rsidRDefault="00711A41" w:rsidP="00A53D8F">
      <w:pPr>
        <w:tabs>
          <w:tab w:val="center" w:pos="4535"/>
        </w:tabs>
        <w:spacing w:after="120"/>
        <w:ind w:left="3686" w:hanging="3686"/>
        <w:rPr>
          <w:sz w:val="22"/>
          <w:szCs w:val="22"/>
        </w:rPr>
      </w:pPr>
      <w:r>
        <w:rPr>
          <w:sz w:val="22"/>
          <w:szCs w:val="22"/>
        </w:rPr>
        <w:t>podnikatel se sídlem</w:t>
      </w:r>
      <w:r w:rsidRPr="00E51AC6">
        <w:rPr>
          <w:sz w:val="22"/>
          <w:szCs w:val="22"/>
        </w:rPr>
        <w:t>:</w:t>
      </w:r>
      <w:r w:rsidR="00A53D8F">
        <w:rPr>
          <w:sz w:val="22"/>
          <w:szCs w:val="22"/>
        </w:rPr>
        <w:tab/>
      </w:r>
      <w:r w:rsidR="006561DD">
        <w:rPr>
          <w:sz w:val="22"/>
          <w:szCs w:val="22"/>
        </w:rPr>
        <w:t>xxx</w:t>
      </w:r>
    </w:p>
    <w:p w:rsidR="00711A41" w:rsidRPr="00E51AC6" w:rsidRDefault="00711A41" w:rsidP="00711A41">
      <w:pPr>
        <w:tabs>
          <w:tab w:val="left" w:pos="3686"/>
        </w:tabs>
        <w:spacing w:after="120"/>
        <w:ind w:left="3686" w:hanging="3686"/>
        <w:rPr>
          <w:sz w:val="22"/>
          <w:szCs w:val="22"/>
        </w:rPr>
      </w:pPr>
      <w:r w:rsidRPr="00E51AC6">
        <w:rPr>
          <w:sz w:val="22"/>
          <w:szCs w:val="22"/>
        </w:rPr>
        <w:t>IČ</w:t>
      </w:r>
      <w:r>
        <w:rPr>
          <w:sz w:val="22"/>
          <w:szCs w:val="22"/>
        </w:rPr>
        <w:t>O</w:t>
      </w:r>
      <w:r w:rsidRPr="00E51AC6">
        <w:rPr>
          <w:sz w:val="22"/>
          <w:szCs w:val="22"/>
        </w:rPr>
        <w:t>:</w:t>
      </w:r>
      <w:r w:rsidR="00555A9B">
        <w:rPr>
          <w:sz w:val="22"/>
          <w:szCs w:val="22"/>
        </w:rPr>
        <w:t xml:space="preserve">                          </w:t>
      </w:r>
      <w:r w:rsidR="0016401A">
        <w:rPr>
          <w:sz w:val="22"/>
          <w:szCs w:val="22"/>
        </w:rPr>
        <w:tab/>
      </w:r>
      <w:r w:rsidR="006561DD">
        <w:rPr>
          <w:sz w:val="22"/>
          <w:szCs w:val="22"/>
        </w:rPr>
        <w:t>xxx</w:t>
      </w:r>
      <w:r w:rsidR="0016401A">
        <w:rPr>
          <w:sz w:val="22"/>
          <w:szCs w:val="22"/>
        </w:rPr>
        <w:tab/>
      </w:r>
    </w:p>
    <w:p w:rsidR="00711A41" w:rsidRPr="00E51AC6" w:rsidRDefault="00711A41" w:rsidP="0016401A">
      <w:pPr>
        <w:tabs>
          <w:tab w:val="left" w:pos="3686"/>
        </w:tabs>
        <w:spacing w:after="120"/>
        <w:ind w:left="3686" w:hanging="3686"/>
        <w:rPr>
          <w:sz w:val="22"/>
          <w:szCs w:val="22"/>
        </w:rPr>
      </w:pPr>
      <w:r w:rsidRPr="00E51AC6">
        <w:rPr>
          <w:sz w:val="22"/>
          <w:szCs w:val="22"/>
        </w:rPr>
        <w:t>DIČ:</w:t>
      </w:r>
      <w:r w:rsidR="0016401A">
        <w:rPr>
          <w:sz w:val="22"/>
          <w:szCs w:val="22"/>
        </w:rPr>
        <w:tab/>
      </w:r>
      <w:r w:rsidR="006561DD">
        <w:rPr>
          <w:sz w:val="22"/>
          <w:szCs w:val="22"/>
        </w:rPr>
        <w:t>xxx</w:t>
      </w:r>
    </w:p>
    <w:p w:rsidR="00711A41" w:rsidRDefault="00711A41" w:rsidP="00711A41">
      <w:pPr>
        <w:tabs>
          <w:tab w:val="left" w:pos="3686"/>
        </w:tabs>
        <w:spacing w:after="120"/>
        <w:ind w:left="3686" w:hanging="3686"/>
        <w:rPr>
          <w:sz w:val="22"/>
          <w:szCs w:val="22"/>
        </w:rPr>
      </w:pPr>
      <w:r w:rsidRPr="00E51AC6">
        <w:rPr>
          <w:sz w:val="22"/>
          <w:szCs w:val="22"/>
        </w:rPr>
        <w:t>bankovní spojení:</w:t>
      </w:r>
      <w:r w:rsidR="0016401A">
        <w:rPr>
          <w:sz w:val="22"/>
          <w:szCs w:val="22"/>
        </w:rPr>
        <w:tab/>
      </w:r>
      <w:r w:rsidR="006561DD">
        <w:rPr>
          <w:sz w:val="22"/>
          <w:szCs w:val="22"/>
        </w:rPr>
        <w:t>xxx</w:t>
      </w:r>
    </w:p>
    <w:p w:rsidR="0016401A" w:rsidRPr="00E51AC6" w:rsidRDefault="0016401A" w:rsidP="00711A41">
      <w:pPr>
        <w:tabs>
          <w:tab w:val="left" w:pos="3686"/>
        </w:tabs>
        <w:spacing w:after="120"/>
        <w:ind w:left="3686" w:hanging="3686"/>
        <w:rPr>
          <w:sz w:val="22"/>
          <w:szCs w:val="22"/>
        </w:rPr>
      </w:pPr>
      <w:r>
        <w:rPr>
          <w:sz w:val="22"/>
          <w:szCs w:val="22"/>
        </w:rPr>
        <w:tab/>
      </w:r>
      <w:r w:rsidR="006561DD">
        <w:rPr>
          <w:sz w:val="22"/>
          <w:szCs w:val="22"/>
        </w:rPr>
        <w:t>xxx</w:t>
      </w:r>
    </w:p>
    <w:p w:rsidR="00711A41" w:rsidRPr="00E51AC6" w:rsidRDefault="00711A41" w:rsidP="00711A41">
      <w:pPr>
        <w:tabs>
          <w:tab w:val="left" w:pos="3686"/>
        </w:tabs>
        <w:ind w:left="3686" w:hanging="3686"/>
        <w:rPr>
          <w:sz w:val="22"/>
          <w:szCs w:val="22"/>
        </w:rPr>
      </w:pPr>
    </w:p>
    <w:p w:rsidR="00AF4FEF" w:rsidRPr="00DE0BA1" w:rsidRDefault="00AF4FEF" w:rsidP="00711A41">
      <w:pPr>
        <w:tabs>
          <w:tab w:val="left" w:pos="3686"/>
        </w:tabs>
        <w:ind w:left="3686" w:hanging="3686"/>
        <w:rPr>
          <w:sz w:val="22"/>
          <w:szCs w:val="22"/>
        </w:rPr>
      </w:pPr>
      <w:r>
        <w:rPr>
          <w:sz w:val="22"/>
          <w:szCs w:val="22"/>
        </w:rPr>
        <w:t xml:space="preserve">dále </w:t>
      </w:r>
      <w:r w:rsidRPr="00DE0BA1">
        <w:rPr>
          <w:sz w:val="22"/>
          <w:szCs w:val="22"/>
        </w:rPr>
        <w:t>jako „</w:t>
      </w:r>
      <w:r>
        <w:rPr>
          <w:sz w:val="22"/>
          <w:szCs w:val="22"/>
        </w:rPr>
        <w:t>Komitent“</w:t>
      </w:r>
    </w:p>
    <w:p w:rsidR="00AF4FEF" w:rsidRDefault="00AF4FEF">
      <w:pPr>
        <w:rPr>
          <w:sz w:val="22"/>
        </w:rPr>
      </w:pPr>
    </w:p>
    <w:p w:rsidR="00AF4FEF" w:rsidRDefault="00AF4FEF">
      <w:pPr>
        <w:rPr>
          <w:sz w:val="22"/>
        </w:rPr>
      </w:pPr>
      <w:r>
        <w:rPr>
          <w:sz w:val="22"/>
        </w:rPr>
        <w:t>dále jednotlivě jako „Smluvní strana“, nebo společně jako „Smluvní strany“ uzavírají v souladu s ustanovením § 2455 a násl. zákona č. 89/2012 Sb., občanský zákoník, ve znění pozdějších předpisů (dále jen „Občanský zákoník“) tuto Komisionářskou smlouvu (dále jen „Smlouva“).</w:t>
      </w:r>
    </w:p>
    <w:p w:rsidR="00A53D8F" w:rsidRDefault="00A53D8F">
      <w:pPr>
        <w:rPr>
          <w:sz w:val="22"/>
        </w:rPr>
      </w:pPr>
    </w:p>
    <w:p w:rsidR="00A53D8F" w:rsidRDefault="00A53D8F">
      <w:pPr>
        <w:rPr>
          <w:sz w:val="22"/>
        </w:rPr>
      </w:pPr>
    </w:p>
    <w:p w:rsidR="00A53D8F" w:rsidRDefault="00A53D8F">
      <w:pPr>
        <w:rPr>
          <w:sz w:val="22"/>
        </w:rPr>
      </w:pPr>
    </w:p>
    <w:p w:rsidR="00A53D8F" w:rsidRDefault="00A53D8F">
      <w:pPr>
        <w:rPr>
          <w:sz w:val="22"/>
        </w:rPr>
      </w:pPr>
    </w:p>
    <w:p w:rsidR="00A53D8F" w:rsidRDefault="00A53D8F">
      <w:pPr>
        <w:rPr>
          <w:sz w:val="22"/>
        </w:rPr>
      </w:pPr>
    </w:p>
    <w:p w:rsidR="00A53D8F" w:rsidRDefault="00A53D8F">
      <w:pPr>
        <w:rPr>
          <w:sz w:val="22"/>
        </w:rPr>
      </w:pPr>
    </w:p>
    <w:p w:rsidR="00A53D8F" w:rsidRDefault="00A53D8F">
      <w:pPr>
        <w:rPr>
          <w:sz w:val="22"/>
        </w:rPr>
      </w:pPr>
    </w:p>
    <w:p w:rsidR="00A53D8F" w:rsidRDefault="00A53D8F">
      <w:pPr>
        <w:rPr>
          <w:sz w:val="22"/>
        </w:rPr>
      </w:pPr>
    </w:p>
    <w:p w:rsidR="00AF4FEF" w:rsidRDefault="00746819" w:rsidP="00746819">
      <w:pPr>
        <w:numPr>
          <w:ilvl w:val="0"/>
          <w:numId w:val="6"/>
        </w:numPr>
        <w:tabs>
          <w:tab w:val="left" w:pos="720"/>
        </w:tabs>
        <w:spacing w:before="0" w:after="120"/>
        <w:jc w:val="center"/>
        <w:rPr>
          <w:b/>
          <w:sz w:val="22"/>
        </w:rPr>
      </w:pPr>
      <w:r>
        <w:rPr>
          <w:b/>
          <w:sz w:val="22"/>
        </w:rPr>
        <w:lastRenderedPageBreak/>
        <w:t>Úvodní ustanovení</w:t>
      </w:r>
    </w:p>
    <w:p w:rsidR="00746819" w:rsidRPr="00245705" w:rsidRDefault="00746819" w:rsidP="00746819">
      <w:pPr>
        <w:numPr>
          <w:ilvl w:val="1"/>
          <w:numId w:val="6"/>
        </w:numPr>
        <w:tabs>
          <w:tab w:val="left" w:pos="0"/>
        </w:tabs>
        <w:spacing w:before="0" w:after="120"/>
        <w:rPr>
          <w:sz w:val="22"/>
          <w:szCs w:val="22"/>
        </w:rPr>
      </w:pPr>
      <w:r w:rsidRPr="00245705">
        <w:rPr>
          <w:sz w:val="22"/>
        </w:rPr>
        <w:t xml:space="preserve">Smluvní strany uzavřely dne </w:t>
      </w:r>
      <w:r w:rsidR="00A30A32">
        <w:rPr>
          <w:sz w:val="22"/>
        </w:rPr>
        <w:t>11. 1. 2010</w:t>
      </w:r>
      <w:r w:rsidRPr="00245705">
        <w:rPr>
          <w:sz w:val="22"/>
        </w:rPr>
        <w:t xml:space="preserve"> Komisionářskou smlouvu č. </w:t>
      </w:r>
      <w:r w:rsidR="00A30A32">
        <w:rPr>
          <w:sz w:val="22"/>
        </w:rPr>
        <w:t>2009/8-0790</w:t>
      </w:r>
      <w:r w:rsidRPr="00245705">
        <w:rPr>
          <w:sz w:val="22"/>
        </w:rPr>
        <w:t xml:space="preserve"> (dále jen „Původní Komisionářská smlouva“), v jejímž plnění již nechtějí pokračovat.</w:t>
      </w:r>
    </w:p>
    <w:p w:rsidR="00746819" w:rsidRPr="00245705" w:rsidRDefault="00746819" w:rsidP="00746819">
      <w:pPr>
        <w:numPr>
          <w:ilvl w:val="1"/>
          <w:numId w:val="6"/>
        </w:numPr>
        <w:tabs>
          <w:tab w:val="left" w:pos="0"/>
        </w:tabs>
        <w:spacing w:before="0" w:after="120"/>
        <w:rPr>
          <w:sz w:val="22"/>
          <w:szCs w:val="22"/>
        </w:rPr>
      </w:pPr>
      <w:r w:rsidRPr="00245705">
        <w:rPr>
          <w:sz w:val="22"/>
          <w:szCs w:val="22"/>
        </w:rPr>
        <w:t xml:space="preserve">Smluvní strany mají zájem uzavřít </w:t>
      </w:r>
      <w:r w:rsidRPr="00245705">
        <w:rPr>
          <w:sz w:val="22"/>
        </w:rPr>
        <w:t xml:space="preserve">v souladu s ustanovením § 2455 a násl. zákona č. 89/2012 Sb., občanský zákoník, ve znění pozdějších předpisů (dále jen „Občanský zákoník“) novou </w:t>
      </w:r>
      <w:r>
        <w:rPr>
          <w:sz w:val="22"/>
        </w:rPr>
        <w:t>K</w:t>
      </w:r>
      <w:r w:rsidRPr="00245705">
        <w:rPr>
          <w:sz w:val="22"/>
        </w:rPr>
        <w:t>omisionářskou smlouvu, která v plném rozsahu nahrazuje Původní Komisionářskou smlouvu a jejíž znění je uvedeno v článku 2 - 10 níže (dále jen „Smlouva“). Původní Komisionářská smlouva zaniká dnem nabytí účinnosti této Smlouvy.</w:t>
      </w:r>
    </w:p>
    <w:p w:rsidR="00746819" w:rsidRPr="00245705" w:rsidRDefault="00746819" w:rsidP="00746819">
      <w:pPr>
        <w:numPr>
          <w:ilvl w:val="1"/>
          <w:numId w:val="6"/>
        </w:numPr>
        <w:tabs>
          <w:tab w:val="left" w:pos="0"/>
        </w:tabs>
        <w:spacing w:before="0" w:after="120"/>
        <w:rPr>
          <w:sz w:val="22"/>
          <w:szCs w:val="22"/>
        </w:rPr>
      </w:pPr>
      <w:r w:rsidRPr="00245705">
        <w:rPr>
          <w:sz w:val="22"/>
          <w:szCs w:val="22"/>
        </w:rPr>
        <w:t>Smluvní strany se dohodly, že vyúčtování odměny a prodaného zboží dle Původní Komisionářské smlouvy bude provedeno za podmínek dle této Smlouvy, tj. na toto zboží se bude pohlížet jako na zboží dodané dle této Smlouvy.</w:t>
      </w:r>
    </w:p>
    <w:p w:rsidR="00746819" w:rsidRPr="0082095C" w:rsidRDefault="00746819" w:rsidP="00746819">
      <w:pPr>
        <w:tabs>
          <w:tab w:val="left" w:pos="720"/>
        </w:tabs>
        <w:spacing w:before="0" w:after="120"/>
        <w:jc w:val="center"/>
        <w:rPr>
          <w:b/>
          <w:sz w:val="22"/>
        </w:rPr>
      </w:pPr>
    </w:p>
    <w:p w:rsidR="00AF4FEF" w:rsidRDefault="00AF4FEF" w:rsidP="00E05DA2">
      <w:pPr>
        <w:numPr>
          <w:ilvl w:val="0"/>
          <w:numId w:val="6"/>
        </w:numPr>
        <w:tabs>
          <w:tab w:val="left" w:pos="720"/>
        </w:tabs>
        <w:spacing w:before="0" w:after="120"/>
        <w:jc w:val="center"/>
        <w:rPr>
          <w:b/>
          <w:sz w:val="22"/>
        </w:rPr>
      </w:pPr>
      <w:r>
        <w:rPr>
          <w:b/>
          <w:sz w:val="22"/>
        </w:rPr>
        <w:t>Předmět Smlouvy</w:t>
      </w:r>
    </w:p>
    <w:p w:rsidR="00AF4FEF" w:rsidRDefault="00AF4FEF" w:rsidP="00E05DA2">
      <w:pPr>
        <w:numPr>
          <w:ilvl w:val="1"/>
          <w:numId w:val="6"/>
        </w:numPr>
        <w:tabs>
          <w:tab w:val="left" w:pos="567"/>
        </w:tabs>
        <w:spacing w:before="0" w:after="120"/>
        <w:ind w:left="567" w:hanging="567"/>
        <w:rPr>
          <w:sz w:val="22"/>
        </w:rPr>
      </w:pPr>
      <w:r>
        <w:rPr>
          <w:sz w:val="22"/>
        </w:rPr>
        <w:t xml:space="preserve">Předmětem Smlouvy je povinnost Komisionáře provádět pro Komitenta komisní prodej zboží za podmínek uvedených v Příloze č. 1 a dle specifikace v Příloze č. 2 (dále jen „Zboží“), která je nedílnou součástí Smlouvy a povinnost Komitenta zaplatit Komisionáři za tuto činnost odměnu uvedenou v čl. 7 Smlouvy. </w:t>
      </w:r>
    </w:p>
    <w:p w:rsidR="00AF4FEF" w:rsidRDefault="00AF4FEF" w:rsidP="00351FF9">
      <w:pPr>
        <w:tabs>
          <w:tab w:val="left" w:pos="567"/>
        </w:tabs>
        <w:spacing w:before="0" w:after="120"/>
        <w:rPr>
          <w:sz w:val="22"/>
        </w:rPr>
      </w:pPr>
    </w:p>
    <w:p w:rsidR="00AF4FEF" w:rsidRDefault="00D642E5" w:rsidP="00E05DA2">
      <w:pPr>
        <w:numPr>
          <w:ilvl w:val="0"/>
          <w:numId w:val="6"/>
        </w:numPr>
        <w:tabs>
          <w:tab w:val="left" w:pos="720"/>
        </w:tabs>
        <w:spacing w:before="0" w:after="120"/>
        <w:jc w:val="center"/>
        <w:rPr>
          <w:b/>
          <w:sz w:val="22"/>
        </w:rPr>
      </w:pPr>
      <w:r>
        <w:rPr>
          <w:b/>
          <w:sz w:val="22"/>
        </w:rPr>
        <w:t>Podmínky plnění Smlouvy</w:t>
      </w:r>
    </w:p>
    <w:p w:rsidR="00AF4FEF" w:rsidRDefault="00AF4FEF" w:rsidP="00E05DA2">
      <w:pPr>
        <w:numPr>
          <w:ilvl w:val="1"/>
          <w:numId w:val="6"/>
        </w:numPr>
        <w:tabs>
          <w:tab w:val="left" w:pos="567"/>
        </w:tabs>
        <w:spacing w:before="0" w:after="120"/>
        <w:ind w:left="567" w:hanging="567"/>
        <w:rPr>
          <w:sz w:val="22"/>
        </w:rPr>
      </w:pPr>
      <w:r>
        <w:rPr>
          <w:sz w:val="22"/>
        </w:rPr>
        <w:t>Povinnosti Komitenta</w:t>
      </w:r>
    </w:p>
    <w:p w:rsidR="00AF4FEF" w:rsidRDefault="00AF4FEF" w:rsidP="00E05DA2">
      <w:pPr>
        <w:numPr>
          <w:ilvl w:val="2"/>
          <w:numId w:val="6"/>
        </w:numPr>
        <w:tabs>
          <w:tab w:val="left" w:pos="567"/>
        </w:tabs>
        <w:spacing w:before="0" w:after="120"/>
        <w:ind w:left="1134" w:hanging="567"/>
        <w:rPr>
          <w:sz w:val="22"/>
        </w:rPr>
      </w:pPr>
      <w:r>
        <w:rPr>
          <w:sz w:val="22"/>
        </w:rPr>
        <w:t xml:space="preserve">Komitent </w:t>
      </w:r>
      <w:r w:rsidR="00631AD4">
        <w:rPr>
          <w:sz w:val="22"/>
        </w:rPr>
        <w:t xml:space="preserve">je povinen dodávat </w:t>
      </w:r>
      <w:r>
        <w:rPr>
          <w:sz w:val="22"/>
        </w:rPr>
        <w:t xml:space="preserve">Komisionáři do místa dle Přílohy č. 1 Smlouvy („Dodací místo“) Zboží ve sjednaném počtu, balení a řádné kvalitě, a to na základě objednávek </w:t>
      </w:r>
      <w:r w:rsidR="00631AD4">
        <w:rPr>
          <w:sz w:val="22"/>
        </w:rPr>
        <w:t xml:space="preserve">Komisionáře </w:t>
      </w:r>
      <w:r>
        <w:rPr>
          <w:sz w:val="22"/>
        </w:rPr>
        <w:t>zaslaných na e-mailovou adresu kontaktní osoby Komitenta uvedenou v čl</w:t>
      </w:r>
      <w:r w:rsidR="00631AD4">
        <w:rPr>
          <w:sz w:val="22"/>
        </w:rPr>
        <w:t>. </w:t>
      </w:r>
      <w:r>
        <w:rPr>
          <w:sz w:val="22"/>
        </w:rPr>
        <w:t>10.6 b) Smlouvy. Počet objednávek není stanoven</w:t>
      </w:r>
      <w:r w:rsidR="002A1BDD">
        <w:rPr>
          <w:sz w:val="22"/>
        </w:rPr>
        <w:t>, Komisionář není povinen objednávky vystavit</w:t>
      </w:r>
      <w:r>
        <w:rPr>
          <w:sz w:val="22"/>
        </w:rPr>
        <w:t>.</w:t>
      </w:r>
    </w:p>
    <w:p w:rsidR="00AF4FEF" w:rsidRPr="0023157D" w:rsidRDefault="00AF4FEF" w:rsidP="00E05DA2">
      <w:pPr>
        <w:numPr>
          <w:ilvl w:val="2"/>
          <w:numId w:val="6"/>
        </w:numPr>
        <w:tabs>
          <w:tab w:val="left" w:pos="567"/>
        </w:tabs>
        <w:spacing w:before="0" w:after="120"/>
        <w:ind w:left="1134" w:hanging="567"/>
        <w:rPr>
          <w:sz w:val="22"/>
        </w:rPr>
      </w:pPr>
      <w:r>
        <w:rPr>
          <w:sz w:val="22"/>
        </w:rPr>
        <w:t xml:space="preserve">Jednotlivé dodávky Zboží dle 3.1.1. se řídí Dodacími podmínkami uvedenými v Příloze č. 1 Smlouvy. Příloha č. 2 Smlouvy stanoví zejména sortiment Zboží, jeho prodejní cenu, výši odměny Komisionáře a rovněž jedinečné číslo </w:t>
      </w:r>
      <w:r w:rsidRPr="002421B0">
        <w:rPr>
          <w:sz w:val="22"/>
        </w:rPr>
        <w:t>KZM (kmenový záznam materiálu</w:t>
      </w:r>
      <w:r>
        <w:rPr>
          <w:sz w:val="22"/>
        </w:rPr>
        <w:t xml:space="preserve">), které přiřadí Komisionář ke každému druhu Zboží pro potřeby vlastní evidence. </w:t>
      </w:r>
    </w:p>
    <w:p w:rsidR="00AF4FEF" w:rsidRPr="0023157D" w:rsidRDefault="00AF4FEF" w:rsidP="00E05DA2">
      <w:pPr>
        <w:numPr>
          <w:ilvl w:val="2"/>
          <w:numId w:val="6"/>
        </w:numPr>
        <w:tabs>
          <w:tab w:val="left" w:pos="567"/>
        </w:tabs>
        <w:spacing w:before="0" w:after="120"/>
        <w:ind w:left="1134" w:hanging="567"/>
        <w:rPr>
          <w:sz w:val="22"/>
        </w:rPr>
      </w:pPr>
      <w:r>
        <w:rPr>
          <w:sz w:val="22"/>
        </w:rPr>
        <w:t xml:space="preserve">Komitent </w:t>
      </w:r>
      <w:r w:rsidRPr="00EE78EC">
        <w:rPr>
          <w:sz w:val="22"/>
        </w:rPr>
        <w:t>není oprávně</w:t>
      </w:r>
      <w:r>
        <w:rPr>
          <w:sz w:val="22"/>
        </w:rPr>
        <w:t>n</w:t>
      </w:r>
      <w:r w:rsidRPr="00EE78EC">
        <w:rPr>
          <w:sz w:val="22"/>
        </w:rPr>
        <w:t xml:space="preserve"> použít ve svých dokumentech, prezentacích</w:t>
      </w:r>
      <w:r>
        <w:rPr>
          <w:sz w:val="22"/>
        </w:rPr>
        <w:t>, propagačních materiálech</w:t>
      </w:r>
      <w:r w:rsidRPr="00EE78EC">
        <w:rPr>
          <w:sz w:val="22"/>
        </w:rPr>
        <w:t xml:space="preserve"> či reklamě odkazy na obchodní firmu</w:t>
      </w:r>
      <w:r>
        <w:rPr>
          <w:sz w:val="22"/>
        </w:rPr>
        <w:t xml:space="preserve"> či logo</w:t>
      </w:r>
      <w:r w:rsidRPr="00EE78EC">
        <w:rPr>
          <w:sz w:val="22"/>
        </w:rPr>
        <w:t xml:space="preserve"> </w:t>
      </w:r>
      <w:r>
        <w:rPr>
          <w:sz w:val="22"/>
        </w:rPr>
        <w:t xml:space="preserve">Komisionáře </w:t>
      </w:r>
      <w:r w:rsidRPr="00EE78EC">
        <w:rPr>
          <w:sz w:val="22"/>
        </w:rPr>
        <w:t xml:space="preserve">nebo jakýkoliv jiný odkaz, který by mohl byť i nepřímo vést k identifikaci </w:t>
      </w:r>
      <w:r>
        <w:rPr>
          <w:sz w:val="22"/>
        </w:rPr>
        <w:t>Komisionáře</w:t>
      </w:r>
      <w:r w:rsidRPr="00EE78EC">
        <w:rPr>
          <w:sz w:val="22"/>
        </w:rPr>
        <w:t xml:space="preserve">, bez předchozího písemného souhlasu </w:t>
      </w:r>
      <w:r>
        <w:rPr>
          <w:sz w:val="22"/>
        </w:rPr>
        <w:t xml:space="preserve">Komisionáře. Komitent se </w:t>
      </w:r>
      <w:r w:rsidRPr="00EE78EC">
        <w:rPr>
          <w:sz w:val="22"/>
        </w:rPr>
        <w:t>zavazuje, že při své činnosti bude dbát, aby nebyla poškozena dobrá obchodní pověst a obchodní firma</w:t>
      </w:r>
      <w:r>
        <w:rPr>
          <w:sz w:val="22"/>
        </w:rPr>
        <w:t xml:space="preserve"> Komisionáře</w:t>
      </w:r>
      <w:r w:rsidRPr="00EE78EC">
        <w:rPr>
          <w:sz w:val="22"/>
        </w:rPr>
        <w:t xml:space="preserve">. Při plnění této Smlouvy musí </w:t>
      </w:r>
      <w:r>
        <w:rPr>
          <w:sz w:val="22"/>
        </w:rPr>
        <w:t xml:space="preserve">Komitent </w:t>
      </w:r>
      <w:r w:rsidRPr="00EE78EC">
        <w:rPr>
          <w:sz w:val="22"/>
        </w:rPr>
        <w:t>sledovat zájmy</w:t>
      </w:r>
      <w:r>
        <w:rPr>
          <w:sz w:val="22"/>
        </w:rPr>
        <w:t xml:space="preserve"> Komisionáře a </w:t>
      </w:r>
      <w:r w:rsidRPr="00EE78EC">
        <w:rPr>
          <w:sz w:val="22"/>
        </w:rPr>
        <w:t xml:space="preserve">nevyvíjet jakékoliv aktivity, a to jak přímo, tak zprostředkovaně, které jsou v rozporu se zájmy </w:t>
      </w:r>
      <w:r>
        <w:rPr>
          <w:sz w:val="22"/>
        </w:rPr>
        <w:t xml:space="preserve">Komisionáře. Při každém použití loga, obchodní firmy nebo odkazu, </w:t>
      </w:r>
      <w:r w:rsidRPr="00D739A6">
        <w:rPr>
          <w:sz w:val="22"/>
        </w:rPr>
        <w:t>který by mohl byť i nepřímo vést k identifikaci Komisionáře</w:t>
      </w:r>
      <w:r>
        <w:rPr>
          <w:sz w:val="22"/>
        </w:rPr>
        <w:t>, se Komitent zavazuje použít ke splnění povinností této Smlouvy písemně schválených podkladů ze strany Komisionáře. Logo Komisionáře, které je chráněno ochrannou známkou, je Komitent oprávněn použít pouze za účelem plnění této Smlouvy, v barvách a ve velikosti odpovídající danému poměru, přičemž jeho umístění nesmí poškozovat nebo narušovat dobré jméno a pověst Komisionáře.</w:t>
      </w:r>
      <w:r w:rsidRPr="0023157D">
        <w:rPr>
          <w:sz w:val="22"/>
        </w:rPr>
        <w:t xml:space="preserve"> </w:t>
      </w:r>
      <w:r w:rsidR="00711A41">
        <w:rPr>
          <w:sz w:val="22"/>
        </w:rPr>
        <w:t>Na </w:t>
      </w:r>
      <w:r>
        <w:rPr>
          <w:sz w:val="22"/>
        </w:rPr>
        <w:t xml:space="preserve">vyžádání Komitenta dodá Komisionář podklady pro vyobrazení loga dle platného grafického manuálu za účelem přípravy materiálů, které budou podléhat jeho schválení. </w:t>
      </w:r>
      <w:r w:rsidR="00711A41">
        <w:rPr>
          <w:sz w:val="22"/>
        </w:rPr>
        <w:t>V </w:t>
      </w:r>
      <w:r>
        <w:rPr>
          <w:sz w:val="22"/>
        </w:rPr>
        <w:t xml:space="preserve">případě, že </w:t>
      </w:r>
      <w:r w:rsidRPr="00490965">
        <w:rPr>
          <w:sz w:val="22"/>
        </w:rPr>
        <w:t>Komisionář</w:t>
      </w:r>
      <w:r>
        <w:rPr>
          <w:sz w:val="22"/>
        </w:rPr>
        <w:t xml:space="preserve"> odsouhlasí materiály dodané Komitentem, poskytuje </w:t>
      </w:r>
      <w:r w:rsidR="00711A41">
        <w:rPr>
          <w:sz w:val="22"/>
        </w:rPr>
        <w:t>tímto souhlas</w:t>
      </w:r>
      <w:r w:rsidRPr="00490965">
        <w:rPr>
          <w:sz w:val="22"/>
        </w:rPr>
        <w:t xml:space="preserve"> k užití </w:t>
      </w:r>
      <w:r>
        <w:rPr>
          <w:sz w:val="22"/>
        </w:rPr>
        <w:t xml:space="preserve">své obchodní </w:t>
      </w:r>
      <w:r w:rsidRPr="00490965">
        <w:rPr>
          <w:sz w:val="22"/>
        </w:rPr>
        <w:t>firmy a loga</w:t>
      </w:r>
      <w:r>
        <w:rPr>
          <w:sz w:val="22"/>
        </w:rPr>
        <w:t xml:space="preserve"> Komitentovi</w:t>
      </w:r>
      <w:r w:rsidRPr="00490965">
        <w:rPr>
          <w:sz w:val="22"/>
        </w:rPr>
        <w:t>, a to pouze</w:t>
      </w:r>
      <w:r>
        <w:rPr>
          <w:sz w:val="22"/>
        </w:rPr>
        <w:t xml:space="preserve"> ve schváleném rozsahu </w:t>
      </w:r>
      <w:r>
        <w:rPr>
          <w:sz w:val="22"/>
        </w:rPr>
        <w:lastRenderedPageBreak/>
        <w:t xml:space="preserve">a </w:t>
      </w:r>
      <w:r w:rsidR="00711A41">
        <w:rPr>
          <w:sz w:val="22"/>
        </w:rPr>
        <w:t xml:space="preserve">pouze </w:t>
      </w:r>
      <w:r w:rsidRPr="00490965">
        <w:rPr>
          <w:sz w:val="22"/>
        </w:rPr>
        <w:t xml:space="preserve">pro účely plnění Smlouvy, tj. po dobu, po kterou to bude v souvislosti s plněním nezbytně nutné, nejdéle po dobu trvání této Smlouvy a </w:t>
      </w:r>
      <w:r w:rsidR="00711A41">
        <w:rPr>
          <w:sz w:val="22"/>
        </w:rPr>
        <w:t xml:space="preserve">výhradně </w:t>
      </w:r>
      <w:r w:rsidRPr="00490965">
        <w:rPr>
          <w:sz w:val="22"/>
        </w:rPr>
        <w:t xml:space="preserve">na území ČR. </w:t>
      </w:r>
    </w:p>
    <w:p w:rsidR="00DC7542" w:rsidRPr="0023157D" w:rsidRDefault="00DC7542" w:rsidP="00DC7542">
      <w:pPr>
        <w:numPr>
          <w:ilvl w:val="2"/>
          <w:numId w:val="6"/>
        </w:numPr>
        <w:tabs>
          <w:tab w:val="left" w:pos="567"/>
        </w:tabs>
        <w:spacing w:before="0" w:after="120"/>
        <w:ind w:left="1134" w:hanging="567"/>
        <w:rPr>
          <w:sz w:val="22"/>
        </w:rPr>
      </w:pPr>
      <w:r>
        <w:rPr>
          <w:sz w:val="22"/>
        </w:rPr>
        <w:t xml:space="preserve">V případě, že Komitent požaduje ukončení </w:t>
      </w:r>
      <w:r w:rsidRPr="00403F40">
        <w:rPr>
          <w:sz w:val="22"/>
        </w:rPr>
        <w:t>prodeje některého z druhů Zboží dle Přílohy č.</w:t>
      </w:r>
      <w:r>
        <w:rPr>
          <w:sz w:val="22"/>
        </w:rPr>
        <w:t> </w:t>
      </w:r>
      <w:r w:rsidRPr="00403F40">
        <w:rPr>
          <w:sz w:val="22"/>
        </w:rPr>
        <w:t>2</w:t>
      </w:r>
      <w:r>
        <w:rPr>
          <w:sz w:val="22"/>
        </w:rPr>
        <w:t xml:space="preserve"> Smlouvy</w:t>
      </w:r>
      <w:r w:rsidRPr="00403F40">
        <w:rPr>
          <w:sz w:val="22"/>
        </w:rPr>
        <w:t xml:space="preserve"> (některá z položek tabulky</w:t>
      </w:r>
      <w:r w:rsidR="00711A41">
        <w:rPr>
          <w:sz w:val="22"/>
        </w:rPr>
        <w:t>; pouze obsahuje-li tabulka více položek</w:t>
      </w:r>
      <w:r w:rsidRPr="00403F40">
        <w:rPr>
          <w:sz w:val="22"/>
        </w:rPr>
        <w:t>)</w:t>
      </w:r>
      <w:r>
        <w:rPr>
          <w:sz w:val="22"/>
        </w:rPr>
        <w:t>,</w:t>
      </w:r>
      <w:r w:rsidRPr="00403F40">
        <w:rPr>
          <w:sz w:val="22"/>
        </w:rPr>
        <w:t xml:space="preserve"> </w:t>
      </w:r>
      <w:r>
        <w:rPr>
          <w:sz w:val="22"/>
        </w:rPr>
        <w:t xml:space="preserve">je povinen </w:t>
      </w:r>
      <w:r w:rsidR="00711A41">
        <w:rPr>
          <w:sz w:val="22"/>
        </w:rPr>
        <w:t>o </w:t>
      </w:r>
      <w:r>
        <w:rPr>
          <w:sz w:val="22"/>
        </w:rPr>
        <w:t xml:space="preserve">ukončení prodeje požádat Komisionáře písemně (elektronicky) nejpozději </w:t>
      </w:r>
      <w:r w:rsidR="00711A41">
        <w:rPr>
          <w:sz w:val="22"/>
        </w:rPr>
        <w:t>60 </w:t>
      </w:r>
      <w:r>
        <w:rPr>
          <w:sz w:val="22"/>
        </w:rPr>
        <w:t xml:space="preserve">kalendářních dní před datem požadovaného ukončení prodeje na poštách, pozdější žádosti není Komisionář povinen žádosti vyhovět. </w:t>
      </w:r>
      <w:r w:rsidRPr="00403F40">
        <w:rPr>
          <w:sz w:val="22"/>
        </w:rPr>
        <w:t xml:space="preserve">K ukončení </w:t>
      </w:r>
      <w:r>
        <w:rPr>
          <w:sz w:val="22"/>
        </w:rPr>
        <w:t xml:space="preserve">prodeje některého z druhů Zboží </w:t>
      </w:r>
      <w:r w:rsidRPr="00403F40">
        <w:rPr>
          <w:sz w:val="22"/>
        </w:rPr>
        <w:t xml:space="preserve">postačí dohoda mezi Komitentem a Komisionářem </w:t>
      </w:r>
      <w:r>
        <w:rPr>
          <w:sz w:val="22"/>
        </w:rPr>
        <w:t>u</w:t>
      </w:r>
      <w:r w:rsidRPr="00403F40">
        <w:rPr>
          <w:sz w:val="22"/>
        </w:rPr>
        <w:t>jednaná kontaktními osobami uvedenými v</w:t>
      </w:r>
      <w:r>
        <w:rPr>
          <w:sz w:val="22"/>
        </w:rPr>
        <w:t> </w:t>
      </w:r>
      <w:r w:rsidRPr="00403F40">
        <w:rPr>
          <w:sz w:val="22"/>
        </w:rPr>
        <w:t xml:space="preserve">ustanovení </w:t>
      </w:r>
      <w:r>
        <w:rPr>
          <w:sz w:val="22"/>
        </w:rPr>
        <w:t>čl</w:t>
      </w:r>
      <w:r w:rsidRPr="00403F40">
        <w:rPr>
          <w:sz w:val="22"/>
        </w:rPr>
        <w:t>.</w:t>
      </w:r>
      <w:r>
        <w:rPr>
          <w:sz w:val="22"/>
        </w:rPr>
        <w:t> 10</w:t>
      </w:r>
      <w:r w:rsidRPr="00403F40">
        <w:rPr>
          <w:sz w:val="22"/>
        </w:rPr>
        <w:t xml:space="preserve">.6. Smlouvy, a to elektronicky (emailem) nebo písemně. </w:t>
      </w:r>
      <w:r w:rsidR="00711A41" w:rsidRPr="00403F40">
        <w:rPr>
          <w:sz w:val="22"/>
        </w:rPr>
        <w:t>Po</w:t>
      </w:r>
      <w:r w:rsidR="00711A41">
        <w:rPr>
          <w:sz w:val="22"/>
        </w:rPr>
        <w:t> </w:t>
      </w:r>
      <w:r w:rsidRPr="00403F40">
        <w:rPr>
          <w:sz w:val="22"/>
        </w:rPr>
        <w:t>ukončení prodeje daného druhu Zboží</w:t>
      </w:r>
      <w:r>
        <w:rPr>
          <w:sz w:val="22"/>
        </w:rPr>
        <w:t xml:space="preserve"> na poštách bude n</w:t>
      </w:r>
      <w:r w:rsidRPr="003A6300">
        <w:rPr>
          <w:sz w:val="22"/>
        </w:rPr>
        <w:t>eprodané Zboží</w:t>
      </w:r>
      <w:r>
        <w:rPr>
          <w:sz w:val="22"/>
        </w:rPr>
        <w:t>, včetně Zboží označeného jako „REKLAMACE“ či „POŠKOZENÉ“,</w:t>
      </w:r>
      <w:r w:rsidRPr="003A6300">
        <w:rPr>
          <w:sz w:val="22"/>
        </w:rPr>
        <w:t xml:space="preserve"> protokolárně před</w:t>
      </w:r>
      <w:r>
        <w:rPr>
          <w:sz w:val="22"/>
        </w:rPr>
        <w:t>á</w:t>
      </w:r>
      <w:r w:rsidRPr="003A6300">
        <w:rPr>
          <w:sz w:val="22"/>
        </w:rPr>
        <w:t>n</w:t>
      </w:r>
      <w:r>
        <w:rPr>
          <w:sz w:val="22"/>
        </w:rPr>
        <w:t>o</w:t>
      </w:r>
      <w:r w:rsidRPr="003A6300">
        <w:rPr>
          <w:sz w:val="22"/>
        </w:rPr>
        <w:t xml:space="preserve"> Komisionářem</w:t>
      </w:r>
      <w:r>
        <w:rPr>
          <w:sz w:val="22"/>
        </w:rPr>
        <w:t xml:space="preserve"> Komitentovi ve lhůtě dle čl. 3.2.6</w:t>
      </w:r>
      <w:r w:rsidRPr="00403F40">
        <w:rPr>
          <w:sz w:val="22"/>
        </w:rPr>
        <w:t xml:space="preserve">, Komitent </w:t>
      </w:r>
      <w:r>
        <w:rPr>
          <w:sz w:val="22"/>
        </w:rPr>
        <w:t xml:space="preserve">je </w:t>
      </w:r>
      <w:r w:rsidRPr="00403F40">
        <w:rPr>
          <w:sz w:val="22"/>
        </w:rPr>
        <w:t xml:space="preserve">povinen si neprodané </w:t>
      </w:r>
      <w:r>
        <w:rPr>
          <w:sz w:val="22"/>
        </w:rPr>
        <w:t>Z</w:t>
      </w:r>
      <w:r w:rsidRPr="00403F40">
        <w:rPr>
          <w:sz w:val="22"/>
        </w:rPr>
        <w:t>boží</w:t>
      </w:r>
      <w:r>
        <w:rPr>
          <w:sz w:val="22"/>
        </w:rPr>
        <w:t>, včetně Zboží označeného jako „REKLAMACE“ či „POŠKOZENÉ“,</w:t>
      </w:r>
      <w:r w:rsidRPr="003A6300">
        <w:rPr>
          <w:sz w:val="22"/>
        </w:rPr>
        <w:t xml:space="preserve"> </w:t>
      </w:r>
      <w:r>
        <w:rPr>
          <w:sz w:val="22"/>
        </w:rPr>
        <w:t>převzít</w:t>
      </w:r>
      <w:r w:rsidRPr="00403F40">
        <w:rPr>
          <w:sz w:val="22"/>
        </w:rPr>
        <w:t xml:space="preserve"> do</w:t>
      </w:r>
      <w:r>
        <w:rPr>
          <w:sz w:val="22"/>
        </w:rPr>
        <w:t> </w:t>
      </w:r>
      <w:r w:rsidRPr="00403F40">
        <w:rPr>
          <w:sz w:val="22"/>
        </w:rPr>
        <w:t xml:space="preserve">5 pracovních dnů od výzvy Komisionáře zaslané elektronicky (emailem) nebo písemně. </w:t>
      </w:r>
    </w:p>
    <w:p w:rsidR="00AF4FEF" w:rsidRPr="0023157D" w:rsidRDefault="00AF4FEF" w:rsidP="00E05DA2">
      <w:pPr>
        <w:numPr>
          <w:ilvl w:val="2"/>
          <w:numId w:val="6"/>
        </w:numPr>
        <w:tabs>
          <w:tab w:val="left" w:pos="567"/>
        </w:tabs>
        <w:spacing w:before="0" w:after="120"/>
        <w:ind w:left="1134" w:hanging="567"/>
        <w:rPr>
          <w:sz w:val="22"/>
        </w:rPr>
      </w:pPr>
      <w:r>
        <w:rPr>
          <w:sz w:val="22"/>
        </w:rPr>
        <w:t>K rozšíření sortimentu Zboží dle Přílohy č. 2 Smlouvy o nové</w:t>
      </w:r>
      <w:r w:rsidRPr="00FB2510">
        <w:rPr>
          <w:sz w:val="22"/>
        </w:rPr>
        <w:t xml:space="preserve"> </w:t>
      </w:r>
      <w:r w:rsidRPr="00D07337">
        <w:rPr>
          <w:sz w:val="22"/>
        </w:rPr>
        <w:t>položk</w:t>
      </w:r>
      <w:r>
        <w:rPr>
          <w:sz w:val="22"/>
        </w:rPr>
        <w:t>y je třeba uzavření dodatku ke Smlouvě, který pro tyto položky upraví podmínky komisního prodeje</w:t>
      </w:r>
      <w:r w:rsidRPr="00FB2510">
        <w:rPr>
          <w:sz w:val="22"/>
        </w:rPr>
        <w:t>.</w:t>
      </w:r>
    </w:p>
    <w:p w:rsidR="00AF4FEF" w:rsidRPr="0023157D" w:rsidRDefault="00AF4FEF" w:rsidP="00E05DA2">
      <w:pPr>
        <w:numPr>
          <w:ilvl w:val="2"/>
          <w:numId w:val="6"/>
        </w:numPr>
        <w:tabs>
          <w:tab w:val="left" w:pos="567"/>
        </w:tabs>
        <w:spacing w:before="0" w:after="120"/>
        <w:ind w:left="1134" w:hanging="567"/>
        <w:rPr>
          <w:sz w:val="22"/>
        </w:rPr>
      </w:pPr>
      <w:r w:rsidRPr="00FB2510">
        <w:rPr>
          <w:sz w:val="22"/>
        </w:rPr>
        <w:t xml:space="preserve">O změnu prodejní ceny Zboží dle Přílohy č. 2 </w:t>
      </w:r>
      <w:r>
        <w:rPr>
          <w:sz w:val="22"/>
        </w:rPr>
        <w:t xml:space="preserve">Smlouvy </w:t>
      </w:r>
      <w:r w:rsidRPr="00FB2510">
        <w:rPr>
          <w:sz w:val="22"/>
        </w:rPr>
        <w:t xml:space="preserve">je Komitent povinen požádat Komisionáře písemně nejpozději 60 dní před datem plánované změny, změna bude provedena </w:t>
      </w:r>
      <w:r>
        <w:rPr>
          <w:sz w:val="22"/>
        </w:rPr>
        <w:t>d</w:t>
      </w:r>
      <w:r w:rsidRPr="00FB2510">
        <w:rPr>
          <w:sz w:val="22"/>
        </w:rPr>
        <w:t>odatkem</w:t>
      </w:r>
      <w:r>
        <w:rPr>
          <w:sz w:val="22"/>
        </w:rPr>
        <w:t>,</w:t>
      </w:r>
      <w:r w:rsidRPr="00FB2510">
        <w:rPr>
          <w:sz w:val="22"/>
        </w:rPr>
        <w:t xml:space="preserve"> a to vždy s </w:t>
      </w:r>
      <w:r>
        <w:rPr>
          <w:sz w:val="22"/>
        </w:rPr>
        <w:t>účin</w:t>
      </w:r>
      <w:r w:rsidRPr="00FB2510">
        <w:rPr>
          <w:sz w:val="22"/>
        </w:rPr>
        <w:t xml:space="preserve">ností k 1. dni </w:t>
      </w:r>
      <w:r>
        <w:rPr>
          <w:sz w:val="22"/>
        </w:rPr>
        <w:t>nejbližšího kalendářního</w:t>
      </w:r>
      <w:r w:rsidRPr="00FB2510">
        <w:rPr>
          <w:sz w:val="22"/>
        </w:rPr>
        <w:t> měsíce</w:t>
      </w:r>
      <w:r>
        <w:rPr>
          <w:sz w:val="22"/>
        </w:rPr>
        <w:t xml:space="preserve"> po uzavření dodatku, nedohodnou-li se Smluvní strany výslovně jinak</w:t>
      </w:r>
      <w:r w:rsidRPr="00FB2510">
        <w:rPr>
          <w:sz w:val="22"/>
        </w:rPr>
        <w:t>.</w:t>
      </w:r>
    </w:p>
    <w:p w:rsidR="00AF4FEF" w:rsidRPr="0023157D" w:rsidRDefault="00AF4FEF" w:rsidP="00E05DA2">
      <w:pPr>
        <w:numPr>
          <w:ilvl w:val="2"/>
          <w:numId w:val="6"/>
        </w:numPr>
        <w:tabs>
          <w:tab w:val="left" w:pos="567"/>
        </w:tabs>
        <w:spacing w:before="0" w:after="120"/>
        <w:ind w:left="1134" w:hanging="567"/>
        <w:rPr>
          <w:sz w:val="22"/>
        </w:rPr>
      </w:pPr>
      <w:r w:rsidRPr="00FB2510">
        <w:rPr>
          <w:sz w:val="22"/>
        </w:rPr>
        <w:t xml:space="preserve">Komitent je povinen stanovit u každého druhu Zboží dle Přílohy č. 2 </w:t>
      </w:r>
      <w:r>
        <w:rPr>
          <w:sz w:val="22"/>
        </w:rPr>
        <w:t xml:space="preserve">Smlouvy </w:t>
      </w:r>
      <w:r w:rsidRPr="00FB2510">
        <w:rPr>
          <w:sz w:val="22"/>
        </w:rPr>
        <w:t xml:space="preserve">procentní výši / sazbu </w:t>
      </w:r>
      <w:r>
        <w:rPr>
          <w:sz w:val="22"/>
        </w:rPr>
        <w:t>daně z přidané hodnoty (</w:t>
      </w:r>
      <w:r w:rsidRPr="00FB2510">
        <w:rPr>
          <w:sz w:val="22"/>
        </w:rPr>
        <w:t>DPH</w:t>
      </w:r>
      <w:r>
        <w:rPr>
          <w:sz w:val="22"/>
        </w:rPr>
        <w:t>)</w:t>
      </w:r>
      <w:r w:rsidRPr="00FB2510">
        <w:rPr>
          <w:sz w:val="22"/>
        </w:rPr>
        <w:t xml:space="preserve"> odváděné z prodejní ceny, a to oznámením kontaktní osobě dle čl. </w:t>
      </w:r>
      <w:r>
        <w:rPr>
          <w:sz w:val="22"/>
        </w:rPr>
        <w:t>10</w:t>
      </w:r>
      <w:r w:rsidRPr="00FB2510">
        <w:rPr>
          <w:sz w:val="22"/>
        </w:rPr>
        <w:t>.6 a) Smlouvy. Rovněž při každé změně procentní sazby DPH odváděné z prodejní ceny Zboží dle Přílohy č.</w:t>
      </w:r>
      <w:r>
        <w:rPr>
          <w:sz w:val="22"/>
        </w:rPr>
        <w:t xml:space="preserve"> 2</w:t>
      </w:r>
      <w:r w:rsidRPr="00B77D8E">
        <w:rPr>
          <w:sz w:val="22"/>
        </w:rPr>
        <w:t xml:space="preserve"> Smlouvy zašle Komitent oznámení kontaktní osobě dle čl. </w:t>
      </w:r>
      <w:r>
        <w:rPr>
          <w:sz w:val="22"/>
        </w:rPr>
        <w:t>10</w:t>
      </w:r>
      <w:r w:rsidRPr="00B77D8E">
        <w:rPr>
          <w:sz w:val="22"/>
        </w:rPr>
        <w:t xml:space="preserve">.6 a) Smlouvy. V případě, že Komitent nesplní oznamovací povinnost dle tohoto </w:t>
      </w:r>
      <w:r>
        <w:rPr>
          <w:sz w:val="22"/>
        </w:rPr>
        <w:t>článku</w:t>
      </w:r>
      <w:r w:rsidRPr="00B77D8E">
        <w:rPr>
          <w:sz w:val="22"/>
        </w:rPr>
        <w:t xml:space="preserve"> Smlouvy</w:t>
      </w:r>
      <w:r w:rsidRPr="00FB2510">
        <w:rPr>
          <w:sz w:val="22"/>
        </w:rPr>
        <w:t xml:space="preserve">, odpovídá Komisionáři za vzniklou škodu. </w:t>
      </w:r>
    </w:p>
    <w:p w:rsidR="00AF4FEF" w:rsidRPr="00B77D8E" w:rsidRDefault="00AF4FEF" w:rsidP="00E05DA2">
      <w:pPr>
        <w:numPr>
          <w:ilvl w:val="1"/>
          <w:numId w:val="6"/>
        </w:numPr>
        <w:tabs>
          <w:tab w:val="left" w:pos="567"/>
        </w:tabs>
        <w:spacing w:before="0" w:after="120"/>
        <w:ind w:left="567" w:hanging="567"/>
        <w:rPr>
          <w:sz w:val="22"/>
        </w:rPr>
      </w:pPr>
      <w:r w:rsidRPr="00FB2510">
        <w:rPr>
          <w:sz w:val="22"/>
        </w:rPr>
        <w:t>Povinnosti Komisionáře</w:t>
      </w:r>
    </w:p>
    <w:p w:rsidR="00AF4FEF" w:rsidRPr="0023157D" w:rsidRDefault="00AF4FEF" w:rsidP="00E05DA2">
      <w:pPr>
        <w:numPr>
          <w:ilvl w:val="2"/>
          <w:numId w:val="6"/>
        </w:numPr>
        <w:tabs>
          <w:tab w:val="left" w:pos="567"/>
        </w:tabs>
        <w:spacing w:before="0" w:after="120"/>
        <w:ind w:left="1134" w:hanging="567"/>
        <w:rPr>
          <w:sz w:val="22"/>
        </w:rPr>
      </w:pPr>
      <w:r w:rsidRPr="00FB2510">
        <w:rPr>
          <w:sz w:val="22"/>
        </w:rPr>
        <w:t xml:space="preserve">Komisionář bude průběžně zajišťovat distribuci Zboží </w:t>
      </w:r>
      <w:r w:rsidR="00387C7D">
        <w:rPr>
          <w:sz w:val="22"/>
        </w:rPr>
        <w:t xml:space="preserve">dle potřeb jednotlivých pošt </w:t>
      </w:r>
      <w:r w:rsidRPr="00FB2510">
        <w:rPr>
          <w:sz w:val="22"/>
        </w:rPr>
        <w:t xml:space="preserve">a jeho prodej na </w:t>
      </w:r>
      <w:r w:rsidR="00387C7D">
        <w:rPr>
          <w:sz w:val="22"/>
        </w:rPr>
        <w:t xml:space="preserve">jím vybraných </w:t>
      </w:r>
      <w:r w:rsidRPr="00FB2510">
        <w:rPr>
          <w:sz w:val="22"/>
        </w:rPr>
        <w:t xml:space="preserve">poštách, pokud není v Příloze č. 1 </w:t>
      </w:r>
      <w:r>
        <w:rPr>
          <w:sz w:val="22"/>
        </w:rPr>
        <w:t xml:space="preserve">Smlouvy </w:t>
      </w:r>
      <w:r w:rsidRPr="00FB2510">
        <w:rPr>
          <w:sz w:val="22"/>
        </w:rPr>
        <w:t>stanoveno</w:t>
      </w:r>
      <w:r w:rsidR="002E68A4">
        <w:rPr>
          <w:sz w:val="22"/>
        </w:rPr>
        <w:t xml:space="preserve"> </w:t>
      </w:r>
      <w:r w:rsidR="00387C7D">
        <w:rPr>
          <w:sz w:val="22"/>
        </w:rPr>
        <w:t>jinak</w:t>
      </w:r>
      <w:r w:rsidRPr="00FB2510">
        <w:rPr>
          <w:sz w:val="22"/>
        </w:rPr>
        <w:t>. Zboží bude prodávat svým jménem na účet Komitenta.</w:t>
      </w:r>
    </w:p>
    <w:p w:rsidR="00AF4FEF" w:rsidRPr="0023157D" w:rsidRDefault="00AF4FEF" w:rsidP="00E05DA2">
      <w:pPr>
        <w:numPr>
          <w:ilvl w:val="2"/>
          <w:numId w:val="6"/>
        </w:numPr>
        <w:tabs>
          <w:tab w:val="left" w:pos="567"/>
        </w:tabs>
        <w:spacing w:before="0" w:after="120"/>
        <w:ind w:left="1134" w:hanging="567"/>
        <w:rPr>
          <w:sz w:val="22"/>
        </w:rPr>
      </w:pPr>
      <w:r w:rsidRPr="00FB2510">
        <w:rPr>
          <w:sz w:val="22"/>
        </w:rPr>
        <w:t>Komisionář se zavazuje poukazovat Komitentovi měsíční příjmy za prodej Zboží snížené o dohodnutou odměnu na jeho účet uvedený v čl</w:t>
      </w:r>
      <w:r>
        <w:rPr>
          <w:sz w:val="22"/>
        </w:rPr>
        <w:t>ánku</w:t>
      </w:r>
      <w:r w:rsidRPr="00FB2510">
        <w:rPr>
          <w:sz w:val="22"/>
        </w:rPr>
        <w:t xml:space="preserve"> 1 Smlouvy.</w:t>
      </w:r>
    </w:p>
    <w:p w:rsidR="00AF4FEF" w:rsidRPr="0023157D" w:rsidRDefault="00AF4FEF" w:rsidP="00E05DA2">
      <w:pPr>
        <w:numPr>
          <w:ilvl w:val="2"/>
          <w:numId w:val="6"/>
        </w:numPr>
        <w:tabs>
          <w:tab w:val="left" w:pos="567"/>
        </w:tabs>
        <w:spacing w:before="0" w:after="120"/>
        <w:ind w:left="1134" w:hanging="567"/>
        <w:rPr>
          <w:sz w:val="22"/>
        </w:rPr>
      </w:pPr>
      <w:r w:rsidRPr="00FB2510">
        <w:rPr>
          <w:sz w:val="22"/>
        </w:rPr>
        <w:t>Komisionář bude pro</w:t>
      </w:r>
      <w:r>
        <w:rPr>
          <w:sz w:val="22"/>
        </w:rPr>
        <w:t xml:space="preserve">vádět další objednávky Zboží u Komitenta dle ujednaných Dodacích podmínek uvedených v Příloze č. 1 Smlouvy. </w:t>
      </w:r>
    </w:p>
    <w:p w:rsidR="00AF4FEF" w:rsidRPr="0023157D" w:rsidRDefault="00AF4FEF" w:rsidP="00E05DA2">
      <w:pPr>
        <w:numPr>
          <w:ilvl w:val="2"/>
          <w:numId w:val="6"/>
        </w:numPr>
        <w:tabs>
          <w:tab w:val="left" w:pos="567"/>
        </w:tabs>
        <w:spacing w:before="0" w:after="120"/>
        <w:ind w:left="1134" w:hanging="567"/>
        <w:rPr>
          <w:sz w:val="22"/>
        </w:rPr>
      </w:pPr>
      <w:r>
        <w:rPr>
          <w:sz w:val="22"/>
        </w:rPr>
        <w:t>Komisionář se zavazuje převzít každou řádně předanou dodávku Zboží a vše uskladnit tak, aby bylo zamezeno ztrátám nebo poškození</w:t>
      </w:r>
      <w:r w:rsidR="00A1797F">
        <w:rPr>
          <w:sz w:val="22"/>
        </w:rPr>
        <w:t>.</w:t>
      </w:r>
      <w:r>
        <w:rPr>
          <w:sz w:val="22"/>
        </w:rPr>
        <w:t xml:space="preserve"> </w:t>
      </w:r>
    </w:p>
    <w:p w:rsidR="00AF4FEF" w:rsidRPr="0023157D" w:rsidRDefault="00AF4FEF" w:rsidP="003A6300">
      <w:pPr>
        <w:numPr>
          <w:ilvl w:val="2"/>
          <w:numId w:val="6"/>
        </w:numPr>
        <w:tabs>
          <w:tab w:val="left" w:pos="567"/>
        </w:tabs>
        <w:spacing w:before="0" w:after="120"/>
        <w:ind w:left="1134" w:hanging="567"/>
        <w:rPr>
          <w:sz w:val="22"/>
        </w:rPr>
      </w:pPr>
      <w:r>
        <w:rPr>
          <w:sz w:val="22"/>
        </w:rPr>
        <w:t xml:space="preserve">Komisionář se zavazuje vyřizovat reklamace Zboží způsobem uvedeným v článku </w:t>
      </w:r>
      <w:r w:rsidR="00647F82">
        <w:rPr>
          <w:sz w:val="22"/>
        </w:rPr>
        <w:t>6</w:t>
      </w:r>
      <w:r>
        <w:rPr>
          <w:sz w:val="22"/>
        </w:rPr>
        <w:t xml:space="preserve"> Smlouvy.</w:t>
      </w:r>
    </w:p>
    <w:p w:rsidR="00246D52" w:rsidRPr="008267C9" w:rsidRDefault="00246D52" w:rsidP="00246D52">
      <w:pPr>
        <w:numPr>
          <w:ilvl w:val="2"/>
          <w:numId w:val="6"/>
        </w:numPr>
        <w:tabs>
          <w:tab w:val="left" w:pos="567"/>
        </w:tabs>
        <w:spacing w:before="0" w:after="120"/>
        <w:ind w:left="1134" w:hanging="567"/>
        <w:rPr>
          <w:sz w:val="22"/>
        </w:rPr>
      </w:pPr>
      <w:r w:rsidRPr="008267C9">
        <w:rPr>
          <w:sz w:val="22"/>
        </w:rPr>
        <w:t>Zboží s označením „POŠKOZENÉ“ a „REKLAMACE“ bude Komisionář Komitentovi vracet průběžně vždy do posledního dne prvního měsíce každého kalendářního čtvrtletí</w:t>
      </w:r>
      <w:r>
        <w:rPr>
          <w:sz w:val="22"/>
        </w:rPr>
        <w:t>.</w:t>
      </w:r>
      <w:r w:rsidRPr="008267C9">
        <w:rPr>
          <w:sz w:val="22"/>
        </w:rPr>
        <w:t xml:space="preserve"> </w:t>
      </w:r>
      <w:r>
        <w:rPr>
          <w:sz w:val="22"/>
        </w:rPr>
        <w:t>V</w:t>
      </w:r>
      <w:r w:rsidRPr="008267C9">
        <w:rPr>
          <w:sz w:val="22"/>
        </w:rPr>
        <w:t> případě ukončení prodeje daného druhu Zboží dle čl. 3.1.4</w:t>
      </w:r>
      <w:r>
        <w:rPr>
          <w:sz w:val="22"/>
        </w:rPr>
        <w:t xml:space="preserve"> nebo v</w:t>
      </w:r>
      <w:r w:rsidRPr="008267C9">
        <w:rPr>
          <w:sz w:val="22"/>
        </w:rPr>
        <w:t xml:space="preserve"> případě ukončení této Smlouvy vrátí Komisionář Komitentovi neprodané Zboží a Zboží s označením „POŠKOZENÉ“ a „REKLAMACE“ nejpozději do </w:t>
      </w:r>
      <w:r w:rsidR="00235055">
        <w:rPr>
          <w:sz w:val="22"/>
        </w:rPr>
        <w:t>jednoho měsíce</w:t>
      </w:r>
      <w:r w:rsidRPr="008267C9">
        <w:rPr>
          <w:sz w:val="22"/>
        </w:rPr>
        <w:t xml:space="preserve"> po ukončení prodeje tohoto druhu Zboží, resp. po ukončení této Smlouvy</w:t>
      </w:r>
      <w:r>
        <w:rPr>
          <w:sz w:val="22"/>
        </w:rPr>
        <w:t xml:space="preserve">, s tolerancí </w:t>
      </w:r>
      <w:r w:rsidR="006561DD">
        <w:rPr>
          <w:sz w:val="22"/>
        </w:rPr>
        <w:t>x %.</w:t>
      </w:r>
      <w:r w:rsidRPr="008267C9">
        <w:rPr>
          <w:sz w:val="22"/>
        </w:rPr>
        <w:t xml:space="preserve"> O</w:t>
      </w:r>
      <w:r>
        <w:rPr>
          <w:sz w:val="22"/>
        </w:rPr>
        <w:t xml:space="preserve"> vrácení Zboží </w:t>
      </w:r>
      <w:r w:rsidRPr="008267C9">
        <w:rPr>
          <w:sz w:val="22"/>
        </w:rPr>
        <w:t xml:space="preserve">sepíše Komisionář protokol, který musí být podepsán oprávněnými zástupci Smluvních stran. </w:t>
      </w:r>
    </w:p>
    <w:p w:rsidR="00246D52" w:rsidRDefault="00246D52" w:rsidP="00246D52">
      <w:pPr>
        <w:numPr>
          <w:ilvl w:val="2"/>
          <w:numId w:val="6"/>
        </w:numPr>
        <w:tabs>
          <w:tab w:val="left" w:pos="567"/>
        </w:tabs>
        <w:spacing w:before="0" w:after="120"/>
        <w:ind w:left="1134" w:hanging="567"/>
        <w:rPr>
          <w:sz w:val="22"/>
        </w:rPr>
      </w:pPr>
      <w:r>
        <w:rPr>
          <w:sz w:val="22"/>
        </w:rPr>
        <w:lastRenderedPageBreak/>
        <w:t xml:space="preserve">Pro případ, že Komisionář Komitentovi vrátí postupem dle čl. 3.2.6 méně než </w:t>
      </w:r>
      <w:r w:rsidR="006561DD">
        <w:rPr>
          <w:sz w:val="22"/>
        </w:rPr>
        <w:t>x</w:t>
      </w:r>
      <w:r>
        <w:rPr>
          <w:sz w:val="22"/>
        </w:rPr>
        <w:t xml:space="preserve"> % kusů Zboží, které by mu měl vrátit, má Komitent právo na úhradu nákupní ceny takového počtu kusů Zboží, který představuje rozdíl mezi </w:t>
      </w:r>
      <w:r w:rsidR="006561DD">
        <w:rPr>
          <w:sz w:val="22"/>
        </w:rPr>
        <w:t>x</w:t>
      </w:r>
      <w:r>
        <w:rPr>
          <w:sz w:val="22"/>
        </w:rPr>
        <w:t xml:space="preserve"> % kusů Zboží, které mělo být vráceno a počtem kusů Zboží, které bylo skutečně vráceno: </w:t>
      </w:r>
    </w:p>
    <w:p w:rsidR="00246D52" w:rsidRPr="00D95C45" w:rsidRDefault="00246D52" w:rsidP="00246D52">
      <w:pPr>
        <w:tabs>
          <w:tab w:val="left" w:pos="567"/>
        </w:tabs>
        <w:spacing w:before="0" w:after="120"/>
        <w:ind w:left="1134"/>
        <w:jc w:val="center"/>
        <w:rPr>
          <w:b/>
          <w:sz w:val="22"/>
        </w:rPr>
      </w:pPr>
      <w:r w:rsidRPr="00D95C45">
        <w:rPr>
          <w:b/>
          <w:sz w:val="22"/>
        </w:rPr>
        <w:t>X=NC*[(</w:t>
      </w:r>
      <w:r w:rsidR="006561DD">
        <w:rPr>
          <w:b/>
          <w:sz w:val="22"/>
        </w:rPr>
        <w:t>x</w:t>
      </w:r>
      <w:r w:rsidRPr="00D95C45">
        <w:rPr>
          <w:b/>
          <w:sz w:val="22"/>
        </w:rPr>
        <w:t>*Z)-ZV]</w:t>
      </w:r>
    </w:p>
    <w:p w:rsidR="00246D52" w:rsidRDefault="00246D52" w:rsidP="00246D52">
      <w:pPr>
        <w:tabs>
          <w:tab w:val="left" w:pos="2694"/>
        </w:tabs>
        <w:spacing w:before="0" w:after="120"/>
        <w:ind w:left="1134"/>
        <w:rPr>
          <w:sz w:val="22"/>
        </w:rPr>
      </w:pPr>
      <w:r>
        <w:rPr>
          <w:sz w:val="22"/>
        </w:rPr>
        <w:t>X………………</w:t>
      </w:r>
      <w:r>
        <w:rPr>
          <w:sz w:val="22"/>
        </w:rPr>
        <w:tab/>
        <w:t>úhrada za nevrácené Zboží náležející Komitentovi</w:t>
      </w:r>
    </w:p>
    <w:p w:rsidR="00246D52" w:rsidRDefault="00246D52" w:rsidP="00246D52">
      <w:pPr>
        <w:tabs>
          <w:tab w:val="left" w:pos="2694"/>
        </w:tabs>
        <w:spacing w:before="0" w:after="120"/>
        <w:ind w:left="2694" w:hanging="1560"/>
        <w:rPr>
          <w:sz w:val="22"/>
        </w:rPr>
      </w:pPr>
      <w:r>
        <w:rPr>
          <w:sz w:val="22"/>
        </w:rPr>
        <w:t>NC…………….</w:t>
      </w:r>
      <w:r>
        <w:rPr>
          <w:sz w:val="22"/>
        </w:rPr>
        <w:tab/>
        <w:t>nákupní cena Zboží, která představuje rozdíl mezi prodejní cenou vraceného Zboží bez DPH uvedenou v Příloze č. 2 a odměnou Komisionáře uvedenou v Příloze č. 2</w:t>
      </w:r>
    </w:p>
    <w:p w:rsidR="00246D52" w:rsidRDefault="00246D52" w:rsidP="00246D52">
      <w:pPr>
        <w:tabs>
          <w:tab w:val="left" w:pos="2694"/>
        </w:tabs>
        <w:spacing w:before="0" w:after="120"/>
        <w:ind w:left="2694" w:hanging="1560"/>
        <w:rPr>
          <w:sz w:val="22"/>
        </w:rPr>
      </w:pPr>
      <w:r>
        <w:rPr>
          <w:sz w:val="22"/>
        </w:rPr>
        <w:t>Z…………….</w:t>
      </w:r>
      <w:r>
        <w:rPr>
          <w:sz w:val="22"/>
        </w:rPr>
        <w:tab/>
        <w:t>počet kusů Zboží, které by mělo být vráceno Komitentovi (tj. Zboží dodané Komitentem po odečtení prodaného Zboží)</w:t>
      </w:r>
    </w:p>
    <w:p w:rsidR="00246D52" w:rsidRDefault="00246D52" w:rsidP="00246D52">
      <w:pPr>
        <w:tabs>
          <w:tab w:val="left" w:pos="2694"/>
        </w:tabs>
        <w:spacing w:before="0" w:after="120"/>
        <w:ind w:left="1134"/>
        <w:rPr>
          <w:sz w:val="22"/>
        </w:rPr>
      </w:pPr>
      <w:r>
        <w:rPr>
          <w:sz w:val="22"/>
        </w:rPr>
        <w:t>ZV…………….</w:t>
      </w:r>
      <w:r>
        <w:rPr>
          <w:sz w:val="22"/>
        </w:rPr>
        <w:tab/>
        <w:t xml:space="preserve">počet kusů Zboží, které bylo Komitentovi vráceno </w:t>
      </w:r>
    </w:p>
    <w:p w:rsidR="00246D52" w:rsidRDefault="00246D52" w:rsidP="00246D52">
      <w:pPr>
        <w:tabs>
          <w:tab w:val="left" w:pos="567"/>
        </w:tabs>
        <w:spacing w:before="0" w:after="120"/>
        <w:ind w:left="1134"/>
        <w:rPr>
          <w:sz w:val="22"/>
        </w:rPr>
      </w:pPr>
      <w:r>
        <w:rPr>
          <w:sz w:val="22"/>
        </w:rPr>
        <w:t xml:space="preserve">Úhrada za počet kusů nevráceného Zboží, který představuje menší než </w:t>
      </w:r>
      <w:r w:rsidR="006561DD">
        <w:rPr>
          <w:sz w:val="22"/>
        </w:rPr>
        <w:t xml:space="preserve">x </w:t>
      </w:r>
      <w:r>
        <w:rPr>
          <w:sz w:val="22"/>
        </w:rPr>
        <w:t>% rozdíl mezi Zbožím, které mělo být vráceno, a Zbožím, které bylo vráceno, Komitentovi nepřísluší.</w:t>
      </w:r>
    </w:p>
    <w:p w:rsidR="00246D52" w:rsidRDefault="00246D52" w:rsidP="00246D52">
      <w:pPr>
        <w:tabs>
          <w:tab w:val="left" w:pos="567"/>
        </w:tabs>
        <w:spacing w:before="0" w:after="120"/>
        <w:ind w:left="1134"/>
        <w:rPr>
          <w:sz w:val="22"/>
        </w:rPr>
      </w:pPr>
      <w:r>
        <w:rPr>
          <w:sz w:val="22"/>
        </w:rPr>
        <w:t xml:space="preserve">V případě, kdy jde o vracení Zboží z důvodu ukončení prodeje jednotlivého druhu Zboží, určuje se rozdíl mezi vráceným Zbožím a Zbožím, které mělo být vráceno, z počtu kusů takového druhu Zboží, jehož prodej je ukončován. V případě, kdy jde o vracení Zboží z důvodu ukončení prodeje více druhů Zboží nebo ukončení Smlouvy jako celku, určuje se rozdíl mezi vráceným Zbožím a Zbožím, které mělo být vráceno, z celkového počtu kusů všech druhů Zboží, jehož prodej je ukončován, resp. všech druhů Zboží v případě, kdy jde o skončení Smlouvy. </w:t>
      </w:r>
    </w:p>
    <w:p w:rsidR="00AF4FEF" w:rsidRDefault="00AF4FEF" w:rsidP="00E05DA2">
      <w:pPr>
        <w:spacing w:before="0" w:after="120"/>
        <w:rPr>
          <w:b/>
          <w:sz w:val="22"/>
        </w:rPr>
      </w:pPr>
    </w:p>
    <w:p w:rsidR="00AF4FEF" w:rsidRPr="0023157D" w:rsidRDefault="00AF4FEF" w:rsidP="00E05DA2">
      <w:pPr>
        <w:numPr>
          <w:ilvl w:val="0"/>
          <w:numId w:val="6"/>
        </w:numPr>
        <w:tabs>
          <w:tab w:val="left" w:pos="720"/>
        </w:tabs>
        <w:spacing w:before="0" w:after="120"/>
        <w:jc w:val="center"/>
        <w:rPr>
          <w:b/>
          <w:sz w:val="22"/>
        </w:rPr>
      </w:pPr>
      <w:r w:rsidRPr="0023157D">
        <w:rPr>
          <w:b/>
          <w:sz w:val="22"/>
        </w:rPr>
        <w:t xml:space="preserve">Prohlášení </w:t>
      </w:r>
      <w:r w:rsidR="00D642E5">
        <w:rPr>
          <w:b/>
          <w:sz w:val="22"/>
        </w:rPr>
        <w:t xml:space="preserve">a povinnosti </w:t>
      </w:r>
      <w:r w:rsidRPr="0023157D">
        <w:rPr>
          <w:b/>
          <w:sz w:val="22"/>
        </w:rPr>
        <w:t>Smluvních stran</w:t>
      </w:r>
    </w:p>
    <w:p w:rsidR="00AF4FEF" w:rsidRPr="0023157D" w:rsidRDefault="00AF4FEF" w:rsidP="00E05DA2">
      <w:pPr>
        <w:numPr>
          <w:ilvl w:val="1"/>
          <w:numId w:val="6"/>
        </w:numPr>
        <w:tabs>
          <w:tab w:val="left" w:pos="567"/>
        </w:tabs>
        <w:spacing w:before="0" w:after="120"/>
        <w:ind w:left="567" w:hanging="567"/>
        <w:rPr>
          <w:sz w:val="22"/>
        </w:rPr>
      </w:pPr>
      <w:r w:rsidRPr="0023157D">
        <w:rPr>
          <w:sz w:val="22"/>
        </w:rPr>
        <w:t xml:space="preserve">Komitent prohlašuje, že </w:t>
      </w:r>
    </w:p>
    <w:p w:rsidR="00AF4FEF" w:rsidRPr="0023157D" w:rsidRDefault="00AF4FEF" w:rsidP="00E05DA2">
      <w:pPr>
        <w:numPr>
          <w:ilvl w:val="2"/>
          <w:numId w:val="6"/>
        </w:numPr>
        <w:tabs>
          <w:tab w:val="left" w:pos="567"/>
        </w:tabs>
        <w:spacing w:before="0" w:after="120"/>
        <w:ind w:left="1134" w:hanging="567"/>
        <w:rPr>
          <w:sz w:val="22"/>
        </w:rPr>
      </w:pPr>
      <w:r w:rsidRPr="0023157D">
        <w:rPr>
          <w:sz w:val="22"/>
        </w:rPr>
        <w:t>Zboží splňuje požadavky veškerých právních předpisů, které upravují nakládání s</w:t>
      </w:r>
      <w:r>
        <w:rPr>
          <w:sz w:val="22"/>
        </w:rPr>
        <w:t> uvedeným Zbožím</w:t>
      </w:r>
      <w:r w:rsidRPr="0023157D">
        <w:rPr>
          <w:sz w:val="22"/>
        </w:rPr>
        <w:t>, vč. je</w:t>
      </w:r>
      <w:r>
        <w:rPr>
          <w:sz w:val="22"/>
        </w:rPr>
        <w:t>ho</w:t>
      </w:r>
      <w:r w:rsidRPr="0023157D">
        <w:rPr>
          <w:sz w:val="22"/>
        </w:rPr>
        <w:t xml:space="preserve"> prodeje, a jako takové může být prodáváno na území České republiky;</w:t>
      </w:r>
    </w:p>
    <w:p w:rsidR="00C94594" w:rsidRPr="0023157D" w:rsidRDefault="00C94594" w:rsidP="00C94594">
      <w:pPr>
        <w:numPr>
          <w:ilvl w:val="2"/>
          <w:numId w:val="6"/>
        </w:numPr>
        <w:tabs>
          <w:tab w:val="left" w:pos="567"/>
        </w:tabs>
        <w:spacing w:before="0" w:after="120"/>
        <w:ind w:left="1134" w:hanging="567"/>
        <w:rPr>
          <w:sz w:val="22"/>
        </w:rPr>
      </w:pPr>
      <w:r>
        <w:rPr>
          <w:sz w:val="22"/>
        </w:rPr>
        <w:t>Zboží je Komisionáři dodáváno včetně všech dokladů, které se k jeho prodeji spotřebitelům vztahují (např. návod k použití, manuál apod.);</w:t>
      </w:r>
    </w:p>
    <w:p w:rsidR="00AF4FEF" w:rsidRPr="0023157D" w:rsidRDefault="00AF4FEF" w:rsidP="00E05DA2">
      <w:pPr>
        <w:numPr>
          <w:ilvl w:val="2"/>
          <w:numId w:val="6"/>
        </w:numPr>
        <w:tabs>
          <w:tab w:val="left" w:pos="567"/>
        </w:tabs>
        <w:spacing w:before="0" w:after="120"/>
        <w:ind w:left="1134" w:hanging="567"/>
        <w:rPr>
          <w:sz w:val="22"/>
        </w:rPr>
      </w:pPr>
      <w:r w:rsidRPr="0023157D">
        <w:rPr>
          <w:sz w:val="22"/>
        </w:rPr>
        <w:t>Zboží je právně i fakticky nezávadné, bezpečné;</w:t>
      </w:r>
    </w:p>
    <w:p w:rsidR="00235055" w:rsidRDefault="00AF4FEF" w:rsidP="00E05DA2">
      <w:pPr>
        <w:numPr>
          <w:ilvl w:val="2"/>
          <w:numId w:val="6"/>
        </w:numPr>
        <w:tabs>
          <w:tab w:val="left" w:pos="567"/>
        </w:tabs>
        <w:spacing w:before="0" w:after="120"/>
        <w:ind w:left="1134" w:hanging="567"/>
        <w:rPr>
          <w:sz w:val="22"/>
        </w:rPr>
      </w:pPr>
      <w:r w:rsidRPr="0023157D">
        <w:rPr>
          <w:sz w:val="22"/>
        </w:rPr>
        <w:t>Komitent splnil veškeré informační a/nebo registrační povinnosti týkající se Zboží</w:t>
      </w:r>
      <w:r>
        <w:rPr>
          <w:sz w:val="22"/>
        </w:rPr>
        <w:t xml:space="preserve"> a další</w:t>
      </w:r>
      <w:r w:rsidRPr="0023157D">
        <w:rPr>
          <w:sz w:val="22"/>
        </w:rPr>
        <w:t xml:space="preserve"> povinnosti spojené s uváděním Zboží na trh</w:t>
      </w:r>
      <w:r>
        <w:rPr>
          <w:sz w:val="22"/>
        </w:rPr>
        <w:t>, vč. požadavků na označování Zboží</w:t>
      </w:r>
      <w:r w:rsidR="00235055">
        <w:rPr>
          <w:sz w:val="22"/>
        </w:rPr>
        <w:t>;</w:t>
      </w:r>
    </w:p>
    <w:p w:rsidR="008A20D8" w:rsidRDefault="00235055" w:rsidP="00E05DA2">
      <w:pPr>
        <w:numPr>
          <w:ilvl w:val="2"/>
          <w:numId w:val="6"/>
        </w:numPr>
        <w:tabs>
          <w:tab w:val="left" w:pos="567"/>
        </w:tabs>
        <w:spacing w:before="0" w:after="120"/>
        <w:ind w:left="1134" w:hanging="567"/>
        <w:rPr>
          <w:sz w:val="22"/>
        </w:rPr>
      </w:pPr>
      <w:r>
        <w:rPr>
          <w:sz w:val="22"/>
        </w:rPr>
        <w:t>Komitent je oprávněn Zboží prodávat, a to i prostřednictvím Komisionáře</w:t>
      </w:r>
      <w:r w:rsidR="008A20D8">
        <w:rPr>
          <w:sz w:val="22"/>
        </w:rPr>
        <w:t>;</w:t>
      </w:r>
    </w:p>
    <w:p w:rsidR="008A20D8" w:rsidRPr="0023157D" w:rsidRDefault="008A20D8" w:rsidP="008A20D8">
      <w:pPr>
        <w:numPr>
          <w:ilvl w:val="2"/>
          <w:numId w:val="6"/>
        </w:numPr>
        <w:tabs>
          <w:tab w:val="left" w:pos="567"/>
        </w:tabs>
        <w:spacing w:before="0" w:after="120"/>
        <w:ind w:left="1134" w:hanging="567"/>
        <w:rPr>
          <w:sz w:val="22"/>
        </w:rPr>
      </w:pPr>
      <w:r>
        <w:rPr>
          <w:sz w:val="22"/>
        </w:rPr>
        <w:t>Na Zboží neváznou, a jeho prodejem nejsou dotčena, žádná práva třetích osob.</w:t>
      </w:r>
    </w:p>
    <w:p w:rsidR="00AF4FEF" w:rsidRPr="0023157D" w:rsidRDefault="00AF4FEF" w:rsidP="008A20D8">
      <w:pPr>
        <w:numPr>
          <w:ilvl w:val="1"/>
          <w:numId w:val="6"/>
        </w:numPr>
        <w:tabs>
          <w:tab w:val="left" w:pos="567"/>
        </w:tabs>
        <w:spacing w:before="0" w:after="120"/>
        <w:ind w:left="567" w:hanging="567"/>
        <w:rPr>
          <w:sz w:val="22"/>
        </w:rPr>
      </w:pPr>
      <w:r w:rsidRPr="0023157D">
        <w:rPr>
          <w:sz w:val="22"/>
        </w:rPr>
        <w:t xml:space="preserve">Komisionář prohlašuje, že </w:t>
      </w:r>
    </w:p>
    <w:p w:rsidR="00AF4FEF" w:rsidRPr="0023157D" w:rsidRDefault="00AF4FEF" w:rsidP="00E05DA2">
      <w:pPr>
        <w:numPr>
          <w:ilvl w:val="2"/>
          <w:numId w:val="6"/>
        </w:numPr>
        <w:tabs>
          <w:tab w:val="left" w:pos="567"/>
        </w:tabs>
        <w:spacing w:before="0" w:after="120"/>
        <w:ind w:left="1134" w:hanging="567"/>
        <w:rPr>
          <w:sz w:val="22"/>
        </w:rPr>
      </w:pPr>
      <w:r w:rsidRPr="0023157D">
        <w:rPr>
          <w:sz w:val="22"/>
        </w:rPr>
        <w:t>má oprávnění k výkonu činnosti, která je předmětem této Smlouvy;</w:t>
      </w:r>
    </w:p>
    <w:p w:rsidR="00AF4FEF" w:rsidRPr="0023157D" w:rsidRDefault="00AF4FEF" w:rsidP="00E05DA2">
      <w:pPr>
        <w:numPr>
          <w:ilvl w:val="2"/>
          <w:numId w:val="6"/>
        </w:numPr>
        <w:tabs>
          <w:tab w:val="left" w:pos="567"/>
        </w:tabs>
        <w:spacing w:before="0" w:after="120"/>
        <w:ind w:left="1134" w:hanging="567"/>
        <w:rPr>
          <w:sz w:val="22"/>
        </w:rPr>
      </w:pPr>
      <w:r w:rsidRPr="0023157D">
        <w:rPr>
          <w:sz w:val="22"/>
        </w:rPr>
        <w:t>plněním této Smlouvy pověří pouze osoby, které jsou k tomu oprávněné a splňují požadavky stanovené právními předpisy, které upravují výkon činnosti, jež je předmětem této Smlouvy.</w:t>
      </w:r>
    </w:p>
    <w:p w:rsidR="00AF4FEF" w:rsidRDefault="00AF4FEF" w:rsidP="00E05DA2">
      <w:pPr>
        <w:numPr>
          <w:ilvl w:val="1"/>
          <w:numId w:val="6"/>
        </w:numPr>
        <w:tabs>
          <w:tab w:val="left" w:pos="567"/>
        </w:tabs>
        <w:spacing w:before="0" w:after="120"/>
        <w:ind w:left="567" w:hanging="567"/>
        <w:rPr>
          <w:sz w:val="22"/>
        </w:rPr>
      </w:pPr>
      <w:r w:rsidRPr="0023157D">
        <w:rPr>
          <w:sz w:val="22"/>
        </w:rPr>
        <w:t xml:space="preserve">Ukáže-li se kterékoli z prohlášení Smluvních stran jako neúplné či nepravdivé a druhé Smluvní straně bude takovým neúplným či nepravdivým prohlášením způsobena škoda, zavazuje se Smluvní strana, která takové prohlášení učinila, k náhradě veškeré škody tím druhé Smluvní straně způsobené. V případě, že v důsledku takového neúplného či nepravdivého prohlášení </w:t>
      </w:r>
      <w:r w:rsidRPr="0023157D">
        <w:rPr>
          <w:sz w:val="22"/>
        </w:rPr>
        <w:lastRenderedPageBreak/>
        <w:t xml:space="preserve">bude orgánem veřejné moci druhé Smluvní straně pravomocně uložena povinnost k úhradě jakékoli peněžité sankce či obdobná peněžitá povinnost (vč. povinnosti uložené soudním rozhodnutím), zavazuje se ta Smluvní strana, která takové prohlášení učinila, k náhradě takto uložené sankce v plném rozsahu, jakož i veškerých nákladů vynaložených poškozenou Smluvní stranou v rámci řízení o uložení takové sankce či obdobné povinnosti. </w:t>
      </w:r>
    </w:p>
    <w:p w:rsidR="00D642E5" w:rsidRPr="002A3C3F" w:rsidRDefault="00D642E5" w:rsidP="00A53D8F">
      <w:pPr>
        <w:numPr>
          <w:ilvl w:val="1"/>
          <w:numId w:val="6"/>
        </w:numPr>
        <w:tabs>
          <w:tab w:val="left" w:pos="567"/>
        </w:tabs>
        <w:spacing w:before="0" w:after="120"/>
        <w:ind w:left="567" w:hanging="567"/>
        <w:rPr>
          <w:sz w:val="22"/>
          <w:szCs w:val="22"/>
        </w:rPr>
      </w:pPr>
      <w:r w:rsidRPr="002A3C3F">
        <w:rPr>
          <w:sz w:val="22"/>
          <w:szCs w:val="22"/>
        </w:rPr>
        <w:t>Smluvní strany se zavazují dodržovat právní předpisy a chovat se tak, aby jejich jednání nemohlo vzbudit důvodné podezření ze spáchání nebo páchání trestného činu a to ani takového, který by mohl být přičitatelný České poště, s.p. podle zákona č. 418/2011 Sb., o trestní odpovědnosti právnických osob a řízení proti nim, ve znění pozdějších předpisů.</w:t>
      </w:r>
    </w:p>
    <w:p w:rsidR="00D642E5" w:rsidRPr="002A3C3F" w:rsidRDefault="00D642E5" w:rsidP="00D642E5">
      <w:pPr>
        <w:numPr>
          <w:ilvl w:val="1"/>
          <w:numId w:val="6"/>
        </w:numPr>
        <w:tabs>
          <w:tab w:val="left" w:pos="567"/>
        </w:tabs>
        <w:spacing w:before="0" w:after="120"/>
        <w:ind w:left="567" w:hanging="567"/>
        <w:rPr>
          <w:sz w:val="22"/>
          <w:szCs w:val="22"/>
        </w:rPr>
      </w:pPr>
      <w:r w:rsidRPr="002A3C3F">
        <w:rPr>
          <w:sz w:val="22"/>
          <w:szCs w:val="22"/>
        </w:rPr>
        <w:t xml:space="preserve">Smluvní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úplatkářství či jiný trestný čin spojený s korupcí dle zákona č. 40/2009 Sb., trestní zákoník, ve znění pozdějších předpisů. </w:t>
      </w:r>
    </w:p>
    <w:p w:rsidR="00D642E5" w:rsidRPr="002A3C3F" w:rsidRDefault="00D642E5" w:rsidP="00D642E5">
      <w:pPr>
        <w:pStyle w:val="Odstavecseseznamem"/>
        <w:spacing w:before="0" w:after="120"/>
        <w:ind w:left="567"/>
        <w:rPr>
          <w:sz w:val="22"/>
          <w:szCs w:val="22"/>
        </w:rPr>
      </w:pPr>
      <w:r w:rsidRPr="002A3C3F">
        <w:rPr>
          <w:sz w:val="22"/>
          <w:szCs w:val="22"/>
        </w:rPr>
        <w:t xml:space="preserve">Smluvní strany se zavazují, že neposkytnou, nenabídnou ani neslíbí úplatek jinému nebo pro jiného v souvislosti s obstaráváním věcí obecného zájmu anebo v souvislosti s podnikáním svým nebo jiného. Smluvní strany se rovněž zavazují, že úplatek nepřijmou, ani si jej nedají slíbit, ať už pro sebe nebo 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 nárok. </w:t>
      </w:r>
    </w:p>
    <w:p w:rsidR="00D642E5" w:rsidRPr="002A3C3F" w:rsidRDefault="00D642E5" w:rsidP="00D642E5">
      <w:pPr>
        <w:pStyle w:val="Odstavecseseznamem"/>
        <w:spacing w:before="0" w:after="120"/>
        <w:ind w:left="567"/>
        <w:rPr>
          <w:sz w:val="22"/>
          <w:szCs w:val="22"/>
        </w:rPr>
      </w:pPr>
      <w:r w:rsidRPr="002A3C3F">
        <w:rPr>
          <w:sz w:val="22"/>
          <w:szCs w:val="22"/>
        </w:rPr>
        <w:t>Smluvní strany nebudou ani u svých obchodních partnerů tolerovat jakoukoliv formu korupce či uplácení.</w:t>
      </w:r>
    </w:p>
    <w:p w:rsidR="00D642E5" w:rsidRPr="002A3C3F" w:rsidRDefault="00D642E5" w:rsidP="00D642E5">
      <w:pPr>
        <w:numPr>
          <w:ilvl w:val="1"/>
          <w:numId w:val="6"/>
        </w:numPr>
        <w:tabs>
          <w:tab w:val="left" w:pos="567"/>
        </w:tabs>
        <w:spacing w:before="0" w:after="120"/>
        <w:ind w:left="567" w:hanging="567"/>
        <w:rPr>
          <w:sz w:val="22"/>
          <w:szCs w:val="22"/>
        </w:rPr>
      </w:pPr>
      <w:r>
        <w:rPr>
          <w:sz w:val="22"/>
          <w:szCs w:val="22"/>
        </w:rPr>
        <w:t>Komitent</w:t>
      </w:r>
      <w:r w:rsidRPr="002A3C3F">
        <w:rPr>
          <w:sz w:val="22"/>
          <w:szCs w:val="22"/>
        </w:rPr>
        <w:t xml:space="preserve"> je povin</w:t>
      </w:r>
      <w:r>
        <w:rPr>
          <w:sz w:val="22"/>
          <w:szCs w:val="22"/>
        </w:rPr>
        <w:t>e</w:t>
      </w:r>
      <w:r w:rsidRPr="002A3C3F">
        <w:rPr>
          <w:sz w:val="22"/>
          <w:szCs w:val="22"/>
        </w:rPr>
        <w:t xml:space="preserve">n chovat se eticky a v rámci své činnosti dodržovat </w:t>
      </w:r>
      <w:r>
        <w:rPr>
          <w:sz w:val="22"/>
          <w:szCs w:val="22"/>
        </w:rPr>
        <w:t xml:space="preserve">mimo jiné </w:t>
      </w:r>
      <w:r w:rsidRPr="002A3C3F">
        <w:rPr>
          <w:sz w:val="22"/>
          <w:szCs w:val="22"/>
        </w:rPr>
        <w:t>morální a profesionální principy chování zakotvené v Etickém kodexu České pošty, s.p. (dále jen „</w:t>
      </w:r>
      <w:r w:rsidRPr="002A3C3F">
        <w:rPr>
          <w:b/>
          <w:sz w:val="22"/>
          <w:szCs w:val="22"/>
        </w:rPr>
        <w:t>Etický kodex</w:t>
      </w:r>
      <w:r w:rsidRPr="002A3C3F">
        <w:rPr>
          <w:sz w:val="22"/>
          <w:szCs w:val="22"/>
        </w:rPr>
        <w:t xml:space="preserve">“). </w:t>
      </w:r>
      <w:r>
        <w:rPr>
          <w:sz w:val="22"/>
          <w:szCs w:val="22"/>
        </w:rPr>
        <w:t>Komitent</w:t>
      </w:r>
      <w:r w:rsidRPr="002A3C3F">
        <w:rPr>
          <w:sz w:val="22"/>
          <w:szCs w:val="22"/>
        </w:rPr>
        <w:t xml:space="preserve"> má povinnost seznámit se s Etickým kodexem, který je v aktuálním znění </w:t>
      </w:r>
      <w:r>
        <w:rPr>
          <w:sz w:val="22"/>
          <w:szCs w:val="22"/>
        </w:rPr>
        <w:t>P</w:t>
      </w:r>
      <w:r w:rsidRPr="002A3C3F">
        <w:rPr>
          <w:sz w:val="22"/>
          <w:szCs w:val="22"/>
        </w:rPr>
        <w:t xml:space="preserve">řílohou č. </w:t>
      </w:r>
      <w:r>
        <w:rPr>
          <w:sz w:val="22"/>
          <w:szCs w:val="22"/>
        </w:rPr>
        <w:t>3</w:t>
      </w:r>
      <w:r w:rsidRPr="002A3C3F">
        <w:rPr>
          <w:sz w:val="22"/>
          <w:szCs w:val="22"/>
        </w:rPr>
        <w:t xml:space="preserve"> této Smlouvy, zavazuje se jej dodržovat při plnění povinností vyplývajících z této Smlouvy a vzniklých na jejím základě a zavazuje se zajistit, že principy chování vyjádřené v</w:t>
      </w:r>
      <w:r>
        <w:rPr>
          <w:sz w:val="22"/>
          <w:szCs w:val="22"/>
        </w:rPr>
        <w:t> </w:t>
      </w:r>
      <w:r w:rsidRPr="002A3C3F">
        <w:rPr>
          <w:sz w:val="22"/>
          <w:szCs w:val="22"/>
        </w:rPr>
        <w:t xml:space="preserve">Etickém kodexu budou stejnou měrou dodržovány všemi zaměstnanci </w:t>
      </w:r>
      <w:r>
        <w:rPr>
          <w:sz w:val="22"/>
          <w:szCs w:val="22"/>
        </w:rPr>
        <w:t>Komitenta</w:t>
      </w:r>
      <w:r w:rsidRPr="002A3C3F">
        <w:rPr>
          <w:sz w:val="22"/>
          <w:szCs w:val="22"/>
        </w:rPr>
        <w:t xml:space="preserve"> či osobami v</w:t>
      </w:r>
      <w:r>
        <w:rPr>
          <w:sz w:val="22"/>
          <w:szCs w:val="22"/>
        </w:rPr>
        <w:t> </w:t>
      </w:r>
      <w:r w:rsidRPr="002A3C3F">
        <w:rPr>
          <w:sz w:val="22"/>
          <w:szCs w:val="22"/>
        </w:rPr>
        <w:t xml:space="preserve">obdobném postavení, členy statutárních nebo dozorčích orgánů </w:t>
      </w:r>
      <w:r>
        <w:rPr>
          <w:sz w:val="22"/>
          <w:szCs w:val="22"/>
        </w:rPr>
        <w:t>Komitenta</w:t>
      </w:r>
      <w:r w:rsidRPr="002A3C3F">
        <w:rPr>
          <w:sz w:val="22"/>
          <w:szCs w:val="22"/>
        </w:rPr>
        <w:t xml:space="preserve"> a osobami jednajících jménem </w:t>
      </w:r>
      <w:r>
        <w:rPr>
          <w:sz w:val="22"/>
          <w:szCs w:val="22"/>
        </w:rPr>
        <w:t>Komitenta</w:t>
      </w:r>
      <w:r w:rsidRPr="002A3C3F">
        <w:rPr>
          <w:sz w:val="22"/>
          <w:szCs w:val="22"/>
        </w:rPr>
        <w:t xml:space="preserve">. </w:t>
      </w:r>
    </w:p>
    <w:p w:rsidR="00D642E5" w:rsidRPr="002A3C3F" w:rsidRDefault="00D642E5" w:rsidP="00D642E5">
      <w:pPr>
        <w:pStyle w:val="Odstavecseseznamem"/>
        <w:spacing w:before="0" w:after="120"/>
        <w:ind w:left="567"/>
        <w:rPr>
          <w:sz w:val="22"/>
          <w:szCs w:val="22"/>
        </w:rPr>
      </w:pPr>
      <w:r w:rsidRPr="002A3C3F">
        <w:rPr>
          <w:sz w:val="22"/>
          <w:szCs w:val="22"/>
        </w:rPr>
        <w:t xml:space="preserve">Součástí Etického kodexu jsou kontakty pro nahlašování podezření na nekalé jednání, kterým se rozumí jednání či chování v rozporu s právními či vnitřními předpisy </w:t>
      </w:r>
      <w:r>
        <w:rPr>
          <w:sz w:val="22"/>
          <w:szCs w:val="22"/>
        </w:rPr>
        <w:t>Komisionáře</w:t>
      </w:r>
      <w:r w:rsidRPr="002A3C3F">
        <w:rPr>
          <w:sz w:val="22"/>
          <w:szCs w:val="22"/>
        </w:rPr>
        <w:t xml:space="preserve">, zejména Etickým kodexem, které by mohlo vést k trestnímu stíhání a případně odsouzení </w:t>
      </w:r>
      <w:r>
        <w:rPr>
          <w:sz w:val="22"/>
          <w:szCs w:val="22"/>
        </w:rPr>
        <w:t>Komisionáře</w:t>
      </w:r>
      <w:r w:rsidRPr="002A3C3F">
        <w:rPr>
          <w:sz w:val="22"/>
          <w:szCs w:val="22"/>
        </w:rPr>
        <w:t xml:space="preserve"> dle zákona o trestní odpovědnosti právnických osob nebo jinak poškodit reputaci </w:t>
      </w:r>
      <w:r>
        <w:rPr>
          <w:sz w:val="22"/>
          <w:szCs w:val="22"/>
        </w:rPr>
        <w:t>Komisionáře</w:t>
      </w:r>
      <w:r w:rsidRPr="002A3C3F">
        <w:rPr>
          <w:sz w:val="22"/>
          <w:szCs w:val="22"/>
        </w:rPr>
        <w:t xml:space="preserve">. </w:t>
      </w:r>
      <w:r>
        <w:rPr>
          <w:sz w:val="22"/>
          <w:szCs w:val="22"/>
        </w:rPr>
        <w:t>Komitent</w:t>
      </w:r>
      <w:r w:rsidRPr="002A3C3F">
        <w:rPr>
          <w:sz w:val="22"/>
          <w:szCs w:val="22"/>
        </w:rPr>
        <w:t xml:space="preserve"> je oprávněn tyto kontakty využít, pokud bude mít podezření, že jednáním zaměstnanců </w:t>
      </w:r>
      <w:r>
        <w:rPr>
          <w:sz w:val="22"/>
          <w:szCs w:val="22"/>
        </w:rPr>
        <w:t>Komisionáře</w:t>
      </w:r>
      <w:r w:rsidRPr="002A3C3F">
        <w:rPr>
          <w:sz w:val="22"/>
          <w:szCs w:val="22"/>
        </w:rPr>
        <w:t xml:space="preserve"> nebo jiných osob jednajících jménem </w:t>
      </w:r>
      <w:r>
        <w:rPr>
          <w:sz w:val="22"/>
          <w:szCs w:val="22"/>
        </w:rPr>
        <w:t>Komisionáře</w:t>
      </w:r>
      <w:r w:rsidRPr="002A3C3F">
        <w:rPr>
          <w:sz w:val="22"/>
          <w:szCs w:val="22"/>
        </w:rPr>
        <w:t xml:space="preserve"> došlo právě k takovému jednání, nebo se takové jednání připravuje.</w:t>
      </w:r>
    </w:p>
    <w:p w:rsidR="00D642E5" w:rsidRDefault="00D642E5" w:rsidP="00D642E5">
      <w:pPr>
        <w:pStyle w:val="Odstavecseseznamem"/>
        <w:spacing w:before="0" w:after="120"/>
        <w:ind w:left="567"/>
        <w:rPr>
          <w:sz w:val="22"/>
          <w:szCs w:val="22"/>
        </w:rPr>
      </w:pPr>
      <w:r w:rsidRPr="002A3C3F">
        <w:rPr>
          <w:sz w:val="22"/>
          <w:szCs w:val="22"/>
        </w:rPr>
        <w:t xml:space="preserve">Aktuální znění Etického kodexu je k dispozici na webových stránkách </w:t>
      </w:r>
      <w:hyperlink r:id="rId7" w:history="1">
        <w:r w:rsidRPr="002A3C3F">
          <w:rPr>
            <w:rStyle w:val="Hypertextovodkaz"/>
            <w:sz w:val="22"/>
            <w:szCs w:val="22"/>
          </w:rPr>
          <w:t>www.ceskaposta.cz</w:t>
        </w:r>
      </w:hyperlink>
      <w:r w:rsidRPr="002A3C3F">
        <w:rPr>
          <w:sz w:val="22"/>
          <w:szCs w:val="22"/>
        </w:rPr>
        <w:t xml:space="preserve">. Znění Etického kodexu je </w:t>
      </w:r>
      <w:r>
        <w:rPr>
          <w:sz w:val="22"/>
          <w:szCs w:val="22"/>
        </w:rPr>
        <w:t>Komisionář</w:t>
      </w:r>
      <w:r w:rsidRPr="002A3C3F">
        <w:rPr>
          <w:sz w:val="22"/>
          <w:szCs w:val="22"/>
        </w:rPr>
        <w:t xml:space="preserve"> oprávněn jednostranně měnit a povin</w:t>
      </w:r>
      <w:r>
        <w:rPr>
          <w:sz w:val="22"/>
          <w:szCs w:val="22"/>
        </w:rPr>
        <w:t>e</w:t>
      </w:r>
      <w:r w:rsidRPr="002A3C3F">
        <w:rPr>
          <w:sz w:val="22"/>
          <w:szCs w:val="22"/>
        </w:rPr>
        <w:t xml:space="preserve">n zveřejnit na svých webových stránkách, aniž by Smluvní strany musely vyhotovovat dodatek k této Smlouvě. </w:t>
      </w:r>
      <w:r>
        <w:rPr>
          <w:sz w:val="22"/>
          <w:szCs w:val="22"/>
        </w:rPr>
        <w:t>Komitent</w:t>
      </w:r>
      <w:r w:rsidRPr="002A3C3F">
        <w:rPr>
          <w:sz w:val="22"/>
          <w:szCs w:val="22"/>
        </w:rPr>
        <w:t xml:space="preserve"> se zavazuje webové stránky </w:t>
      </w:r>
      <w:r>
        <w:rPr>
          <w:sz w:val="22"/>
          <w:szCs w:val="22"/>
        </w:rPr>
        <w:t xml:space="preserve">Komisionáře </w:t>
      </w:r>
      <w:r w:rsidRPr="002A3C3F">
        <w:rPr>
          <w:sz w:val="22"/>
          <w:szCs w:val="22"/>
        </w:rPr>
        <w:t xml:space="preserve">sledovat a vždy se s aktuálním zněním Etického kodexu seznámit.  </w:t>
      </w:r>
    </w:p>
    <w:p w:rsidR="00AF4FEF" w:rsidRPr="005B6850" w:rsidRDefault="00AF4FEF" w:rsidP="00E05DA2">
      <w:pPr>
        <w:tabs>
          <w:tab w:val="left" w:pos="567"/>
        </w:tabs>
        <w:spacing w:before="0" w:after="120"/>
        <w:ind w:left="567"/>
        <w:rPr>
          <w:sz w:val="22"/>
          <w:szCs w:val="22"/>
        </w:rPr>
      </w:pPr>
    </w:p>
    <w:p w:rsidR="00AF4FEF" w:rsidRDefault="00AF4FEF" w:rsidP="00E05DA2">
      <w:pPr>
        <w:numPr>
          <w:ilvl w:val="0"/>
          <w:numId w:val="6"/>
        </w:numPr>
        <w:tabs>
          <w:tab w:val="left" w:pos="720"/>
        </w:tabs>
        <w:spacing w:before="0" w:after="120"/>
        <w:jc w:val="center"/>
        <w:rPr>
          <w:b/>
          <w:sz w:val="22"/>
        </w:rPr>
      </w:pPr>
      <w:r>
        <w:rPr>
          <w:b/>
          <w:sz w:val="22"/>
        </w:rPr>
        <w:t>Sankční ujednání</w:t>
      </w:r>
    </w:p>
    <w:p w:rsidR="005443F1" w:rsidRPr="003E3AB6" w:rsidRDefault="005443F1" w:rsidP="005443F1">
      <w:pPr>
        <w:numPr>
          <w:ilvl w:val="1"/>
          <w:numId w:val="6"/>
        </w:numPr>
        <w:tabs>
          <w:tab w:val="left" w:pos="567"/>
        </w:tabs>
        <w:spacing w:before="0" w:after="120"/>
        <w:ind w:left="567" w:hanging="567"/>
        <w:rPr>
          <w:sz w:val="22"/>
          <w:szCs w:val="22"/>
        </w:rPr>
      </w:pPr>
      <w:r w:rsidRPr="003E3AB6">
        <w:rPr>
          <w:sz w:val="22"/>
          <w:szCs w:val="22"/>
        </w:rPr>
        <w:t xml:space="preserve">V případě prodlení Komitenta s dodáním Zboží </w:t>
      </w:r>
      <w:r w:rsidR="00631AD4">
        <w:rPr>
          <w:sz w:val="22"/>
          <w:szCs w:val="22"/>
        </w:rPr>
        <w:t>ve lhůtě dle Přílohy č. 1</w:t>
      </w:r>
      <w:r w:rsidRPr="003E3AB6">
        <w:rPr>
          <w:sz w:val="22"/>
          <w:szCs w:val="22"/>
        </w:rPr>
        <w:t xml:space="preserve"> nebo v</w:t>
      </w:r>
      <w:r w:rsidR="00631AD4">
        <w:rPr>
          <w:sz w:val="22"/>
          <w:szCs w:val="22"/>
        </w:rPr>
        <w:t>e</w:t>
      </w:r>
      <w:r w:rsidRPr="003E3AB6">
        <w:rPr>
          <w:sz w:val="22"/>
          <w:szCs w:val="22"/>
        </w:rPr>
        <w:t xml:space="preserve"> lhůtě určené Komisionářem dle čl. 6.1, vzniká Komisionáři vůči Komitentovi nárok na zaplacení smluvní </w:t>
      </w:r>
      <w:r w:rsidRPr="003E3AB6">
        <w:rPr>
          <w:sz w:val="22"/>
          <w:szCs w:val="22"/>
        </w:rPr>
        <w:lastRenderedPageBreak/>
        <w:t>pokuty ve výši 1.000,-Kč (slovy: jeden tisíc korun českých) za každý i započatý den prodlení Komitenta s dodáním Zboží Komisionáři.</w:t>
      </w:r>
    </w:p>
    <w:p w:rsidR="00AF4FEF" w:rsidRPr="003E3AB6" w:rsidRDefault="00AF4FEF" w:rsidP="00E05DA2">
      <w:pPr>
        <w:numPr>
          <w:ilvl w:val="1"/>
          <w:numId w:val="6"/>
        </w:numPr>
        <w:tabs>
          <w:tab w:val="left" w:pos="567"/>
        </w:tabs>
        <w:spacing w:before="0" w:after="120"/>
        <w:ind w:left="567" w:hanging="567"/>
        <w:rPr>
          <w:sz w:val="22"/>
        </w:rPr>
      </w:pPr>
      <w:r w:rsidRPr="003E3AB6">
        <w:rPr>
          <w:sz w:val="22"/>
        </w:rPr>
        <w:t>Za každé porušení ujednání čl. 3.1.3 je Komisionář oprávněn požadovat od Komitenta zaplacení smluvní pokuty. Výše smluvní pokuty je dohodou Smluvních stran stanovena na 100.000,- Kč (slovy: jedno sto tisíc korun českých) za každý jednotlivý případ porušení tohoto ujednání.</w:t>
      </w:r>
    </w:p>
    <w:p w:rsidR="00AF4FEF" w:rsidRDefault="00AF4FEF" w:rsidP="00E05DA2">
      <w:pPr>
        <w:numPr>
          <w:ilvl w:val="1"/>
          <w:numId w:val="6"/>
        </w:numPr>
        <w:tabs>
          <w:tab w:val="left" w:pos="567"/>
        </w:tabs>
        <w:spacing w:before="0" w:after="120"/>
        <w:ind w:left="567" w:hanging="567"/>
        <w:rPr>
          <w:sz w:val="22"/>
        </w:rPr>
      </w:pPr>
      <w:r>
        <w:rPr>
          <w:sz w:val="22"/>
        </w:rPr>
        <w:t>Za každý i započatý den prodlení Komitenta při plnění povinnosti zpětného odběru neprodaného Zboží a Zboží s označením „POŠKOZENÉ“ a „REKLAMACE“ dle čl. 3.1.4 Smlouvy je Komisionář oprávněn požadovat od Komitenta zaplacení smluvní pokuty. Výše smluvní pokuty je dohodou Smluvních stran stanovena na 1.000,- Kč (slovy: jeden tisíc korun českých) za každý i započatý den prodlení.</w:t>
      </w:r>
    </w:p>
    <w:p w:rsidR="005443F1" w:rsidRPr="005443F1" w:rsidRDefault="005443F1" w:rsidP="005443F1">
      <w:pPr>
        <w:numPr>
          <w:ilvl w:val="1"/>
          <w:numId w:val="6"/>
        </w:numPr>
        <w:tabs>
          <w:tab w:val="left" w:pos="567"/>
        </w:tabs>
        <w:spacing w:before="0" w:after="120"/>
        <w:ind w:left="567" w:hanging="567"/>
        <w:rPr>
          <w:sz w:val="22"/>
        </w:rPr>
      </w:pPr>
      <w:r w:rsidRPr="00552790">
        <w:rPr>
          <w:sz w:val="22"/>
          <w:szCs w:val="22"/>
        </w:rPr>
        <w:t>V případě porušení povinnosti vyplývající z </w:t>
      </w:r>
      <w:r w:rsidRPr="001B6382">
        <w:rPr>
          <w:sz w:val="22"/>
          <w:szCs w:val="22"/>
        </w:rPr>
        <w:t xml:space="preserve">čl. </w:t>
      </w:r>
      <w:r w:rsidRPr="00B7167B">
        <w:rPr>
          <w:sz w:val="22"/>
          <w:szCs w:val="22"/>
        </w:rPr>
        <w:t>3.1.</w:t>
      </w:r>
      <w:r>
        <w:rPr>
          <w:sz w:val="22"/>
          <w:szCs w:val="22"/>
        </w:rPr>
        <w:t>7</w:t>
      </w:r>
      <w:r w:rsidRPr="00B7167B">
        <w:rPr>
          <w:sz w:val="22"/>
          <w:szCs w:val="22"/>
        </w:rPr>
        <w:t xml:space="preserve"> </w:t>
      </w:r>
      <w:r>
        <w:rPr>
          <w:sz w:val="22"/>
          <w:szCs w:val="22"/>
        </w:rPr>
        <w:t xml:space="preserve">Komitentem </w:t>
      </w:r>
      <w:r w:rsidRPr="00B7167B">
        <w:rPr>
          <w:sz w:val="22"/>
          <w:szCs w:val="22"/>
        </w:rPr>
        <w:t>vzniká Komisionáři vůči Komitentovi nárok na zaplacení smluvní pokuty ve výši 1.000,-Kč (slovy: jeden tisíc korun českých) za každý jednotlivý případ porušení</w:t>
      </w:r>
      <w:r w:rsidR="0041230C">
        <w:rPr>
          <w:sz w:val="22"/>
          <w:szCs w:val="22"/>
        </w:rPr>
        <w:t xml:space="preserve"> této povinnosti</w:t>
      </w:r>
      <w:r w:rsidRPr="00B7167B">
        <w:rPr>
          <w:sz w:val="22"/>
          <w:szCs w:val="22"/>
        </w:rPr>
        <w:t xml:space="preserve">. </w:t>
      </w:r>
    </w:p>
    <w:p w:rsidR="00235055" w:rsidRDefault="00235055" w:rsidP="00235055">
      <w:pPr>
        <w:numPr>
          <w:ilvl w:val="1"/>
          <w:numId w:val="6"/>
        </w:numPr>
        <w:tabs>
          <w:tab w:val="left" w:pos="567"/>
        </w:tabs>
        <w:spacing w:before="0" w:after="120"/>
        <w:ind w:left="567" w:hanging="567"/>
        <w:rPr>
          <w:sz w:val="22"/>
        </w:rPr>
      </w:pPr>
      <w:r w:rsidRPr="0023157D">
        <w:rPr>
          <w:sz w:val="22"/>
        </w:rPr>
        <w:t xml:space="preserve">Ukáže-li se kterékoli z prohlášení </w:t>
      </w:r>
      <w:r>
        <w:rPr>
          <w:sz w:val="22"/>
        </w:rPr>
        <w:t>Komitenta dle čl. 4.1</w:t>
      </w:r>
      <w:r w:rsidRPr="0023157D">
        <w:rPr>
          <w:sz w:val="22"/>
        </w:rPr>
        <w:t xml:space="preserve"> jako neúplné či nepravdivé</w:t>
      </w:r>
      <w:r>
        <w:rPr>
          <w:sz w:val="22"/>
        </w:rPr>
        <w:t>, je Komisionář oprávněn požadovat od Komitenta zaplacení smluvní pokuty. Výše smluvní pokuty je dohodou Smluvních stran stanovena na 100.000,- Kč (slovy: jedno sto tisíc korun českých) za každý jednotlivý případ, kdy se prohlášení Komitenta ukázalo jako neúplné či nepravdivé.</w:t>
      </w:r>
    </w:p>
    <w:p w:rsidR="00AF4FEF" w:rsidRDefault="00AF4FEF" w:rsidP="00E05DA2">
      <w:pPr>
        <w:numPr>
          <w:ilvl w:val="1"/>
          <w:numId w:val="6"/>
        </w:numPr>
        <w:tabs>
          <w:tab w:val="left" w:pos="567"/>
        </w:tabs>
        <w:spacing w:before="0" w:after="120"/>
        <w:ind w:left="567" w:hanging="567"/>
        <w:rPr>
          <w:sz w:val="22"/>
        </w:rPr>
      </w:pPr>
      <w:r>
        <w:rPr>
          <w:sz w:val="22"/>
        </w:rPr>
        <w:t>Smluvní pokuta podle této Smlouvy je splatná ve lhůtě 30 kalendářních dnů ode dne vystavení faktury – vyúčtování o smluvní pokutě.</w:t>
      </w:r>
    </w:p>
    <w:p w:rsidR="00AF4FEF" w:rsidRDefault="00AF4FEF" w:rsidP="00E05DA2">
      <w:pPr>
        <w:numPr>
          <w:ilvl w:val="1"/>
          <w:numId w:val="6"/>
        </w:numPr>
        <w:tabs>
          <w:tab w:val="left" w:pos="567"/>
        </w:tabs>
        <w:spacing w:before="0" w:after="120"/>
        <w:ind w:left="567" w:hanging="567"/>
        <w:rPr>
          <w:sz w:val="22"/>
        </w:rPr>
      </w:pPr>
      <w:r>
        <w:rPr>
          <w:sz w:val="22"/>
        </w:rPr>
        <w:t>Zaplacením smluvní pokuty není nijak dotčeno právo kterékoliv Smluvní strany na poskytování plnění v souladu s touto Smlouvou.</w:t>
      </w:r>
    </w:p>
    <w:p w:rsidR="00AF4FEF" w:rsidRDefault="00AF4FEF" w:rsidP="00E05DA2">
      <w:pPr>
        <w:numPr>
          <w:ilvl w:val="1"/>
          <w:numId w:val="6"/>
        </w:numPr>
        <w:tabs>
          <w:tab w:val="left" w:pos="567"/>
        </w:tabs>
        <w:spacing w:before="0" w:after="120"/>
        <w:ind w:left="567" w:hanging="567"/>
        <w:rPr>
          <w:sz w:val="22"/>
        </w:rPr>
      </w:pPr>
      <w:r>
        <w:rPr>
          <w:sz w:val="22"/>
        </w:rPr>
        <w:t xml:space="preserve">Uplatněním smluvní pokuty není dotčeno právo na náhradu </w:t>
      </w:r>
      <w:r w:rsidR="008A20D8">
        <w:rPr>
          <w:sz w:val="22"/>
        </w:rPr>
        <w:t>vzniklé újmy</w:t>
      </w:r>
      <w:r>
        <w:rPr>
          <w:sz w:val="22"/>
        </w:rPr>
        <w:t xml:space="preserve"> v plné výši.</w:t>
      </w:r>
    </w:p>
    <w:p w:rsidR="00AF4FEF" w:rsidRDefault="00AF4FEF" w:rsidP="00E05DA2">
      <w:pPr>
        <w:spacing w:before="0" w:after="120"/>
        <w:jc w:val="center"/>
        <w:rPr>
          <w:b/>
          <w:sz w:val="22"/>
        </w:rPr>
      </w:pPr>
    </w:p>
    <w:p w:rsidR="00AF4FEF" w:rsidRDefault="00AF4FEF" w:rsidP="00E05DA2">
      <w:pPr>
        <w:numPr>
          <w:ilvl w:val="0"/>
          <w:numId w:val="6"/>
        </w:numPr>
        <w:tabs>
          <w:tab w:val="left" w:pos="720"/>
        </w:tabs>
        <w:spacing w:before="0" w:after="120"/>
        <w:jc w:val="center"/>
        <w:rPr>
          <w:b/>
          <w:sz w:val="22"/>
        </w:rPr>
      </w:pPr>
      <w:r>
        <w:rPr>
          <w:b/>
          <w:sz w:val="22"/>
        </w:rPr>
        <w:t>Vady Zboží a reklamace</w:t>
      </w:r>
    </w:p>
    <w:p w:rsidR="00AF4FEF" w:rsidRPr="00E46484" w:rsidRDefault="00E46484" w:rsidP="00E46484">
      <w:pPr>
        <w:numPr>
          <w:ilvl w:val="1"/>
          <w:numId w:val="6"/>
        </w:numPr>
        <w:tabs>
          <w:tab w:val="left" w:pos="567"/>
        </w:tabs>
        <w:spacing w:before="0" w:after="120"/>
        <w:ind w:left="567" w:hanging="567"/>
        <w:rPr>
          <w:sz w:val="22"/>
        </w:rPr>
      </w:pPr>
      <w:r w:rsidRPr="00E46484">
        <w:rPr>
          <w:sz w:val="22"/>
        </w:rPr>
        <w:t xml:space="preserve">Při přejímce Zboží Komisionářem je prováděna pouze namátková kvantitativní kontrola Zboží. </w:t>
      </w:r>
      <w:r w:rsidRPr="00C94594">
        <w:rPr>
          <w:sz w:val="22"/>
        </w:rPr>
        <w:t>Kontrola dodaného Zboží bude kvalitativně provedena v okamžiku dodání Zboží pouze z</w:t>
      </w:r>
      <w:r w:rsidR="00C94594">
        <w:rPr>
          <w:sz w:val="22"/>
        </w:rPr>
        <w:t> </w:t>
      </w:r>
      <w:r w:rsidRPr="00C94594">
        <w:rPr>
          <w:sz w:val="22"/>
        </w:rPr>
        <w:t>pohledu zjevných vad balení</w:t>
      </w:r>
      <w:r w:rsidR="00C94594">
        <w:rPr>
          <w:sz w:val="22"/>
        </w:rPr>
        <w:t xml:space="preserve"> Zboží</w:t>
      </w:r>
      <w:r w:rsidRPr="00C94594">
        <w:rPr>
          <w:sz w:val="22"/>
        </w:rPr>
        <w:t xml:space="preserve">, zjistitelných při převzetí dodávky. </w:t>
      </w:r>
      <w:r w:rsidR="00AF4FEF" w:rsidRPr="00C94594">
        <w:rPr>
          <w:sz w:val="22"/>
        </w:rPr>
        <w:t xml:space="preserve">Vady Zboží zjištěné Komisionářem v došlé dodávce Zboží (počet nesouhlasí s dodacím listem, </w:t>
      </w:r>
      <w:r w:rsidR="00AF4FEF" w:rsidRPr="00E46484">
        <w:rPr>
          <w:sz w:val="22"/>
        </w:rPr>
        <w:t>Zboží bylo poškozené) budou při přejímce zaznamenány v dodacím dokladu, který bude podepsán osobami</w:t>
      </w:r>
      <w:r w:rsidR="002160B7">
        <w:rPr>
          <w:sz w:val="22"/>
        </w:rPr>
        <w:t>, které se za</w:t>
      </w:r>
      <w:r w:rsidR="00AF4FEF" w:rsidRPr="00E46484">
        <w:rPr>
          <w:sz w:val="22"/>
        </w:rPr>
        <w:t xml:space="preserve"> Komitenta </w:t>
      </w:r>
      <w:r w:rsidR="002160B7">
        <w:rPr>
          <w:sz w:val="22"/>
        </w:rPr>
        <w:t xml:space="preserve">a </w:t>
      </w:r>
      <w:r w:rsidR="00AF4FEF" w:rsidRPr="00E46484">
        <w:rPr>
          <w:sz w:val="22"/>
        </w:rPr>
        <w:t>Komisionáře zúčastnily přejímky</w:t>
      </w:r>
      <w:r w:rsidR="002160B7">
        <w:rPr>
          <w:sz w:val="22"/>
        </w:rPr>
        <w:t>, přičemž touto osobou může být i zástupce přepravce pověřeného k provedení přepravy Zboží Komisionáři</w:t>
      </w:r>
      <w:r w:rsidR="00AF4FEF" w:rsidRPr="00E46484">
        <w:rPr>
          <w:sz w:val="22"/>
        </w:rPr>
        <w:t xml:space="preserve">. </w:t>
      </w:r>
      <w:r w:rsidR="008D5AC0">
        <w:rPr>
          <w:sz w:val="22"/>
        </w:rPr>
        <w:t xml:space="preserve">V případě dodání Zboží cestou poštovní přepravy je v případě zjištění vad Zboží Komitentovi zasílán dodací list s vyznačenými vadami, příp. označením množství chybějícího Zboží podepsaný oprávněnou osobou Komisionáře. </w:t>
      </w:r>
      <w:r w:rsidR="005443F1" w:rsidRPr="00B7167B">
        <w:rPr>
          <w:sz w:val="22"/>
          <w:szCs w:val="22"/>
        </w:rPr>
        <w:t>V případě zjištění vad je Komisionář oprávněn odmítnout převzetí poškozeného Zboží a Komitent je povinen dodat Komisionáři nové a nepoškozené Zboží</w:t>
      </w:r>
      <w:r w:rsidR="005443F1">
        <w:rPr>
          <w:sz w:val="22"/>
          <w:szCs w:val="22"/>
        </w:rPr>
        <w:t xml:space="preserve"> ve lhůtě stanovené Komisionářem</w:t>
      </w:r>
      <w:r w:rsidR="005443F1" w:rsidRPr="00B7167B">
        <w:rPr>
          <w:sz w:val="22"/>
          <w:szCs w:val="22"/>
        </w:rPr>
        <w:t>.</w:t>
      </w:r>
      <w:r w:rsidR="005443F1">
        <w:rPr>
          <w:sz w:val="22"/>
          <w:szCs w:val="22"/>
        </w:rPr>
        <w:t xml:space="preserve"> </w:t>
      </w:r>
      <w:r w:rsidR="005443F1">
        <w:rPr>
          <w:sz w:val="22"/>
        </w:rPr>
        <w:t>V</w:t>
      </w:r>
      <w:r>
        <w:rPr>
          <w:sz w:val="22"/>
        </w:rPr>
        <w:t xml:space="preserve">ady zjištěné při </w:t>
      </w:r>
      <w:r w:rsidRPr="00FB2510">
        <w:rPr>
          <w:sz w:val="22"/>
        </w:rPr>
        <w:t>distribuci Zboží</w:t>
      </w:r>
      <w:r>
        <w:rPr>
          <w:sz w:val="22"/>
        </w:rPr>
        <w:t xml:space="preserve"> na jednotlivé pobočky Komisionáře</w:t>
      </w:r>
      <w:r w:rsidR="00AF4FEF" w:rsidRPr="00E46484">
        <w:rPr>
          <w:sz w:val="22"/>
        </w:rPr>
        <w:t xml:space="preserve"> budou následně vyřešeny s Komitentem, který neprodleně zajistí nápravu.</w:t>
      </w:r>
    </w:p>
    <w:p w:rsidR="00AF4FEF" w:rsidRPr="008267C9" w:rsidRDefault="00AF4FEF" w:rsidP="00E05DA2">
      <w:pPr>
        <w:numPr>
          <w:ilvl w:val="1"/>
          <w:numId w:val="6"/>
        </w:numPr>
        <w:tabs>
          <w:tab w:val="left" w:pos="567"/>
        </w:tabs>
        <w:spacing w:before="0" w:after="120"/>
        <w:ind w:left="567" w:hanging="567"/>
        <w:rPr>
          <w:sz w:val="22"/>
        </w:rPr>
      </w:pPr>
      <w:r w:rsidRPr="008267C9">
        <w:rPr>
          <w:sz w:val="22"/>
        </w:rPr>
        <w:t>Zjistí-li Komisionář vadu na Zboží před nebo při prodeji zákazníkovi a toto Zboží se stane neprodejným, Komisionář jej označí poznámkou „POŠKOZENÉ“ a prostřednictvím dodacího místa dle Přílohy č. 1 Zboží vrátí Komitentovi v souladu s čl. 3.2.</w:t>
      </w:r>
      <w:r w:rsidR="001E07FC">
        <w:rPr>
          <w:sz w:val="22"/>
        </w:rPr>
        <w:t>6</w:t>
      </w:r>
      <w:r w:rsidRPr="008267C9">
        <w:rPr>
          <w:sz w:val="22"/>
        </w:rPr>
        <w:t>. Smlouvy.</w:t>
      </w:r>
    </w:p>
    <w:p w:rsidR="00AF4FEF" w:rsidRDefault="00AF4FEF" w:rsidP="00E05DA2">
      <w:pPr>
        <w:numPr>
          <w:ilvl w:val="1"/>
          <w:numId w:val="6"/>
        </w:numPr>
        <w:tabs>
          <w:tab w:val="left" w:pos="567"/>
        </w:tabs>
        <w:spacing w:before="0" w:after="120"/>
        <w:ind w:left="567" w:hanging="567"/>
        <w:rPr>
          <w:sz w:val="22"/>
        </w:rPr>
      </w:pPr>
      <w:r>
        <w:rPr>
          <w:sz w:val="22"/>
        </w:rPr>
        <w:t>V případě reklamace zakoupeného Zboží zákazníkem, Komisionář vyřídí reklamaci výměnou Zboží za nové, pouze pokud zákazník předloží reklamované Zboží spolu s dokladem o koupi Zboží v síti Komisionáře</w:t>
      </w:r>
      <w:r w:rsidR="002160B7">
        <w:rPr>
          <w:sz w:val="22"/>
        </w:rPr>
        <w:t xml:space="preserve"> a pokud Komitent disponuje náhradním Zbožím za Zboží reklamované. V opačném případě odešle Komisionář Zboží Komitentovi k vyřízení reklamace, kterou je Komitent povinen vyřídit způsobem stanoveným platnými právními předpisy a ve </w:t>
      </w:r>
      <w:r w:rsidR="002160B7">
        <w:rPr>
          <w:sz w:val="22"/>
        </w:rPr>
        <w:lastRenderedPageBreak/>
        <w:t xml:space="preserve">lhůtě </w:t>
      </w:r>
      <w:r w:rsidR="000B0AD6">
        <w:rPr>
          <w:sz w:val="22"/>
        </w:rPr>
        <w:t>7</w:t>
      </w:r>
      <w:r w:rsidR="002160B7">
        <w:rPr>
          <w:sz w:val="22"/>
        </w:rPr>
        <w:t xml:space="preserve"> dnů ode dne obdržení reklamovaného Zboží od Komisionáře. </w:t>
      </w:r>
      <w:r w:rsidR="0001622A">
        <w:rPr>
          <w:sz w:val="22"/>
        </w:rPr>
        <w:t xml:space="preserve">V této lhůtě musí být vyřízená reklamace (tj. Zboží + doklad o způsobu vyřízení reklamace) vrácena </w:t>
      </w:r>
      <w:r w:rsidR="00235055">
        <w:rPr>
          <w:sz w:val="22"/>
        </w:rPr>
        <w:t>Komisionáři</w:t>
      </w:r>
      <w:r w:rsidR="0001622A">
        <w:rPr>
          <w:sz w:val="22"/>
        </w:rPr>
        <w:t>.</w:t>
      </w:r>
    </w:p>
    <w:p w:rsidR="00AF4FEF" w:rsidRDefault="00AF4FEF" w:rsidP="00E05DA2">
      <w:pPr>
        <w:numPr>
          <w:ilvl w:val="1"/>
          <w:numId w:val="6"/>
        </w:numPr>
        <w:tabs>
          <w:tab w:val="left" w:pos="567"/>
        </w:tabs>
        <w:spacing w:before="0" w:after="120"/>
        <w:ind w:left="567" w:hanging="567"/>
        <w:rPr>
          <w:sz w:val="22"/>
        </w:rPr>
      </w:pPr>
      <w:r>
        <w:rPr>
          <w:sz w:val="22"/>
        </w:rPr>
        <w:t>Reklamované Zboží po výměně Komisionář označí poznámkou „REKLAMACE“ a vrátí jej prostřednictvím Dodacího místa stanoveného v Příloze č. 1 Komitentovi způsobem dle ustanovení čl. 3.2.</w:t>
      </w:r>
      <w:r w:rsidR="001E07FC">
        <w:rPr>
          <w:sz w:val="22"/>
        </w:rPr>
        <w:t>6</w:t>
      </w:r>
      <w:r>
        <w:rPr>
          <w:sz w:val="22"/>
        </w:rPr>
        <w:t>. Smlouvy.</w:t>
      </w:r>
    </w:p>
    <w:p w:rsidR="00AF4FEF" w:rsidRPr="000929FE" w:rsidRDefault="00AF4FEF" w:rsidP="003A6300">
      <w:pPr>
        <w:numPr>
          <w:ilvl w:val="1"/>
          <w:numId w:val="6"/>
        </w:numPr>
        <w:tabs>
          <w:tab w:val="left" w:pos="567"/>
        </w:tabs>
        <w:spacing w:before="0" w:after="120"/>
        <w:ind w:left="567" w:hanging="567"/>
        <w:rPr>
          <w:sz w:val="22"/>
          <w:szCs w:val="22"/>
        </w:rPr>
      </w:pPr>
      <w:r w:rsidRPr="005B6850">
        <w:rPr>
          <w:sz w:val="22"/>
          <w:szCs w:val="22"/>
        </w:rPr>
        <w:t>Komite</w:t>
      </w:r>
      <w:r>
        <w:rPr>
          <w:sz w:val="22"/>
          <w:szCs w:val="22"/>
        </w:rPr>
        <w:t xml:space="preserve">nt v plném rozsahu odpovídá za </w:t>
      </w:r>
      <w:r w:rsidRPr="005B6850">
        <w:rPr>
          <w:sz w:val="22"/>
          <w:szCs w:val="22"/>
        </w:rPr>
        <w:t xml:space="preserve">škody, které budou způsobeny třetím osobám </w:t>
      </w:r>
      <w:r>
        <w:rPr>
          <w:sz w:val="22"/>
          <w:szCs w:val="22"/>
        </w:rPr>
        <w:t xml:space="preserve">(zákazníkům) </w:t>
      </w:r>
      <w:r w:rsidRPr="005B6850">
        <w:rPr>
          <w:sz w:val="22"/>
          <w:szCs w:val="22"/>
        </w:rPr>
        <w:t>v důsledku užití Zboží</w:t>
      </w:r>
      <w:r>
        <w:rPr>
          <w:sz w:val="22"/>
          <w:szCs w:val="22"/>
        </w:rPr>
        <w:t>, zejm. vznikne-li tato škoda v důsledku vady Zboží</w:t>
      </w:r>
      <w:r w:rsidRPr="005B6850">
        <w:rPr>
          <w:sz w:val="22"/>
          <w:szCs w:val="22"/>
        </w:rPr>
        <w:t>.</w:t>
      </w:r>
    </w:p>
    <w:p w:rsidR="00AF4FEF" w:rsidRDefault="00AF4FEF" w:rsidP="00E05DA2">
      <w:pPr>
        <w:spacing w:before="0" w:after="120"/>
        <w:rPr>
          <w:b/>
          <w:sz w:val="22"/>
        </w:rPr>
      </w:pPr>
    </w:p>
    <w:p w:rsidR="00AF4FEF" w:rsidRDefault="00AF4FEF" w:rsidP="00E05DA2">
      <w:pPr>
        <w:numPr>
          <w:ilvl w:val="0"/>
          <w:numId w:val="6"/>
        </w:numPr>
        <w:tabs>
          <w:tab w:val="left" w:pos="720"/>
        </w:tabs>
        <w:spacing w:before="0" w:after="120"/>
        <w:jc w:val="center"/>
        <w:rPr>
          <w:b/>
          <w:sz w:val="22"/>
        </w:rPr>
      </w:pPr>
      <w:r>
        <w:rPr>
          <w:b/>
          <w:sz w:val="22"/>
        </w:rPr>
        <w:t>Odměna Komisionáře a platební podmínky</w:t>
      </w:r>
    </w:p>
    <w:p w:rsidR="00AF4FEF" w:rsidRDefault="00AF4FEF" w:rsidP="00E05DA2">
      <w:pPr>
        <w:numPr>
          <w:ilvl w:val="1"/>
          <w:numId w:val="6"/>
        </w:numPr>
        <w:tabs>
          <w:tab w:val="left" w:pos="567"/>
        </w:tabs>
        <w:spacing w:before="0" w:after="120"/>
        <w:ind w:left="567" w:hanging="567"/>
        <w:rPr>
          <w:sz w:val="22"/>
        </w:rPr>
      </w:pPr>
      <w:r>
        <w:rPr>
          <w:sz w:val="22"/>
        </w:rPr>
        <w:t xml:space="preserve">Za prodej Zboží dle této Smlouvy se Komitent zavazuje uhradit Komisionáři smluvně ujednanou odměnu, jejíž výše je stanovena v Příloze č. 2 Smlouvy. </w:t>
      </w:r>
    </w:p>
    <w:p w:rsidR="00AF4FEF" w:rsidRDefault="00AF4FEF" w:rsidP="00E05DA2">
      <w:pPr>
        <w:numPr>
          <w:ilvl w:val="1"/>
          <w:numId w:val="6"/>
        </w:numPr>
        <w:tabs>
          <w:tab w:val="left" w:pos="567"/>
        </w:tabs>
        <w:spacing w:before="0" w:after="120"/>
        <w:ind w:left="567" w:hanging="567"/>
        <w:rPr>
          <w:sz w:val="22"/>
        </w:rPr>
      </w:pPr>
      <w:r>
        <w:rPr>
          <w:sz w:val="22"/>
        </w:rPr>
        <w:t xml:space="preserve">Komisionář se zavazuje provádět pro Komitenta prostřednictvím své provozní účtárny měsíční vyúčtování prodaného Zboží nejpozději do 13. kalendářního dne následujícího měsíce.  </w:t>
      </w:r>
    </w:p>
    <w:p w:rsidR="00AF4FEF" w:rsidRDefault="00AF4FEF" w:rsidP="00E05DA2">
      <w:pPr>
        <w:numPr>
          <w:ilvl w:val="1"/>
          <w:numId w:val="6"/>
        </w:numPr>
        <w:tabs>
          <w:tab w:val="left" w:pos="567"/>
        </w:tabs>
        <w:spacing w:before="0" w:after="120"/>
        <w:ind w:left="567" w:hanging="567"/>
        <w:rPr>
          <w:sz w:val="22"/>
        </w:rPr>
      </w:pPr>
      <w:bookmarkStart w:id="1" w:name="_Ref257809726"/>
      <w:bookmarkStart w:id="2" w:name="OLE_LINK1"/>
      <w:bookmarkStart w:id="3" w:name="OLE_LINK2"/>
      <w:r>
        <w:rPr>
          <w:sz w:val="22"/>
        </w:rPr>
        <w:t>Komitent na základě předloženého vyúčtování prodaného Zboží dle čl</w:t>
      </w:r>
      <w:r w:rsidR="008B52ED">
        <w:rPr>
          <w:sz w:val="22"/>
        </w:rPr>
        <w:t>.</w:t>
      </w:r>
      <w:r>
        <w:rPr>
          <w:sz w:val="22"/>
        </w:rPr>
        <w:t xml:space="preserve"> 7.2. Smlouvy vystaví nejpozději do 15. kalendářního dne po skončení měsíce Komisionáři daňový doklad (fakturu) za prodané Zboží.</w:t>
      </w:r>
      <w:bookmarkEnd w:id="1"/>
      <w:r>
        <w:rPr>
          <w:sz w:val="22"/>
        </w:rPr>
        <w:t xml:space="preserve"> </w:t>
      </w:r>
    </w:p>
    <w:p w:rsidR="00AF4FEF" w:rsidRDefault="00AF4FEF" w:rsidP="00E05DA2">
      <w:pPr>
        <w:numPr>
          <w:ilvl w:val="1"/>
          <w:numId w:val="6"/>
        </w:numPr>
        <w:tabs>
          <w:tab w:val="left" w:pos="567"/>
        </w:tabs>
        <w:spacing w:before="0" w:after="120"/>
        <w:ind w:left="567" w:hanging="567"/>
        <w:rPr>
          <w:sz w:val="22"/>
        </w:rPr>
      </w:pPr>
      <w:bookmarkStart w:id="4" w:name="_Ref257809759"/>
      <w:r>
        <w:rPr>
          <w:sz w:val="22"/>
        </w:rPr>
        <w:t>Komisionář vystaví nejpozději do 15. kalendářního dne po skončení měsíce daňový doklad na odměnu za prodané Zboží.</w:t>
      </w:r>
      <w:bookmarkEnd w:id="4"/>
    </w:p>
    <w:p w:rsidR="00AF4FEF" w:rsidRDefault="00AF4FEF" w:rsidP="00E05DA2">
      <w:pPr>
        <w:numPr>
          <w:ilvl w:val="1"/>
          <w:numId w:val="6"/>
        </w:numPr>
        <w:tabs>
          <w:tab w:val="left" w:pos="567"/>
        </w:tabs>
        <w:spacing w:before="0" w:after="120"/>
        <w:ind w:left="567" w:hanging="567"/>
        <w:rPr>
          <w:sz w:val="22"/>
        </w:rPr>
      </w:pPr>
      <w:r>
        <w:rPr>
          <w:sz w:val="22"/>
        </w:rPr>
        <w:t>Po vzájemném zápočtu oboustranně vystavených daňových dokladů (čl</w:t>
      </w:r>
      <w:r w:rsidR="008B52ED">
        <w:rPr>
          <w:sz w:val="22"/>
        </w:rPr>
        <w:t>.</w:t>
      </w:r>
      <w:r>
        <w:rPr>
          <w:sz w:val="22"/>
        </w:rPr>
        <w:t xml:space="preserve"> 7.3. a 7.4.) uhradí Komisionář, nejpozději do 20 kalendářních dnů od vystavení daňového dokladu Komitentem, rozdíl mezi cenou za prodané Zboží a odměnou Komisionáře, a to na účet Komitenta </w:t>
      </w:r>
      <w:r w:rsidRPr="00611D46">
        <w:rPr>
          <w:sz w:val="22"/>
        </w:rPr>
        <w:t>uvedený v článku 1 Smlouvy</w:t>
      </w:r>
      <w:r>
        <w:rPr>
          <w:sz w:val="22"/>
        </w:rPr>
        <w:t>.</w:t>
      </w:r>
    </w:p>
    <w:bookmarkEnd w:id="2"/>
    <w:bookmarkEnd w:id="3"/>
    <w:p w:rsidR="00AF4FEF" w:rsidRDefault="00AF4FEF" w:rsidP="00E05DA2">
      <w:pPr>
        <w:numPr>
          <w:ilvl w:val="1"/>
          <w:numId w:val="6"/>
        </w:numPr>
        <w:tabs>
          <w:tab w:val="left" w:pos="567"/>
        </w:tabs>
        <w:spacing w:before="0" w:after="120"/>
        <w:ind w:left="567" w:hanging="567"/>
        <w:rPr>
          <w:sz w:val="22"/>
        </w:rPr>
      </w:pPr>
      <w:r>
        <w:rPr>
          <w:sz w:val="22"/>
        </w:rPr>
        <w:t>Daňové doklady, uvedené v</w:t>
      </w:r>
      <w:r w:rsidR="00DB2C93">
        <w:rPr>
          <w:sz w:val="22"/>
        </w:rPr>
        <w:t xml:space="preserve"> </w:t>
      </w:r>
      <w:r>
        <w:rPr>
          <w:sz w:val="22"/>
        </w:rPr>
        <w:t>čl.</w:t>
      </w:r>
      <w:r w:rsidR="00DB2C93">
        <w:rPr>
          <w:sz w:val="22"/>
        </w:rPr>
        <w:t>7.3.</w:t>
      </w:r>
      <w:r>
        <w:rPr>
          <w:sz w:val="22"/>
        </w:rPr>
        <w:t xml:space="preserve"> a </w:t>
      </w:r>
      <w:r w:rsidR="00200919">
        <w:fldChar w:fldCharType="begin"/>
      </w:r>
      <w:r w:rsidR="00200919">
        <w:instrText xml:space="preserve"> REF _Ref257809759 \n \h  \* MERGEFORMAT </w:instrText>
      </w:r>
      <w:r w:rsidR="00200919">
        <w:fldChar w:fldCharType="separate"/>
      </w:r>
      <w:r w:rsidR="00CB4C23">
        <w:t>7.4</w:t>
      </w:r>
      <w:r w:rsidR="00200919">
        <w:fldChar w:fldCharType="end"/>
      </w:r>
      <w:r>
        <w:rPr>
          <w:sz w:val="22"/>
        </w:rPr>
        <w:t>. tohoto článku musí obsahovat náležitosti v souladu se zákonem č. 235/2004 Sb., o dani z přidané hodnoty, ve znění pozdějších předpisů.</w:t>
      </w:r>
    </w:p>
    <w:p w:rsidR="00AF4FEF" w:rsidRPr="002964F6" w:rsidRDefault="00AF4FEF" w:rsidP="00CC3DEB">
      <w:pPr>
        <w:numPr>
          <w:ilvl w:val="1"/>
          <w:numId w:val="6"/>
        </w:numPr>
        <w:tabs>
          <w:tab w:val="left" w:pos="567"/>
        </w:tabs>
        <w:spacing w:before="0" w:after="120"/>
        <w:ind w:left="567" w:hanging="567"/>
        <w:rPr>
          <w:sz w:val="22"/>
        </w:rPr>
      </w:pPr>
      <w:r w:rsidRPr="002964F6">
        <w:rPr>
          <w:sz w:val="22"/>
        </w:rPr>
        <w:t>Komitent je povinen daňové doklady za prodané Zboží zaslat Komisionáři doporučeným dopisem na zasílací adresu</w:t>
      </w:r>
      <w:r w:rsidR="002964F6" w:rsidRPr="002964F6">
        <w:rPr>
          <w:sz w:val="22"/>
        </w:rPr>
        <w:t xml:space="preserve"> Č</w:t>
      </w:r>
      <w:r w:rsidRPr="002964F6">
        <w:rPr>
          <w:sz w:val="22"/>
        </w:rPr>
        <w:t>eská pošta s.p.</w:t>
      </w:r>
      <w:r w:rsidR="002964F6" w:rsidRPr="002964F6">
        <w:rPr>
          <w:sz w:val="22"/>
        </w:rPr>
        <w:t xml:space="preserve">, </w:t>
      </w:r>
      <w:r w:rsidRPr="002964F6">
        <w:rPr>
          <w:sz w:val="22"/>
        </w:rPr>
        <w:t>Skenovací centrum</w:t>
      </w:r>
      <w:r w:rsidR="002964F6" w:rsidRPr="002964F6">
        <w:rPr>
          <w:sz w:val="22"/>
        </w:rPr>
        <w:t xml:space="preserve">, </w:t>
      </w:r>
      <w:r w:rsidRPr="002964F6">
        <w:rPr>
          <w:sz w:val="22"/>
        </w:rPr>
        <w:t>Poštovní 1368/20</w:t>
      </w:r>
      <w:r w:rsidR="002964F6" w:rsidRPr="002964F6">
        <w:rPr>
          <w:sz w:val="22"/>
        </w:rPr>
        <w:t>,</w:t>
      </w:r>
      <w:r w:rsidR="002964F6">
        <w:rPr>
          <w:sz w:val="22"/>
        </w:rPr>
        <w:t xml:space="preserve"> 7</w:t>
      </w:r>
      <w:r w:rsidRPr="002964F6">
        <w:rPr>
          <w:sz w:val="22"/>
        </w:rPr>
        <w:t>01 06 Ostrava 1</w:t>
      </w:r>
      <w:r w:rsidR="002964F6">
        <w:rPr>
          <w:sz w:val="22"/>
        </w:rPr>
        <w:t>.</w:t>
      </w:r>
    </w:p>
    <w:p w:rsidR="00AF4FEF" w:rsidRDefault="00AF4FEF" w:rsidP="00E05DA2">
      <w:pPr>
        <w:spacing w:before="0" w:after="120"/>
        <w:jc w:val="center"/>
        <w:rPr>
          <w:b/>
          <w:sz w:val="22"/>
        </w:rPr>
      </w:pPr>
    </w:p>
    <w:p w:rsidR="00AF4FEF" w:rsidRDefault="00AF4FEF" w:rsidP="00E05DA2">
      <w:pPr>
        <w:numPr>
          <w:ilvl w:val="0"/>
          <w:numId w:val="6"/>
        </w:numPr>
        <w:tabs>
          <w:tab w:val="left" w:pos="720"/>
        </w:tabs>
        <w:spacing w:before="0" w:after="120"/>
        <w:jc w:val="center"/>
        <w:rPr>
          <w:b/>
          <w:sz w:val="22"/>
        </w:rPr>
      </w:pPr>
      <w:r>
        <w:rPr>
          <w:b/>
          <w:sz w:val="22"/>
        </w:rPr>
        <w:t>Trvání Smlouvy</w:t>
      </w:r>
    </w:p>
    <w:p w:rsidR="00AF4FEF" w:rsidRDefault="00AF4FEF" w:rsidP="00E05DA2">
      <w:pPr>
        <w:numPr>
          <w:ilvl w:val="1"/>
          <w:numId w:val="6"/>
        </w:numPr>
        <w:tabs>
          <w:tab w:val="left" w:pos="567"/>
        </w:tabs>
        <w:spacing w:before="0" w:after="120"/>
        <w:ind w:left="567" w:hanging="567"/>
        <w:rPr>
          <w:sz w:val="22"/>
        </w:rPr>
      </w:pPr>
      <w:r>
        <w:rPr>
          <w:sz w:val="22"/>
        </w:rPr>
        <w:t>Tato Smlouva se uzavírá na dobu neurčitou.</w:t>
      </w:r>
    </w:p>
    <w:p w:rsidR="00AF4FEF" w:rsidRPr="00631AD4" w:rsidRDefault="00AF4FEF" w:rsidP="00E05DA2">
      <w:pPr>
        <w:numPr>
          <w:ilvl w:val="1"/>
          <w:numId w:val="6"/>
        </w:numPr>
        <w:tabs>
          <w:tab w:val="left" w:pos="567"/>
        </w:tabs>
        <w:spacing w:before="0" w:after="120"/>
        <w:ind w:left="567" w:hanging="567"/>
        <w:rPr>
          <w:sz w:val="22"/>
          <w:szCs w:val="22"/>
        </w:rPr>
      </w:pPr>
      <w:r>
        <w:rPr>
          <w:sz w:val="22"/>
        </w:rPr>
        <w:t xml:space="preserve">Tato Smlouva nabývá platnosti a účinnosti dnem jejího podpisu oprávněnými zástupci obou Smluvních stran.  </w:t>
      </w:r>
    </w:p>
    <w:p w:rsidR="00AF4FEF" w:rsidRPr="002A1BDD" w:rsidRDefault="00AF4FEF" w:rsidP="00E05DA2">
      <w:pPr>
        <w:numPr>
          <w:ilvl w:val="1"/>
          <w:numId w:val="6"/>
        </w:numPr>
        <w:tabs>
          <w:tab w:val="left" w:pos="567"/>
        </w:tabs>
        <w:spacing w:before="0" w:after="120"/>
        <w:ind w:left="567" w:hanging="567"/>
        <w:rPr>
          <w:sz w:val="22"/>
          <w:szCs w:val="22"/>
        </w:rPr>
      </w:pPr>
      <w:r w:rsidRPr="002A1BDD">
        <w:rPr>
          <w:sz w:val="22"/>
          <w:szCs w:val="22"/>
        </w:rPr>
        <w:t>Smluvní strany jsou oprávněny Smlouvu vypovědět i bez udání důvodu písemnou formou</w:t>
      </w:r>
      <w:r w:rsidR="0041230C">
        <w:rPr>
          <w:sz w:val="22"/>
          <w:szCs w:val="22"/>
        </w:rPr>
        <w:t xml:space="preserve">. Výpovědní doba činí 1 měsíc. </w:t>
      </w:r>
      <w:r w:rsidRPr="002A1BDD">
        <w:rPr>
          <w:sz w:val="22"/>
          <w:szCs w:val="22"/>
        </w:rPr>
        <w:t xml:space="preserve">Výpovědní </w:t>
      </w:r>
      <w:r w:rsidR="0041230C">
        <w:rPr>
          <w:sz w:val="22"/>
          <w:szCs w:val="22"/>
        </w:rPr>
        <w:t>doba</w:t>
      </w:r>
      <w:r w:rsidR="0041230C" w:rsidRPr="002A1BDD">
        <w:rPr>
          <w:sz w:val="22"/>
          <w:szCs w:val="22"/>
        </w:rPr>
        <w:t xml:space="preserve"> </w:t>
      </w:r>
      <w:r w:rsidRPr="002A1BDD">
        <w:rPr>
          <w:sz w:val="22"/>
          <w:szCs w:val="22"/>
        </w:rPr>
        <w:t>začíná běžet prvním dnem kalendářního měsíce následujícího po doručení výpovědi druhé Smluvní straně.</w:t>
      </w:r>
    </w:p>
    <w:p w:rsidR="00AF4FEF" w:rsidRPr="0041230C" w:rsidRDefault="00AF4FEF" w:rsidP="00E05DA2">
      <w:pPr>
        <w:numPr>
          <w:ilvl w:val="1"/>
          <w:numId w:val="6"/>
        </w:numPr>
        <w:tabs>
          <w:tab w:val="left" w:pos="567"/>
        </w:tabs>
        <w:spacing w:before="0" w:after="120"/>
        <w:ind w:left="567" w:hanging="567"/>
        <w:rPr>
          <w:sz w:val="22"/>
          <w:szCs w:val="22"/>
        </w:rPr>
      </w:pPr>
      <w:r w:rsidRPr="0041230C">
        <w:rPr>
          <w:sz w:val="22"/>
          <w:szCs w:val="22"/>
        </w:rPr>
        <w:t>Tuto Smlouvu je možné ukončit též písemnou dohodou Smluvních stran.</w:t>
      </w:r>
    </w:p>
    <w:p w:rsidR="00D642E5" w:rsidRPr="00631AD4" w:rsidRDefault="00D642E5" w:rsidP="00D642E5">
      <w:pPr>
        <w:numPr>
          <w:ilvl w:val="1"/>
          <w:numId w:val="6"/>
        </w:numPr>
        <w:tabs>
          <w:tab w:val="left" w:pos="567"/>
        </w:tabs>
        <w:spacing w:before="0" w:after="120"/>
        <w:ind w:left="567" w:hanging="567"/>
        <w:rPr>
          <w:sz w:val="22"/>
          <w:szCs w:val="22"/>
        </w:rPr>
      </w:pPr>
      <w:r w:rsidRPr="005F3A2B">
        <w:rPr>
          <w:sz w:val="22"/>
          <w:szCs w:val="22"/>
        </w:rPr>
        <w:t xml:space="preserve">Komisionář je oprávněn odstoupit od této Smlouvy, bude-li Komitent pravomocně odsouzen pro trestný čin. V případě, že je zahájeno trestní stíhání Komitenta, zavazuje se Komitent o tomto bez zbytečného odkladu Komisionáře písemně informovat. </w:t>
      </w:r>
    </w:p>
    <w:p w:rsidR="00D642E5" w:rsidRPr="005F3A2B" w:rsidRDefault="00D642E5" w:rsidP="00D642E5">
      <w:pPr>
        <w:numPr>
          <w:ilvl w:val="1"/>
          <w:numId w:val="6"/>
        </w:numPr>
        <w:tabs>
          <w:tab w:val="left" w:pos="567"/>
        </w:tabs>
        <w:spacing w:before="0" w:after="120"/>
        <w:ind w:left="567" w:hanging="567"/>
        <w:rPr>
          <w:sz w:val="22"/>
          <w:szCs w:val="22"/>
        </w:rPr>
      </w:pPr>
      <w:r w:rsidRPr="005F3A2B">
        <w:rPr>
          <w:sz w:val="22"/>
          <w:szCs w:val="22"/>
        </w:rPr>
        <w:t xml:space="preserve">Komisionář je rovněž oprávněn odstoupit od této Smlouvy v případě závažného porušení či hrubého nedodržení pravidel uvedených v Etickém kodexu, ke kterému došlo jednáním či chováním Komitenta, </w:t>
      </w:r>
      <w:r w:rsidR="00631AD4" w:rsidRPr="005F3A2B">
        <w:rPr>
          <w:sz w:val="22"/>
          <w:szCs w:val="22"/>
        </w:rPr>
        <w:t>je</w:t>
      </w:r>
      <w:r w:rsidR="00631AD4">
        <w:rPr>
          <w:sz w:val="22"/>
          <w:szCs w:val="22"/>
        </w:rPr>
        <w:t>ho</w:t>
      </w:r>
      <w:r w:rsidR="00631AD4" w:rsidRPr="005F3A2B">
        <w:rPr>
          <w:sz w:val="22"/>
          <w:szCs w:val="22"/>
        </w:rPr>
        <w:t xml:space="preserve"> </w:t>
      </w:r>
      <w:r w:rsidRPr="005F3A2B">
        <w:rPr>
          <w:sz w:val="22"/>
          <w:szCs w:val="22"/>
        </w:rPr>
        <w:t>zaměstnanců či osob v obdobném postavení, členů statutárních nebo dozorčích orgánů a osob jednajících jménem Komitenta.</w:t>
      </w:r>
    </w:p>
    <w:p w:rsidR="00AF4FEF" w:rsidRPr="002A1BDD" w:rsidRDefault="00AF4FEF" w:rsidP="00E05DA2">
      <w:pPr>
        <w:numPr>
          <w:ilvl w:val="1"/>
          <w:numId w:val="6"/>
        </w:numPr>
        <w:tabs>
          <w:tab w:val="left" w:pos="567"/>
        </w:tabs>
        <w:spacing w:before="0" w:after="120"/>
        <w:ind w:left="567" w:hanging="567"/>
        <w:rPr>
          <w:sz w:val="22"/>
          <w:szCs w:val="22"/>
        </w:rPr>
      </w:pPr>
      <w:r w:rsidRPr="00631AD4">
        <w:rPr>
          <w:sz w:val="22"/>
          <w:szCs w:val="22"/>
        </w:rPr>
        <w:lastRenderedPageBreak/>
        <w:t xml:space="preserve">V případě ukončení této Smlouvy je Komitent povinen sdělit Komisionáři adresu, na níž mohou zákazníci </w:t>
      </w:r>
      <w:r w:rsidR="00235055" w:rsidRPr="002A1BDD">
        <w:rPr>
          <w:sz w:val="22"/>
          <w:szCs w:val="22"/>
        </w:rPr>
        <w:t xml:space="preserve">Komisionáře </w:t>
      </w:r>
      <w:r w:rsidRPr="002A1BDD">
        <w:rPr>
          <w:sz w:val="22"/>
          <w:szCs w:val="22"/>
        </w:rPr>
        <w:t>uplatňovat případné reklamace Zboží. Neučiní-li tak Komitent, bude Komisionář za tuto adresu považovat adresu sídla Komitenta a Komitent zároveň odpovídá Komisionáři za případnou škodu tím vzniklou.</w:t>
      </w:r>
    </w:p>
    <w:p w:rsidR="00AF4FEF" w:rsidRPr="008A20D8" w:rsidRDefault="00AF4FEF" w:rsidP="00E05DA2">
      <w:pPr>
        <w:numPr>
          <w:ilvl w:val="1"/>
          <w:numId w:val="6"/>
        </w:numPr>
        <w:tabs>
          <w:tab w:val="left" w:pos="567"/>
        </w:tabs>
        <w:spacing w:before="0" w:after="120"/>
        <w:ind w:left="567" w:hanging="567"/>
        <w:rPr>
          <w:sz w:val="22"/>
          <w:szCs w:val="22"/>
        </w:rPr>
      </w:pPr>
      <w:r w:rsidRPr="0041230C">
        <w:rPr>
          <w:sz w:val="22"/>
          <w:szCs w:val="22"/>
        </w:rPr>
        <w:t>Nejpozději do jednoho měsíce od skončení účinnosti Smlouvy, nebo ukončení prodeje jednotlivého druhu Zboží, jsou Smluvní strany povinny provést finanční vyúčtování neprodaného Zboží a Zboží s označen</w:t>
      </w:r>
      <w:r w:rsidRPr="008A20D8">
        <w:rPr>
          <w:sz w:val="22"/>
          <w:szCs w:val="22"/>
        </w:rPr>
        <w:t xml:space="preserve">ím „POŠKOZENÉ“ a „REKLAMACE“. </w:t>
      </w:r>
    </w:p>
    <w:p w:rsidR="00AF4FEF" w:rsidRDefault="00682CB3" w:rsidP="00D43E0D">
      <w:pPr>
        <w:pStyle w:val="cplnekslovan"/>
        <w:numPr>
          <w:ilvl w:val="0"/>
          <w:numId w:val="6"/>
        </w:numPr>
      </w:pPr>
      <w:r>
        <w:t>Řešení sporů</w:t>
      </w:r>
      <w:r w:rsidR="00235055">
        <w:t>, důvěrné informace</w:t>
      </w:r>
    </w:p>
    <w:p w:rsidR="00BD7781" w:rsidRDefault="00BD7781" w:rsidP="00BD7781">
      <w:pPr>
        <w:pStyle w:val="cpodstavecslovan1"/>
        <w:numPr>
          <w:ilvl w:val="1"/>
          <w:numId w:val="6"/>
        </w:numPr>
        <w:ind w:left="567" w:hanging="567"/>
      </w:pPr>
      <w:r>
        <w:t>Veškeré spory mezi Smluvními stranami, které vzniknou ze Smlouvy nebo v souvislosti se Smlouvou, budou řešeny obecnými soudy České republiky, místně příslušnými dle sídla Komisionáře.</w:t>
      </w:r>
    </w:p>
    <w:p w:rsidR="00235055" w:rsidRPr="008B586E" w:rsidRDefault="00235055" w:rsidP="00235055">
      <w:pPr>
        <w:pStyle w:val="cpodstavecslovan1"/>
        <w:numPr>
          <w:ilvl w:val="1"/>
          <w:numId w:val="6"/>
        </w:numPr>
        <w:spacing w:line="240" w:lineRule="auto"/>
        <w:ind w:left="567" w:hanging="567"/>
      </w:pPr>
      <w:r w:rsidRPr="008B586E">
        <w:t>Smluvní strany se zavazují zachovat mlčenlivost o </w:t>
      </w:r>
      <w:r w:rsidRPr="008C1434">
        <w:t>vešker</w:t>
      </w:r>
      <w:r>
        <w:t>ých</w:t>
      </w:r>
      <w:r w:rsidRPr="008C1434">
        <w:t xml:space="preserve"> skutečnost</w:t>
      </w:r>
      <w:r>
        <w:t>ech</w:t>
      </w:r>
      <w:r w:rsidRPr="008C1434">
        <w:t xml:space="preserve"> obchodní, výrobní či technické povahy související s plněním Smlouvy, které mají skutečnou nebo alespoň potenciální materiální či nemateriální hodnotu, nejsou v příslušných obchodních kruzích běžně dostupné, mají být podle vůle Smluvní strany utajeny a Smluvní strana odpovídajícím způsobem jejich utajení zajišťuje</w:t>
      </w:r>
      <w:r>
        <w:t xml:space="preserve"> (dále jen „</w:t>
      </w:r>
      <w:r w:rsidRPr="008B586E">
        <w:t>Důvěrn</w:t>
      </w:r>
      <w:r>
        <w:t>é</w:t>
      </w:r>
      <w:r w:rsidRPr="008B586E">
        <w:t xml:space="preserve"> informac</w:t>
      </w:r>
      <w:r>
        <w:t>e“)</w:t>
      </w:r>
      <w:r w:rsidRPr="008B586E">
        <w:t>.</w:t>
      </w:r>
    </w:p>
    <w:p w:rsidR="00235055" w:rsidRPr="008B586E" w:rsidRDefault="00235055" w:rsidP="00235055">
      <w:pPr>
        <w:pStyle w:val="cpodstavecslovan1"/>
        <w:numPr>
          <w:ilvl w:val="1"/>
          <w:numId w:val="6"/>
        </w:numPr>
        <w:spacing w:line="240" w:lineRule="auto"/>
        <w:ind w:left="567" w:hanging="567"/>
      </w:pPr>
      <w:r w:rsidRPr="008B586E">
        <w:t>Smluvní strany se zavazují, že Důvěrné informace nesdělí ani nezpřístupní třetím osobám a nevyužijí je pro sebe nebo pro třetí osobu</w:t>
      </w:r>
      <w:r>
        <w:t xml:space="preserve"> jinak než v souvislosti s plněním této Smlouvy</w:t>
      </w:r>
      <w:r w:rsidRPr="008B586E">
        <w:t>. Smluvní strany zachovají Důvěrné informace v tajnosti a sdělí je výlučně těm svým zaměstnancům</w:t>
      </w:r>
      <w:r>
        <w:t xml:space="preserve"> a</w:t>
      </w:r>
      <w:r w:rsidRPr="008B586E">
        <w:t xml:space="preserve"> </w:t>
      </w:r>
      <w:r>
        <w:t xml:space="preserve">členům orgánů, </w:t>
      </w:r>
      <w:r w:rsidRPr="008B586E">
        <w:t>kteří jsou pověřeni plněním Smlouvy a za tímto účelem jsou oprávněni se s těmito informacemi v nezbytném rozsahu seznámit. Smluvní strany se zavazují zabezpečit, aby i tyto osoby považovaly uvedené informace za důvěrné a zachovávaly o nich mlčenlivost.</w:t>
      </w:r>
    </w:p>
    <w:p w:rsidR="00235055" w:rsidRPr="008B586E" w:rsidRDefault="00235055" w:rsidP="00235055">
      <w:pPr>
        <w:pStyle w:val="cpodstavecslovan1"/>
        <w:numPr>
          <w:ilvl w:val="1"/>
          <w:numId w:val="6"/>
        </w:numPr>
        <w:spacing w:line="240" w:lineRule="auto"/>
        <w:ind w:left="567" w:hanging="567"/>
      </w:pPr>
      <w:r w:rsidRPr="008B586E">
        <w:t>Zákaz zpřístupnění Důvěrných informací se nevztahuje na informace, které:</w:t>
      </w:r>
    </w:p>
    <w:p w:rsidR="00235055" w:rsidRPr="008B586E" w:rsidRDefault="00235055" w:rsidP="00235055">
      <w:pPr>
        <w:pStyle w:val="ACNormln"/>
        <w:numPr>
          <w:ilvl w:val="0"/>
          <w:numId w:val="22"/>
        </w:numPr>
        <w:spacing w:before="0" w:after="120"/>
        <w:ind w:left="1134" w:hanging="425"/>
        <w:rPr>
          <w:szCs w:val="16"/>
        </w:rPr>
      </w:pPr>
      <w:r w:rsidRPr="008B586E">
        <w:rPr>
          <w:szCs w:val="16"/>
        </w:rPr>
        <w:t>mohou být zveřejněny bez porušení Smlouvy;</w:t>
      </w:r>
    </w:p>
    <w:p w:rsidR="00235055" w:rsidRPr="008B586E" w:rsidRDefault="00235055" w:rsidP="00235055">
      <w:pPr>
        <w:numPr>
          <w:ilvl w:val="0"/>
          <w:numId w:val="22"/>
        </w:numPr>
        <w:suppressAutoHyphens w:val="0"/>
        <w:overflowPunct/>
        <w:autoSpaceDE/>
        <w:spacing w:before="0" w:after="120"/>
        <w:ind w:left="1134" w:hanging="425"/>
        <w:textAlignment w:val="auto"/>
        <w:rPr>
          <w:sz w:val="22"/>
          <w:szCs w:val="16"/>
        </w:rPr>
      </w:pPr>
      <w:r w:rsidRPr="008B586E">
        <w:rPr>
          <w:sz w:val="22"/>
          <w:szCs w:val="16"/>
        </w:rPr>
        <w:t>byly písemným souhlasem obou Smluvních stran zproštěny příslušných omezení;</w:t>
      </w:r>
    </w:p>
    <w:p w:rsidR="00235055" w:rsidRPr="008B586E" w:rsidRDefault="00235055" w:rsidP="00235055">
      <w:pPr>
        <w:pStyle w:val="Zkladntextodsazen31"/>
        <w:numPr>
          <w:ilvl w:val="0"/>
          <w:numId w:val="22"/>
        </w:numPr>
        <w:suppressAutoHyphens w:val="0"/>
        <w:ind w:left="1134" w:hanging="425"/>
        <w:jc w:val="both"/>
        <w:rPr>
          <w:sz w:val="22"/>
        </w:rPr>
      </w:pPr>
      <w:r w:rsidRPr="008B586E">
        <w:rPr>
          <w:sz w:val="22"/>
        </w:rPr>
        <w:t>jsou známé nebo byly zveřejněny jinak, než následkem porušení povinnosti jedné ze Smluvních stran;</w:t>
      </w:r>
    </w:p>
    <w:p w:rsidR="00235055" w:rsidRPr="008B586E" w:rsidRDefault="00235055" w:rsidP="00235055">
      <w:pPr>
        <w:numPr>
          <w:ilvl w:val="0"/>
          <w:numId w:val="22"/>
        </w:numPr>
        <w:suppressAutoHyphens w:val="0"/>
        <w:overflowPunct/>
        <w:autoSpaceDE/>
        <w:spacing w:before="0" w:after="120"/>
        <w:ind w:left="1134" w:hanging="425"/>
        <w:textAlignment w:val="auto"/>
        <w:rPr>
          <w:sz w:val="22"/>
          <w:szCs w:val="16"/>
        </w:rPr>
      </w:pPr>
      <w:r w:rsidRPr="008B586E">
        <w:rPr>
          <w:sz w:val="22"/>
          <w:szCs w:val="16"/>
        </w:rPr>
        <w:t>příjemce je zná dříve, než je sdělí Smluvní strana;</w:t>
      </w:r>
    </w:p>
    <w:p w:rsidR="00235055" w:rsidRPr="008B586E" w:rsidRDefault="00235055" w:rsidP="00235055">
      <w:pPr>
        <w:numPr>
          <w:ilvl w:val="0"/>
          <w:numId w:val="22"/>
        </w:numPr>
        <w:suppressAutoHyphens w:val="0"/>
        <w:overflowPunct/>
        <w:autoSpaceDE/>
        <w:spacing w:before="0" w:after="120"/>
        <w:ind w:left="1134" w:hanging="425"/>
        <w:textAlignment w:val="auto"/>
        <w:rPr>
          <w:sz w:val="22"/>
          <w:szCs w:val="16"/>
        </w:rPr>
      </w:pPr>
      <w:r w:rsidRPr="008B586E">
        <w:rPr>
          <w:sz w:val="22"/>
          <w:szCs w:val="16"/>
        </w:rPr>
        <w:t xml:space="preserve">jsou vyžádány soudem, státním zastupitelstvím nebo příslušným správním orgánem či zakladatelem </w:t>
      </w:r>
      <w:r>
        <w:rPr>
          <w:sz w:val="22"/>
          <w:szCs w:val="16"/>
        </w:rPr>
        <w:t>Komisionáře</w:t>
      </w:r>
      <w:r w:rsidRPr="008B586E">
        <w:rPr>
          <w:sz w:val="22"/>
          <w:szCs w:val="16"/>
        </w:rPr>
        <w:t xml:space="preserve"> na základě zákona;</w:t>
      </w:r>
    </w:p>
    <w:p w:rsidR="00235055" w:rsidRDefault="00235055" w:rsidP="00235055">
      <w:pPr>
        <w:numPr>
          <w:ilvl w:val="0"/>
          <w:numId w:val="22"/>
        </w:numPr>
        <w:suppressAutoHyphens w:val="0"/>
        <w:overflowPunct/>
        <w:autoSpaceDE/>
        <w:spacing w:before="0" w:after="120"/>
        <w:ind w:left="1134" w:hanging="425"/>
        <w:textAlignment w:val="auto"/>
        <w:rPr>
          <w:sz w:val="22"/>
          <w:szCs w:val="16"/>
          <w:lang w:eastAsia="cs-CZ"/>
        </w:rPr>
      </w:pPr>
      <w:r w:rsidRPr="008B586E">
        <w:rPr>
          <w:sz w:val="22"/>
          <w:szCs w:val="16"/>
        </w:rPr>
        <w:t xml:space="preserve">Smluvní strana je sdělí osobě vázané zákonnou povinností mlčenlivosti (např. </w:t>
      </w:r>
      <w:r w:rsidRPr="008B586E">
        <w:rPr>
          <w:sz w:val="22"/>
          <w:szCs w:val="16"/>
          <w:lang w:eastAsia="cs-CZ"/>
        </w:rPr>
        <w:t>advokátovi nebo daňovému poradci) za účelem uplatňování svých práv</w:t>
      </w:r>
      <w:r>
        <w:rPr>
          <w:sz w:val="22"/>
          <w:szCs w:val="16"/>
          <w:lang w:eastAsia="cs-CZ"/>
        </w:rPr>
        <w:t xml:space="preserve">; nebo </w:t>
      </w:r>
    </w:p>
    <w:p w:rsidR="00235055" w:rsidRDefault="00235055" w:rsidP="00235055">
      <w:pPr>
        <w:pStyle w:val="cpodstavecslovan1"/>
        <w:numPr>
          <w:ilvl w:val="1"/>
          <w:numId w:val="6"/>
        </w:numPr>
        <w:spacing w:line="240" w:lineRule="auto"/>
        <w:ind w:left="567" w:hanging="567"/>
      </w:pPr>
      <w:r w:rsidRPr="008B586E">
        <w:t>Povinnost mlčenlivosti trvá bez ohledu na ukončení účinnosti Smlouvy, a to až do doby, kdy se Důvěrné informace stanou obecně známými za předpokladu, že se tak nestane porušením povinnosti mlčenlivosti Smluvní strany.</w:t>
      </w:r>
    </w:p>
    <w:p w:rsidR="00AF4FEF" w:rsidRDefault="00AF4FEF" w:rsidP="00FB6BCB">
      <w:pPr>
        <w:pStyle w:val="cpodstavecslovan1"/>
        <w:numPr>
          <w:ilvl w:val="0"/>
          <w:numId w:val="0"/>
        </w:numPr>
        <w:ind w:left="792"/>
      </w:pPr>
    </w:p>
    <w:p w:rsidR="00AF4FEF" w:rsidRDefault="00AF4FEF" w:rsidP="00E05DA2">
      <w:pPr>
        <w:numPr>
          <w:ilvl w:val="0"/>
          <w:numId w:val="6"/>
        </w:numPr>
        <w:tabs>
          <w:tab w:val="left" w:pos="720"/>
        </w:tabs>
        <w:spacing w:before="0" w:after="120"/>
        <w:jc w:val="center"/>
        <w:rPr>
          <w:b/>
          <w:sz w:val="22"/>
        </w:rPr>
      </w:pPr>
      <w:r>
        <w:rPr>
          <w:b/>
          <w:sz w:val="22"/>
        </w:rPr>
        <w:t>Závěrečná ustanovení</w:t>
      </w:r>
    </w:p>
    <w:p w:rsidR="00AF4FEF" w:rsidRDefault="00AF4FEF" w:rsidP="00E05DA2">
      <w:pPr>
        <w:numPr>
          <w:ilvl w:val="1"/>
          <w:numId w:val="6"/>
        </w:numPr>
        <w:tabs>
          <w:tab w:val="left" w:pos="567"/>
        </w:tabs>
        <w:spacing w:before="0" w:after="120"/>
        <w:ind w:left="567" w:hanging="567"/>
        <w:rPr>
          <w:sz w:val="22"/>
        </w:rPr>
      </w:pPr>
      <w:r>
        <w:rPr>
          <w:sz w:val="22"/>
        </w:rPr>
        <w:t xml:space="preserve">Tato Smlouva se řídí právním řádem České republiky. V případech neupravených touto Smlouvou se právní vztahy mezi Smluvními stranami řídí dle § 2455 a násl. Občanského zákoníku, </w:t>
      </w:r>
      <w:r w:rsidRPr="005B6850">
        <w:rPr>
          <w:sz w:val="22"/>
          <w:szCs w:val="22"/>
        </w:rPr>
        <w:t xml:space="preserve">s </w:t>
      </w:r>
      <w:r w:rsidRPr="00FB7F11">
        <w:rPr>
          <w:sz w:val="22"/>
          <w:szCs w:val="22"/>
        </w:rPr>
        <w:t>vy</w:t>
      </w:r>
      <w:r>
        <w:rPr>
          <w:sz w:val="22"/>
          <w:szCs w:val="22"/>
        </w:rPr>
        <w:t>loučením aplikace §§ </w:t>
      </w:r>
      <w:r w:rsidRPr="002441B6">
        <w:rPr>
          <w:sz w:val="22"/>
          <w:szCs w:val="22"/>
        </w:rPr>
        <w:t>2460 odst.</w:t>
      </w:r>
      <w:r w:rsidR="00CB078A">
        <w:rPr>
          <w:sz w:val="22"/>
          <w:szCs w:val="22"/>
        </w:rPr>
        <w:t xml:space="preserve"> </w:t>
      </w:r>
      <w:r w:rsidRPr="002441B6">
        <w:rPr>
          <w:sz w:val="22"/>
          <w:szCs w:val="22"/>
        </w:rPr>
        <w:t xml:space="preserve">2, 2461 a 2466 </w:t>
      </w:r>
      <w:r>
        <w:rPr>
          <w:sz w:val="22"/>
          <w:szCs w:val="22"/>
        </w:rPr>
        <w:t>O</w:t>
      </w:r>
      <w:r w:rsidRPr="002441B6">
        <w:rPr>
          <w:sz w:val="22"/>
          <w:szCs w:val="22"/>
        </w:rPr>
        <w:t>bčanského zákoníku</w:t>
      </w:r>
      <w:r>
        <w:rPr>
          <w:sz w:val="22"/>
        </w:rPr>
        <w:t>.</w:t>
      </w:r>
    </w:p>
    <w:p w:rsidR="00AF4FEF" w:rsidRDefault="00AF4FEF" w:rsidP="00E05DA2">
      <w:pPr>
        <w:numPr>
          <w:ilvl w:val="1"/>
          <w:numId w:val="6"/>
        </w:numPr>
        <w:tabs>
          <w:tab w:val="left" w:pos="567"/>
        </w:tabs>
        <w:spacing w:before="0" w:after="120"/>
        <w:ind w:left="567" w:hanging="567"/>
        <w:rPr>
          <w:sz w:val="22"/>
        </w:rPr>
      </w:pPr>
      <w:r>
        <w:rPr>
          <w:sz w:val="22"/>
        </w:rPr>
        <w:t>Tato Smlouva může být měněna pouze vzestupně očíslovanými písemnými dodatky ke Smlouvě podepsanými oběma Smluvními stranami, není-li touto Smlouvou stanoveno jinak.</w:t>
      </w:r>
    </w:p>
    <w:p w:rsidR="00AF4FEF" w:rsidRDefault="00AF4FEF" w:rsidP="00E05DA2">
      <w:pPr>
        <w:numPr>
          <w:ilvl w:val="1"/>
          <w:numId w:val="6"/>
        </w:numPr>
        <w:tabs>
          <w:tab w:val="left" w:pos="567"/>
        </w:tabs>
        <w:spacing w:before="0" w:after="120"/>
        <w:ind w:left="567" w:hanging="567"/>
        <w:rPr>
          <w:sz w:val="22"/>
        </w:rPr>
      </w:pPr>
      <w:r>
        <w:rPr>
          <w:sz w:val="22"/>
        </w:rPr>
        <w:lastRenderedPageBreak/>
        <w:t xml:space="preserve">Dnem doručení písemností odeslaných na základě Smlouvy nebo v souvislosti s touto Smlouvou, pokud není prokázán jiný den doručení, se rozumí poslední den lhůty, ve které byla písemnost pro adresáta uložena u provozovatele poštovních služeb, a to i tehdy, jestliže se adresát o jejím uložení nedověděl.  </w:t>
      </w:r>
    </w:p>
    <w:p w:rsidR="00AF4FEF" w:rsidRDefault="00AF4FEF" w:rsidP="00E05DA2">
      <w:pPr>
        <w:numPr>
          <w:ilvl w:val="1"/>
          <w:numId w:val="6"/>
        </w:numPr>
        <w:tabs>
          <w:tab w:val="left" w:pos="567"/>
        </w:tabs>
        <w:spacing w:before="0" w:after="120"/>
        <w:ind w:left="567" w:hanging="567"/>
        <w:rPr>
          <w:sz w:val="22"/>
        </w:rPr>
      </w:pPr>
      <w:r>
        <w:rPr>
          <w:sz w:val="22"/>
        </w:rPr>
        <w:t xml:space="preserve">Pokud by bylo kterékoli ustanovení této Smlouvy zcela nebo zčásti neplatné nebo jestliže některá otázka není touto Smlouvou upravována, zbývající ustanovení Smlouvy nejsou tímto dotčena. </w:t>
      </w:r>
    </w:p>
    <w:p w:rsidR="00AF4FEF" w:rsidRDefault="00AF4FEF" w:rsidP="00E05DA2">
      <w:pPr>
        <w:numPr>
          <w:ilvl w:val="1"/>
          <w:numId w:val="6"/>
        </w:numPr>
        <w:tabs>
          <w:tab w:val="left" w:pos="567"/>
        </w:tabs>
        <w:spacing w:before="0" w:after="120"/>
        <w:ind w:left="567" w:hanging="567"/>
        <w:rPr>
          <w:sz w:val="22"/>
        </w:rPr>
      </w:pPr>
      <w:r>
        <w:rPr>
          <w:sz w:val="22"/>
        </w:rPr>
        <w:t>Tato Smlouva je vyhotovena ve 4 (slovy: čtyřech) stejnopisech s platností originálu, z nichž každá Smluvní strana obdrží po dvou.</w:t>
      </w:r>
    </w:p>
    <w:p w:rsidR="00AF4FEF" w:rsidRPr="0023157D" w:rsidRDefault="00AF4FEF" w:rsidP="00E05DA2">
      <w:pPr>
        <w:numPr>
          <w:ilvl w:val="1"/>
          <w:numId w:val="6"/>
        </w:numPr>
        <w:tabs>
          <w:tab w:val="left" w:pos="567"/>
        </w:tabs>
        <w:spacing w:before="0" w:after="120"/>
        <w:ind w:left="567" w:hanging="567"/>
        <w:rPr>
          <w:sz w:val="22"/>
        </w:rPr>
      </w:pPr>
      <w:r w:rsidRPr="0023157D">
        <w:rPr>
          <w:sz w:val="22"/>
        </w:rPr>
        <w:t>Kontaktní osoby:</w:t>
      </w:r>
    </w:p>
    <w:p w:rsidR="00AF4FEF" w:rsidRDefault="00AF4FEF" w:rsidP="00E05DA2">
      <w:pPr>
        <w:spacing w:before="0" w:after="120"/>
        <w:ind w:firstLine="567"/>
        <w:rPr>
          <w:sz w:val="22"/>
          <w:szCs w:val="22"/>
        </w:rPr>
      </w:pPr>
      <w:r>
        <w:rPr>
          <w:sz w:val="22"/>
          <w:szCs w:val="22"/>
        </w:rPr>
        <w:t>a)</w:t>
      </w:r>
      <w:r w:rsidRPr="00135A75">
        <w:rPr>
          <w:sz w:val="22"/>
          <w:szCs w:val="22"/>
        </w:rPr>
        <w:t xml:space="preserve"> za Komisionáře: </w:t>
      </w:r>
      <w:r>
        <w:rPr>
          <w:sz w:val="22"/>
          <w:szCs w:val="22"/>
        </w:rPr>
        <w:t xml:space="preserve"> </w:t>
      </w:r>
      <w:r w:rsidR="006561DD">
        <w:rPr>
          <w:sz w:val="22"/>
          <w:szCs w:val="22"/>
        </w:rPr>
        <w:t>xxx</w:t>
      </w:r>
    </w:p>
    <w:p w:rsidR="00AF4FEF" w:rsidRDefault="00AF4FEF" w:rsidP="00E05DA2">
      <w:pPr>
        <w:spacing w:before="0" w:after="120"/>
        <w:ind w:firstLine="567"/>
        <w:rPr>
          <w:sz w:val="22"/>
          <w:szCs w:val="22"/>
        </w:rPr>
      </w:pPr>
      <w:r>
        <w:rPr>
          <w:sz w:val="22"/>
          <w:szCs w:val="22"/>
        </w:rPr>
        <w:tab/>
      </w:r>
      <w:r>
        <w:rPr>
          <w:sz w:val="22"/>
          <w:szCs w:val="22"/>
        </w:rPr>
        <w:tab/>
      </w:r>
      <w:r>
        <w:rPr>
          <w:sz w:val="22"/>
          <w:szCs w:val="22"/>
        </w:rPr>
        <w:tab/>
        <w:t xml:space="preserve">   </w:t>
      </w:r>
      <w:r w:rsidR="006561DD">
        <w:rPr>
          <w:sz w:val="22"/>
          <w:szCs w:val="22"/>
        </w:rPr>
        <w:t xml:space="preserve"> xxx</w:t>
      </w:r>
    </w:p>
    <w:p w:rsidR="00AF4FEF" w:rsidRDefault="00AF4FEF" w:rsidP="00E05DA2">
      <w:pPr>
        <w:spacing w:before="0" w:after="120"/>
        <w:ind w:firstLine="567"/>
        <w:rPr>
          <w:sz w:val="22"/>
          <w:szCs w:val="22"/>
        </w:rPr>
      </w:pPr>
      <w:r>
        <w:rPr>
          <w:sz w:val="22"/>
          <w:szCs w:val="22"/>
        </w:rPr>
        <w:tab/>
      </w:r>
      <w:r>
        <w:rPr>
          <w:sz w:val="22"/>
          <w:szCs w:val="22"/>
        </w:rPr>
        <w:tab/>
      </w:r>
      <w:r>
        <w:rPr>
          <w:sz w:val="22"/>
          <w:szCs w:val="22"/>
        </w:rPr>
        <w:tab/>
        <w:t xml:space="preserve">   </w:t>
      </w:r>
      <w:r w:rsidR="00C051AF">
        <w:rPr>
          <w:sz w:val="22"/>
          <w:szCs w:val="22"/>
        </w:rPr>
        <w:t xml:space="preserve"> </w:t>
      </w:r>
      <w:r w:rsidR="006561DD">
        <w:rPr>
          <w:sz w:val="22"/>
          <w:szCs w:val="22"/>
        </w:rPr>
        <w:t>xxx</w:t>
      </w:r>
    </w:p>
    <w:p w:rsidR="00AF4FEF" w:rsidRDefault="00AF4FEF" w:rsidP="00E05DA2">
      <w:pPr>
        <w:spacing w:before="0" w:after="120"/>
        <w:ind w:firstLine="567"/>
        <w:rPr>
          <w:sz w:val="22"/>
          <w:szCs w:val="22"/>
        </w:rPr>
      </w:pPr>
      <w:r>
        <w:rPr>
          <w:sz w:val="22"/>
          <w:szCs w:val="22"/>
        </w:rPr>
        <w:t xml:space="preserve">b) </w:t>
      </w:r>
      <w:r w:rsidRPr="00504DA5">
        <w:rPr>
          <w:sz w:val="22"/>
          <w:szCs w:val="22"/>
        </w:rPr>
        <w:t>za Komitenta:</w:t>
      </w:r>
      <w:r>
        <w:rPr>
          <w:sz w:val="22"/>
          <w:szCs w:val="22"/>
        </w:rPr>
        <w:t xml:space="preserve"> </w:t>
      </w:r>
      <w:r>
        <w:rPr>
          <w:sz w:val="22"/>
          <w:szCs w:val="22"/>
        </w:rPr>
        <w:tab/>
      </w:r>
      <w:r w:rsidR="00C051AF">
        <w:rPr>
          <w:sz w:val="22"/>
          <w:szCs w:val="22"/>
        </w:rPr>
        <w:t xml:space="preserve">    </w:t>
      </w:r>
      <w:r w:rsidR="006561DD">
        <w:rPr>
          <w:sz w:val="22"/>
          <w:szCs w:val="22"/>
        </w:rPr>
        <w:t>xxx</w:t>
      </w:r>
      <w:r>
        <w:rPr>
          <w:sz w:val="22"/>
          <w:szCs w:val="22"/>
        </w:rPr>
        <w:tab/>
      </w:r>
    </w:p>
    <w:p w:rsidR="00C051AF" w:rsidRPr="00C051AF" w:rsidRDefault="006561DD" w:rsidP="00C051AF">
      <w:pPr>
        <w:spacing w:before="0" w:after="120"/>
        <w:ind w:firstLine="567"/>
        <w:rPr>
          <w:sz w:val="22"/>
          <w:szCs w:val="22"/>
        </w:rPr>
      </w:pPr>
      <w:r>
        <w:rPr>
          <w:sz w:val="22"/>
          <w:szCs w:val="22"/>
        </w:rPr>
        <w:tab/>
      </w:r>
      <w:r>
        <w:rPr>
          <w:sz w:val="22"/>
          <w:szCs w:val="22"/>
        </w:rPr>
        <w:tab/>
      </w:r>
      <w:r>
        <w:rPr>
          <w:sz w:val="22"/>
          <w:szCs w:val="22"/>
        </w:rPr>
        <w:tab/>
        <w:t xml:space="preserve">   </w:t>
      </w:r>
      <w:r w:rsidR="00C051AF">
        <w:rPr>
          <w:sz w:val="22"/>
          <w:szCs w:val="22"/>
        </w:rPr>
        <w:t xml:space="preserve"> </w:t>
      </w:r>
      <w:r>
        <w:rPr>
          <w:sz w:val="22"/>
          <w:szCs w:val="22"/>
        </w:rPr>
        <w:t>xxx</w:t>
      </w:r>
    </w:p>
    <w:p w:rsidR="00C051AF" w:rsidRDefault="006561DD" w:rsidP="00C051AF">
      <w:pPr>
        <w:spacing w:before="0" w:after="120"/>
        <w:ind w:firstLine="567"/>
        <w:rPr>
          <w:sz w:val="22"/>
          <w:szCs w:val="22"/>
        </w:rPr>
      </w:pPr>
      <w:r>
        <w:rPr>
          <w:sz w:val="22"/>
          <w:szCs w:val="22"/>
        </w:rPr>
        <w:tab/>
      </w:r>
      <w:r>
        <w:rPr>
          <w:sz w:val="22"/>
          <w:szCs w:val="22"/>
        </w:rPr>
        <w:tab/>
      </w:r>
      <w:r>
        <w:rPr>
          <w:sz w:val="22"/>
          <w:szCs w:val="22"/>
        </w:rPr>
        <w:tab/>
        <w:t xml:space="preserve">    xxx</w:t>
      </w:r>
    </w:p>
    <w:p w:rsidR="00AF4FEF" w:rsidRDefault="00AF4FEF" w:rsidP="00E05DA2">
      <w:pPr>
        <w:spacing w:before="0" w:after="120"/>
        <w:ind w:left="567"/>
        <w:rPr>
          <w:sz w:val="22"/>
        </w:rPr>
      </w:pPr>
      <w:r>
        <w:rPr>
          <w:sz w:val="22"/>
        </w:rPr>
        <w:t>Kontaktní osoba Komis</w:t>
      </w:r>
      <w:r w:rsidR="00403296">
        <w:rPr>
          <w:sz w:val="22"/>
        </w:rPr>
        <w:t>i</w:t>
      </w:r>
      <w:r>
        <w:rPr>
          <w:sz w:val="22"/>
        </w:rPr>
        <w:t>onáře není oprávněna samostatně měnit Smlouvu, s výjimkou ukončení prodeje</w:t>
      </w:r>
      <w:r w:rsidRPr="008D506C">
        <w:rPr>
          <w:sz w:val="22"/>
        </w:rPr>
        <w:t xml:space="preserve"> některého</w:t>
      </w:r>
      <w:r>
        <w:rPr>
          <w:sz w:val="22"/>
        </w:rPr>
        <w:t xml:space="preserve"> / některých</w:t>
      </w:r>
      <w:r w:rsidRPr="008D506C">
        <w:rPr>
          <w:sz w:val="22"/>
        </w:rPr>
        <w:t xml:space="preserve"> druh</w:t>
      </w:r>
      <w:r>
        <w:rPr>
          <w:sz w:val="22"/>
        </w:rPr>
        <w:t>ů</w:t>
      </w:r>
      <w:r w:rsidRPr="008D506C">
        <w:rPr>
          <w:sz w:val="22"/>
        </w:rPr>
        <w:t xml:space="preserve"> Zboží dle ustanovení bodu 3.1.4</w:t>
      </w:r>
      <w:r>
        <w:rPr>
          <w:sz w:val="22"/>
        </w:rPr>
        <w:t>.</w:t>
      </w:r>
      <w:r w:rsidRPr="008D506C">
        <w:rPr>
          <w:sz w:val="22"/>
        </w:rPr>
        <w:t xml:space="preserve"> Smlouvy</w:t>
      </w:r>
      <w:r>
        <w:rPr>
          <w:sz w:val="22"/>
        </w:rPr>
        <w:t xml:space="preserve">. Smluvní strany tímto zmocňují kontaktní osoby k </w:t>
      </w:r>
      <w:r w:rsidRPr="00DD2D42">
        <w:rPr>
          <w:sz w:val="22"/>
        </w:rPr>
        <w:t>ukončení prodeje některého</w:t>
      </w:r>
      <w:r>
        <w:rPr>
          <w:sz w:val="22"/>
        </w:rPr>
        <w:t xml:space="preserve"> / některých</w:t>
      </w:r>
      <w:r w:rsidRPr="00DD2D42">
        <w:rPr>
          <w:sz w:val="22"/>
        </w:rPr>
        <w:t xml:space="preserve"> </w:t>
      </w:r>
      <w:r>
        <w:rPr>
          <w:sz w:val="22"/>
        </w:rPr>
        <w:t xml:space="preserve">položek ze sortimentu </w:t>
      </w:r>
      <w:r w:rsidRPr="00DD2D42">
        <w:rPr>
          <w:sz w:val="22"/>
        </w:rPr>
        <w:t xml:space="preserve">Zboží </w:t>
      </w:r>
      <w:r>
        <w:rPr>
          <w:sz w:val="22"/>
        </w:rPr>
        <w:t>dle ustanovení bodu 3.1.4. Smlouvy. Komitent tímto zmocňuje svoji kontaktní osobu k plnění oznamovací povinnosti dle 3.1.7.</w:t>
      </w:r>
      <w:r>
        <w:rPr>
          <w:sz w:val="22"/>
        </w:rPr>
        <w:tab/>
      </w:r>
    </w:p>
    <w:p w:rsidR="00AF4FEF" w:rsidRDefault="00AF4FEF" w:rsidP="00E05DA2">
      <w:pPr>
        <w:numPr>
          <w:ilvl w:val="1"/>
          <w:numId w:val="6"/>
        </w:numPr>
        <w:tabs>
          <w:tab w:val="left" w:pos="567"/>
        </w:tabs>
        <w:spacing w:before="0" w:after="120"/>
        <w:ind w:left="567" w:hanging="567"/>
        <w:rPr>
          <w:sz w:val="22"/>
        </w:rPr>
      </w:pPr>
      <w:r>
        <w:rPr>
          <w:sz w:val="22"/>
        </w:rPr>
        <w:t>Smluvní strany prohlašují, že tato Smlouva vyjadřuje jejich úplné a výlučné vzájemné ujednání týkající se daného předmětu Smlouvy. Smluvní strany po přečtení Smlouvy prohlašují, že byla uzavřena po vzájemném projednání, určitě a srozumitelně, na základě jejich pravé, vážně míněné a svobodné vůle. Na důkaz uvedených skutečností připojují podpisy svých oprávněných osob či zástupců.</w:t>
      </w:r>
    </w:p>
    <w:p w:rsidR="00AF4FEF" w:rsidRDefault="00AF4FEF" w:rsidP="00E05DA2">
      <w:pPr>
        <w:numPr>
          <w:ilvl w:val="1"/>
          <w:numId w:val="6"/>
        </w:numPr>
        <w:tabs>
          <w:tab w:val="left" w:pos="567"/>
        </w:tabs>
        <w:spacing w:before="0" w:after="120"/>
        <w:ind w:left="567" w:hanging="567"/>
        <w:rPr>
          <w:sz w:val="22"/>
        </w:rPr>
      </w:pPr>
      <w:r>
        <w:rPr>
          <w:sz w:val="22"/>
        </w:rPr>
        <w:t>Nedílnou součástí Smlouvy jsou přílohy:</w:t>
      </w:r>
    </w:p>
    <w:p w:rsidR="00AF4FEF" w:rsidRDefault="00AF4FEF" w:rsidP="00E05DA2">
      <w:pPr>
        <w:spacing w:before="0" w:after="120"/>
        <w:ind w:left="567"/>
        <w:rPr>
          <w:sz w:val="22"/>
        </w:rPr>
      </w:pPr>
      <w:r>
        <w:rPr>
          <w:sz w:val="22"/>
        </w:rPr>
        <w:t>Příloha č. 1 – Dodací podmínky</w:t>
      </w:r>
      <w:r>
        <w:rPr>
          <w:sz w:val="22"/>
        </w:rPr>
        <w:tab/>
      </w:r>
    </w:p>
    <w:p w:rsidR="00AF4FEF" w:rsidRDefault="00AF4FEF" w:rsidP="00E05DA2">
      <w:pPr>
        <w:spacing w:before="0" w:after="120"/>
        <w:ind w:left="567"/>
        <w:rPr>
          <w:sz w:val="22"/>
        </w:rPr>
      </w:pPr>
      <w:r>
        <w:rPr>
          <w:sz w:val="22"/>
        </w:rPr>
        <w:t>Příloha č. 2 – Zboží, cena a odměna</w:t>
      </w:r>
    </w:p>
    <w:p w:rsidR="00D642E5" w:rsidRDefault="00D642E5" w:rsidP="00E05DA2">
      <w:pPr>
        <w:spacing w:before="0" w:after="120"/>
        <w:ind w:left="567"/>
        <w:rPr>
          <w:sz w:val="22"/>
        </w:rPr>
      </w:pPr>
      <w:r>
        <w:rPr>
          <w:sz w:val="22"/>
        </w:rPr>
        <w:t>Příloha č. 3 – Etický kodex České pošty, s.p.</w:t>
      </w:r>
    </w:p>
    <w:p w:rsidR="00AF4FEF" w:rsidRDefault="00AF4FEF" w:rsidP="00F20C9B">
      <w:pPr>
        <w:spacing w:before="0"/>
        <w:rPr>
          <w:sz w:val="22"/>
        </w:rPr>
      </w:pPr>
    </w:p>
    <w:p w:rsidR="00AF4FEF" w:rsidRDefault="00AF4FEF" w:rsidP="00F20C9B">
      <w:pPr>
        <w:spacing w:before="0"/>
        <w:rPr>
          <w:sz w:val="22"/>
        </w:rPr>
      </w:pPr>
    </w:p>
    <w:tbl>
      <w:tblPr>
        <w:tblpPr w:leftFromText="141" w:rightFromText="141" w:vertAnchor="text" w:horzAnchor="margin" w:tblpY="-85"/>
        <w:tblW w:w="9212" w:type="dxa"/>
        <w:tblLayout w:type="fixed"/>
        <w:tblCellMar>
          <w:left w:w="70" w:type="dxa"/>
          <w:right w:w="70" w:type="dxa"/>
        </w:tblCellMar>
        <w:tblLook w:val="0000" w:firstRow="0" w:lastRow="0" w:firstColumn="0" w:lastColumn="0" w:noHBand="0" w:noVBand="0"/>
      </w:tblPr>
      <w:tblGrid>
        <w:gridCol w:w="4606"/>
        <w:gridCol w:w="4606"/>
      </w:tblGrid>
      <w:tr w:rsidR="00AF4FEF" w:rsidTr="00C740E5">
        <w:tc>
          <w:tcPr>
            <w:tcW w:w="4606" w:type="dxa"/>
          </w:tcPr>
          <w:p w:rsidR="00AF4FEF" w:rsidRDefault="00AF4FEF" w:rsidP="00C740E5">
            <w:pPr>
              <w:pStyle w:val="Zkladntextodsazen31"/>
              <w:snapToGrid w:val="0"/>
              <w:ind w:left="425" w:hanging="425"/>
              <w:jc w:val="both"/>
              <w:rPr>
                <w:sz w:val="22"/>
              </w:rPr>
            </w:pPr>
            <w:r>
              <w:rPr>
                <w:sz w:val="22"/>
              </w:rPr>
              <w:t xml:space="preserve">V Praze dne:  </w:t>
            </w:r>
          </w:p>
        </w:tc>
        <w:tc>
          <w:tcPr>
            <w:tcW w:w="4606" w:type="dxa"/>
          </w:tcPr>
          <w:p w:rsidR="00AF4FEF" w:rsidRDefault="00733F4C" w:rsidP="006561DD">
            <w:pPr>
              <w:pStyle w:val="Zkladntextodsazen31"/>
              <w:snapToGrid w:val="0"/>
              <w:ind w:left="425" w:hanging="425"/>
              <w:jc w:val="both"/>
              <w:rPr>
                <w:sz w:val="22"/>
              </w:rPr>
            </w:pPr>
            <w:r>
              <w:rPr>
                <w:sz w:val="22"/>
              </w:rPr>
              <w:t xml:space="preserve">Ve </w:t>
            </w:r>
            <w:r w:rsidR="006561DD">
              <w:rPr>
                <w:sz w:val="22"/>
              </w:rPr>
              <w:t>xxx</w:t>
            </w:r>
            <w:r w:rsidR="00403296">
              <w:rPr>
                <w:sz w:val="22"/>
              </w:rPr>
              <w:t xml:space="preserve"> </w:t>
            </w:r>
            <w:r w:rsidR="00AF4FEF">
              <w:rPr>
                <w:sz w:val="22"/>
              </w:rPr>
              <w:t>dne:</w:t>
            </w:r>
          </w:p>
        </w:tc>
      </w:tr>
      <w:tr w:rsidR="00AF4FEF" w:rsidTr="00C740E5">
        <w:tc>
          <w:tcPr>
            <w:tcW w:w="4606" w:type="dxa"/>
          </w:tcPr>
          <w:p w:rsidR="00AF4FEF" w:rsidRDefault="00AF4FEF" w:rsidP="005E53B7">
            <w:pPr>
              <w:pStyle w:val="Zkladntextodsazen31"/>
              <w:snapToGrid w:val="0"/>
              <w:ind w:left="0"/>
              <w:jc w:val="both"/>
              <w:rPr>
                <w:sz w:val="22"/>
              </w:rPr>
            </w:pPr>
          </w:p>
        </w:tc>
        <w:tc>
          <w:tcPr>
            <w:tcW w:w="4606" w:type="dxa"/>
          </w:tcPr>
          <w:p w:rsidR="00AF4FEF" w:rsidRDefault="00AF4FEF" w:rsidP="00AC0717">
            <w:pPr>
              <w:pStyle w:val="Zkladntextodsazen31"/>
              <w:snapToGrid w:val="0"/>
              <w:ind w:left="425" w:hanging="425"/>
              <w:jc w:val="both"/>
              <w:rPr>
                <w:sz w:val="22"/>
              </w:rPr>
            </w:pPr>
          </w:p>
        </w:tc>
      </w:tr>
    </w:tbl>
    <w:p w:rsidR="00AF4FEF" w:rsidRDefault="00AF4FEF">
      <w:pPr>
        <w:pStyle w:val="Zkladntext"/>
        <w:rPr>
          <w:sz w:val="22"/>
        </w:rPr>
      </w:pPr>
    </w:p>
    <w:tbl>
      <w:tblPr>
        <w:tblpPr w:leftFromText="141" w:rightFromText="141" w:vertAnchor="text" w:horzAnchor="margin" w:tblpY="65"/>
        <w:tblW w:w="9212" w:type="dxa"/>
        <w:tblLayout w:type="fixed"/>
        <w:tblCellMar>
          <w:left w:w="70" w:type="dxa"/>
          <w:right w:w="70" w:type="dxa"/>
        </w:tblCellMar>
        <w:tblLook w:val="0000" w:firstRow="0" w:lastRow="0" w:firstColumn="0" w:lastColumn="0" w:noHBand="0" w:noVBand="0"/>
      </w:tblPr>
      <w:tblGrid>
        <w:gridCol w:w="4606"/>
        <w:gridCol w:w="4606"/>
      </w:tblGrid>
      <w:tr w:rsidR="00AF4FEF" w:rsidTr="00CB20DD">
        <w:tc>
          <w:tcPr>
            <w:tcW w:w="4606" w:type="dxa"/>
          </w:tcPr>
          <w:p w:rsidR="00AF4FEF" w:rsidRDefault="00AF4FEF">
            <w:pPr>
              <w:pStyle w:val="Zkladntext"/>
              <w:snapToGrid w:val="0"/>
              <w:rPr>
                <w:sz w:val="22"/>
              </w:rPr>
            </w:pPr>
            <w:r>
              <w:rPr>
                <w:sz w:val="22"/>
              </w:rPr>
              <w:t>___________________________</w:t>
            </w:r>
          </w:p>
        </w:tc>
        <w:tc>
          <w:tcPr>
            <w:tcW w:w="4606" w:type="dxa"/>
          </w:tcPr>
          <w:p w:rsidR="00AF4FEF" w:rsidRDefault="00AF4FEF">
            <w:pPr>
              <w:pStyle w:val="Zkladntext"/>
              <w:snapToGrid w:val="0"/>
              <w:rPr>
                <w:sz w:val="22"/>
              </w:rPr>
            </w:pPr>
            <w:r w:rsidRPr="00A42B15">
              <w:rPr>
                <w:sz w:val="22"/>
              </w:rPr>
              <w:t>___________________________</w:t>
            </w:r>
          </w:p>
        </w:tc>
      </w:tr>
      <w:tr w:rsidR="00AF4FEF" w:rsidTr="00CB20DD">
        <w:tc>
          <w:tcPr>
            <w:tcW w:w="4606" w:type="dxa"/>
          </w:tcPr>
          <w:p w:rsidR="00AF4FEF" w:rsidRPr="00733F4C" w:rsidRDefault="00733F4C" w:rsidP="00CB20DD">
            <w:pPr>
              <w:pStyle w:val="Zpat"/>
              <w:snapToGrid w:val="0"/>
              <w:rPr>
                <w:b/>
                <w:sz w:val="22"/>
              </w:rPr>
            </w:pPr>
            <w:r w:rsidRPr="00733F4C">
              <w:rPr>
                <w:b/>
                <w:sz w:val="22"/>
              </w:rPr>
              <w:t>Ing. Andrea Pospíšilová</w:t>
            </w:r>
          </w:p>
        </w:tc>
        <w:tc>
          <w:tcPr>
            <w:tcW w:w="4606" w:type="dxa"/>
          </w:tcPr>
          <w:p w:rsidR="00AF4FEF" w:rsidRDefault="006561DD" w:rsidP="00CB20DD">
            <w:pPr>
              <w:snapToGrid w:val="0"/>
              <w:rPr>
                <w:sz w:val="22"/>
                <w:szCs w:val="22"/>
              </w:rPr>
            </w:pPr>
            <w:r>
              <w:rPr>
                <w:sz w:val="22"/>
                <w:szCs w:val="22"/>
              </w:rPr>
              <w:t>XXX</w:t>
            </w:r>
          </w:p>
        </w:tc>
      </w:tr>
      <w:tr w:rsidR="00AF4FEF" w:rsidTr="00CB20DD">
        <w:trPr>
          <w:trHeight w:val="797"/>
        </w:trPr>
        <w:tc>
          <w:tcPr>
            <w:tcW w:w="4606" w:type="dxa"/>
          </w:tcPr>
          <w:p w:rsidR="00AF4FEF" w:rsidRDefault="00733F4C" w:rsidP="00CB20DD">
            <w:pPr>
              <w:pStyle w:val="Zpat"/>
              <w:snapToGrid w:val="0"/>
              <w:rPr>
                <w:sz w:val="22"/>
              </w:rPr>
            </w:pPr>
            <w:r>
              <w:rPr>
                <w:sz w:val="22"/>
              </w:rPr>
              <w:t>vedoucí odboru poštovní a ostatní služby</w:t>
            </w:r>
            <w:r w:rsidR="00AF4FEF">
              <w:rPr>
                <w:sz w:val="22"/>
              </w:rPr>
              <w:tab/>
            </w:r>
            <w:r w:rsidR="00AF4FEF">
              <w:rPr>
                <w:sz w:val="22"/>
              </w:rPr>
              <w:tab/>
            </w:r>
          </w:p>
          <w:p w:rsidR="00AF4FEF" w:rsidRPr="00733F4C" w:rsidRDefault="00AF4FEF" w:rsidP="00CB20DD">
            <w:pPr>
              <w:pStyle w:val="Zpat"/>
              <w:rPr>
                <w:b/>
                <w:sz w:val="22"/>
              </w:rPr>
            </w:pPr>
            <w:r w:rsidRPr="00733F4C">
              <w:rPr>
                <w:b/>
                <w:sz w:val="22"/>
              </w:rPr>
              <w:t>Česká pošta, s.p.</w:t>
            </w:r>
          </w:p>
        </w:tc>
        <w:tc>
          <w:tcPr>
            <w:tcW w:w="4606" w:type="dxa"/>
          </w:tcPr>
          <w:p w:rsidR="00AF4FEF" w:rsidRPr="00996C08" w:rsidRDefault="00AF4FEF" w:rsidP="00CB20DD">
            <w:pPr>
              <w:pStyle w:val="Zpat"/>
              <w:snapToGrid w:val="0"/>
              <w:rPr>
                <w:b/>
                <w:sz w:val="22"/>
              </w:rPr>
            </w:pPr>
          </w:p>
        </w:tc>
      </w:tr>
    </w:tbl>
    <w:p w:rsidR="00AF4FEF" w:rsidRDefault="00AF4FEF" w:rsidP="00C94594"/>
    <w:p w:rsidR="00E7002A" w:rsidRDefault="00E7002A" w:rsidP="00CC3DEB">
      <w:pPr>
        <w:rPr>
          <w:sz w:val="28"/>
        </w:rPr>
      </w:pPr>
      <w:r w:rsidRPr="007360FA">
        <w:rPr>
          <w:b/>
          <w:sz w:val="28"/>
        </w:rPr>
        <w:lastRenderedPageBreak/>
        <w:t>Příloha č.</w:t>
      </w:r>
      <w:r>
        <w:rPr>
          <w:b/>
          <w:sz w:val="28"/>
        </w:rPr>
        <w:t xml:space="preserve"> </w:t>
      </w:r>
      <w:r w:rsidRPr="007360FA">
        <w:rPr>
          <w:b/>
          <w:sz w:val="28"/>
        </w:rPr>
        <w:t xml:space="preserve">1 Komisionářské smlouvy č. </w:t>
      </w:r>
      <w:r w:rsidR="0050481B">
        <w:rPr>
          <w:b/>
          <w:sz w:val="28"/>
        </w:rPr>
        <w:t>2016/1029 (</w:t>
      </w:r>
      <w:r>
        <w:rPr>
          <w:sz w:val="28"/>
        </w:rPr>
        <w:t>dále jen „Smlouva“)</w:t>
      </w:r>
    </w:p>
    <w:p w:rsidR="00CF787A" w:rsidRDefault="00CF787A" w:rsidP="00E7002A">
      <w:pPr>
        <w:ind w:left="284" w:firstLine="425"/>
        <w:rPr>
          <w:b/>
          <w:sz w:val="28"/>
        </w:rPr>
      </w:pPr>
    </w:p>
    <w:p w:rsidR="00E7002A" w:rsidRDefault="00E7002A" w:rsidP="00CC3DEB">
      <w:pPr>
        <w:rPr>
          <w:b/>
          <w:sz w:val="28"/>
        </w:rPr>
      </w:pPr>
      <w:r>
        <w:rPr>
          <w:b/>
          <w:sz w:val="28"/>
        </w:rPr>
        <w:t>Dodací podmínky</w:t>
      </w:r>
      <w:r w:rsidRPr="00E527E7">
        <w:rPr>
          <w:b/>
          <w:sz w:val="28"/>
        </w:rPr>
        <w:t xml:space="preserve"> </w:t>
      </w:r>
    </w:p>
    <w:p w:rsidR="00CF787A" w:rsidRPr="00E527E7" w:rsidRDefault="00CF787A" w:rsidP="00CC3DEB">
      <w:pPr>
        <w:rPr>
          <w:b/>
          <w:sz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6516"/>
      </w:tblGrid>
      <w:tr w:rsidR="00E7002A" w:rsidRPr="00CF787A" w:rsidTr="00733F4C">
        <w:trPr>
          <w:trHeight w:val="600"/>
        </w:trPr>
        <w:tc>
          <w:tcPr>
            <w:tcW w:w="1462" w:type="pct"/>
          </w:tcPr>
          <w:p w:rsidR="00E7002A" w:rsidRPr="00CF787A" w:rsidRDefault="00E7002A" w:rsidP="007367E6">
            <w:pPr>
              <w:spacing w:after="0"/>
            </w:pPr>
            <w:r w:rsidRPr="00CF787A">
              <w:t>Územní rozsah distribuce na poštách provozovaných Komisionářem:</w:t>
            </w:r>
          </w:p>
        </w:tc>
        <w:tc>
          <w:tcPr>
            <w:tcW w:w="3538" w:type="pct"/>
          </w:tcPr>
          <w:p w:rsidR="00E7002A" w:rsidRPr="005443F1" w:rsidRDefault="00E7002A" w:rsidP="007367E6">
            <w:r w:rsidRPr="005443F1">
              <w:t>celá ČR</w:t>
            </w:r>
          </w:p>
        </w:tc>
      </w:tr>
      <w:tr w:rsidR="00E7002A" w:rsidRPr="00CF787A" w:rsidTr="00733F4C">
        <w:trPr>
          <w:trHeight w:val="600"/>
        </w:trPr>
        <w:tc>
          <w:tcPr>
            <w:tcW w:w="1462" w:type="pct"/>
          </w:tcPr>
          <w:p w:rsidR="00E7002A" w:rsidRPr="00CF787A" w:rsidRDefault="00E7002A" w:rsidP="007367E6">
            <w:r w:rsidRPr="00CF787A">
              <w:t xml:space="preserve">Dodací místo pro Zboží: </w:t>
            </w:r>
          </w:p>
        </w:tc>
        <w:tc>
          <w:tcPr>
            <w:tcW w:w="3538" w:type="pct"/>
          </w:tcPr>
          <w:p w:rsidR="00E7002A" w:rsidRPr="00CF787A" w:rsidRDefault="00733F4C" w:rsidP="007367E6">
            <w:pPr>
              <w:spacing w:after="0"/>
            </w:pPr>
            <w:r>
              <w:t>Komitent dodá zboží v poštovních zásilkách, případně osobně na koncové místo určení dle objednávky</w:t>
            </w:r>
          </w:p>
        </w:tc>
      </w:tr>
      <w:tr w:rsidR="00E7002A" w:rsidRPr="00CF787A" w:rsidTr="00733F4C">
        <w:trPr>
          <w:trHeight w:val="509"/>
        </w:trPr>
        <w:tc>
          <w:tcPr>
            <w:tcW w:w="1462" w:type="pct"/>
          </w:tcPr>
          <w:p w:rsidR="00E7002A" w:rsidRPr="00CF787A" w:rsidRDefault="00E7002A" w:rsidP="007367E6">
            <w:pPr>
              <w:spacing w:after="0"/>
            </w:pPr>
            <w:r w:rsidRPr="00CF787A">
              <w:t>Provozní doba v Dodacím místě pro příjem Zboží:</w:t>
            </w:r>
          </w:p>
        </w:tc>
        <w:tc>
          <w:tcPr>
            <w:tcW w:w="3538" w:type="pct"/>
          </w:tcPr>
          <w:p w:rsidR="00733F4C" w:rsidRPr="00CF787A" w:rsidRDefault="00733F4C" w:rsidP="00733F4C">
            <w:pPr>
              <w:spacing w:after="0"/>
            </w:pPr>
            <w:r>
              <w:t xml:space="preserve">Dle otevírací doby pro veřejnost jednotlivých provozoven </w:t>
            </w:r>
          </w:p>
          <w:p w:rsidR="00E7002A" w:rsidRPr="00CF787A" w:rsidRDefault="00E7002A" w:rsidP="007367E6">
            <w:pPr>
              <w:spacing w:after="0"/>
            </w:pPr>
          </w:p>
        </w:tc>
      </w:tr>
      <w:tr w:rsidR="00E7002A" w:rsidRPr="00CF787A" w:rsidTr="00733F4C">
        <w:trPr>
          <w:trHeight w:val="525"/>
        </w:trPr>
        <w:tc>
          <w:tcPr>
            <w:tcW w:w="1462" w:type="pct"/>
          </w:tcPr>
          <w:p w:rsidR="00E7002A" w:rsidRPr="00CF787A" w:rsidRDefault="00E7002A" w:rsidP="007367E6">
            <w:r w:rsidRPr="00CF787A">
              <w:t xml:space="preserve">Předání Zboží: </w:t>
            </w:r>
          </w:p>
        </w:tc>
        <w:tc>
          <w:tcPr>
            <w:tcW w:w="3538" w:type="pct"/>
          </w:tcPr>
          <w:p w:rsidR="00E7002A" w:rsidRPr="00CF787A" w:rsidRDefault="00733F4C" w:rsidP="007367E6">
            <w:pPr>
              <w:spacing w:after="0"/>
            </w:pPr>
            <w:r>
              <w:t>P</w:t>
            </w:r>
            <w:r w:rsidR="00E7002A" w:rsidRPr="00CF787A">
              <w:t xml:space="preserve">rotokolárně na základě potvrzení dodacího dokladu pracovníkem Komisionáře, dodací doklad </w:t>
            </w:r>
            <w:r>
              <w:t xml:space="preserve">ve dvojím vyhotovení </w:t>
            </w:r>
            <w:r w:rsidR="00E7002A" w:rsidRPr="00CF787A">
              <w:t>musí obsahovat název dodavatele, číslo objednávky, výčet KZM, názvů zboží a počtu kusů zboží dodaného pro každé KZM</w:t>
            </w:r>
          </w:p>
        </w:tc>
      </w:tr>
      <w:tr w:rsidR="00E7002A" w:rsidRPr="00CF787A" w:rsidTr="00733F4C">
        <w:trPr>
          <w:trHeight w:val="2136"/>
        </w:trPr>
        <w:tc>
          <w:tcPr>
            <w:tcW w:w="1462" w:type="pct"/>
          </w:tcPr>
          <w:p w:rsidR="00E7002A" w:rsidRPr="00CF787A" w:rsidRDefault="00E7002A" w:rsidP="007367E6">
            <w:r w:rsidRPr="00CF787A">
              <w:t>Transportní balení do Dodacího místa:</w:t>
            </w:r>
          </w:p>
        </w:tc>
        <w:tc>
          <w:tcPr>
            <w:tcW w:w="3538" w:type="pct"/>
          </w:tcPr>
          <w:p w:rsidR="00E7002A" w:rsidRPr="00CF787A" w:rsidRDefault="00E7002A" w:rsidP="007367E6">
            <w:r w:rsidRPr="00CF787A">
              <w:t>Paleta – označena číslem KZM daného druhu Zboží dle přílohy č. 2 Smlouvy a počtem kusů na paletě</w:t>
            </w:r>
          </w:p>
          <w:p w:rsidR="00E7002A" w:rsidRPr="00CF787A" w:rsidRDefault="00E7002A" w:rsidP="007367E6">
            <w:r w:rsidRPr="00CF787A">
              <w:t>Krabice / přepravní box – musí obsahovat jeden druh Zboží a být označena KZM dle přílohy č. 2 Smlouvy a počtem kusů v krabici/přepravním boxu.</w:t>
            </w:r>
          </w:p>
          <w:p w:rsidR="00E7002A" w:rsidRPr="00CF787A" w:rsidRDefault="00E7002A" w:rsidP="007367E6">
            <w:pPr>
              <w:spacing w:after="0"/>
            </w:pPr>
            <w:r w:rsidRPr="00CF787A">
              <w:t>Balík dodaný prostřednictvím poskytovatele poštovních služeb – musí obsahovat dodací list, kde budou vyspecifikována KZM dle přílohy č. 2 Smlouvy v balení obsažená</w:t>
            </w:r>
          </w:p>
        </w:tc>
      </w:tr>
      <w:tr w:rsidR="00E7002A" w:rsidRPr="00CF787A" w:rsidTr="00733F4C">
        <w:trPr>
          <w:trHeight w:val="5940"/>
        </w:trPr>
        <w:tc>
          <w:tcPr>
            <w:tcW w:w="5000" w:type="pct"/>
            <w:gridSpan w:val="2"/>
          </w:tcPr>
          <w:p w:rsidR="00E7002A" w:rsidRPr="00CF787A" w:rsidRDefault="00E7002A" w:rsidP="00E7002A">
            <w:pPr>
              <w:numPr>
                <w:ilvl w:val="0"/>
                <w:numId w:val="20"/>
              </w:numPr>
              <w:suppressAutoHyphens w:val="0"/>
              <w:overflowPunct/>
              <w:autoSpaceDE/>
              <w:spacing w:before="0" w:after="200"/>
              <w:textAlignment w:val="auto"/>
            </w:pPr>
            <w:r w:rsidRPr="00CF787A">
              <w:t>Nejmenší objednací množství dle přílohy č. 2 Smlouvy, je daný počet kusů Zboží k sobě připojených způsobem, který umožní manipulaci s tímto počtem kusů najednou.</w:t>
            </w:r>
          </w:p>
          <w:p w:rsidR="00E7002A" w:rsidRPr="00CF787A" w:rsidRDefault="00E7002A" w:rsidP="00E7002A">
            <w:pPr>
              <w:numPr>
                <w:ilvl w:val="0"/>
                <w:numId w:val="20"/>
              </w:numPr>
              <w:suppressAutoHyphens w:val="0"/>
              <w:overflowPunct/>
              <w:autoSpaceDE/>
              <w:spacing w:before="0" w:after="200"/>
              <w:textAlignment w:val="auto"/>
            </w:pPr>
            <w:r w:rsidRPr="00CF787A">
              <w:t xml:space="preserve">V případě dodání Zboží na </w:t>
            </w:r>
            <w:r w:rsidRPr="00CC3DEB">
              <w:rPr>
                <w:rStyle w:val="Styl1Char"/>
                <w:sz w:val="20"/>
                <w:szCs w:val="20"/>
              </w:rPr>
              <w:t>paletách, musí být dodáno na vratných paletách o rozměrech EUR palet (palety budou řešeny okamžitou výměnou), výška palety včetně Zboží může být maximálně 1700 mm. Zboží na paletách musí být zabezpečeno proti poškození</w:t>
            </w:r>
            <w:r w:rsidRPr="00CF787A">
              <w:t xml:space="preserve"> při přepravě a manipulaci.</w:t>
            </w:r>
          </w:p>
          <w:p w:rsidR="00E7002A" w:rsidRPr="00CC3DEB" w:rsidRDefault="00E7002A" w:rsidP="007367E6">
            <w:pPr>
              <w:pStyle w:val="Styl1"/>
              <w:spacing w:after="0"/>
              <w:rPr>
                <w:sz w:val="20"/>
                <w:szCs w:val="20"/>
              </w:rPr>
            </w:pPr>
            <w:r w:rsidRPr="00CC3DEB">
              <w:rPr>
                <w:sz w:val="20"/>
                <w:szCs w:val="20"/>
              </w:rPr>
              <w:t xml:space="preserve">Dodávané Zboží musí být Komitentem zabaleno způsobem obvyklým pro takové Zboží s přihlédnutím: </w:t>
            </w:r>
          </w:p>
          <w:p w:rsidR="00E7002A" w:rsidRPr="00CC3DEB" w:rsidRDefault="00E7002A" w:rsidP="00E7002A">
            <w:pPr>
              <w:pStyle w:val="Styl1"/>
              <w:numPr>
                <w:ilvl w:val="0"/>
                <w:numId w:val="21"/>
              </w:numPr>
              <w:spacing w:after="0"/>
              <w:ind w:firstLine="36"/>
              <w:rPr>
                <w:sz w:val="20"/>
                <w:szCs w:val="20"/>
              </w:rPr>
            </w:pPr>
            <w:r w:rsidRPr="00CC3DEB">
              <w:rPr>
                <w:sz w:val="20"/>
                <w:szCs w:val="20"/>
              </w:rPr>
              <w:t>k místu skladování (skladovací hala),</w:t>
            </w:r>
          </w:p>
          <w:p w:rsidR="00E7002A" w:rsidRPr="00CC3DEB" w:rsidRDefault="00E7002A" w:rsidP="00E7002A">
            <w:pPr>
              <w:pStyle w:val="Styl1"/>
              <w:numPr>
                <w:ilvl w:val="0"/>
                <w:numId w:val="21"/>
              </w:numPr>
              <w:spacing w:after="0"/>
              <w:ind w:firstLine="36"/>
              <w:rPr>
                <w:sz w:val="20"/>
                <w:szCs w:val="20"/>
              </w:rPr>
            </w:pPr>
            <w:r w:rsidRPr="00CC3DEB">
              <w:rPr>
                <w:sz w:val="20"/>
                <w:szCs w:val="20"/>
              </w:rPr>
              <w:t>další distribuci Zboží (rozvoz po jednotlivých nejmenších objednacích množstvích),</w:t>
            </w:r>
          </w:p>
          <w:p w:rsidR="00E7002A" w:rsidRPr="00CC3DEB" w:rsidRDefault="00E7002A" w:rsidP="00E7002A">
            <w:pPr>
              <w:pStyle w:val="Styl1"/>
              <w:numPr>
                <w:ilvl w:val="0"/>
                <w:numId w:val="21"/>
              </w:numPr>
              <w:spacing w:after="0"/>
              <w:ind w:firstLine="36"/>
              <w:rPr>
                <w:sz w:val="20"/>
                <w:szCs w:val="20"/>
              </w:rPr>
            </w:pPr>
            <w:r w:rsidRPr="00CC3DEB">
              <w:rPr>
                <w:sz w:val="20"/>
                <w:szCs w:val="20"/>
              </w:rPr>
              <w:t xml:space="preserve">způsobu přepravy v rámci logistické sítě Komisionáře s dalšími věcmi tak, </w:t>
            </w:r>
          </w:p>
          <w:p w:rsidR="00E7002A" w:rsidRPr="00CC3DEB" w:rsidRDefault="00E7002A" w:rsidP="007367E6">
            <w:pPr>
              <w:pStyle w:val="Styl1"/>
              <w:numPr>
                <w:ilvl w:val="0"/>
                <w:numId w:val="0"/>
              </w:numPr>
              <w:spacing w:after="0"/>
              <w:ind w:left="720"/>
              <w:rPr>
                <w:sz w:val="20"/>
                <w:szCs w:val="20"/>
              </w:rPr>
            </w:pPr>
            <w:r w:rsidRPr="00CC3DEB">
              <w:rPr>
                <w:sz w:val="20"/>
                <w:szCs w:val="20"/>
              </w:rPr>
              <w:t>aby bylo zajištěno uchování, ochrana a kvalita Zboží a Zboží bylo zajištěno proti poškození.</w:t>
            </w:r>
          </w:p>
          <w:p w:rsidR="00E7002A" w:rsidRPr="00CC3DEB" w:rsidRDefault="00E7002A" w:rsidP="007367E6">
            <w:pPr>
              <w:pStyle w:val="Styl1"/>
              <w:numPr>
                <w:ilvl w:val="0"/>
                <w:numId w:val="0"/>
              </w:numPr>
              <w:spacing w:after="0"/>
              <w:ind w:left="720"/>
              <w:rPr>
                <w:sz w:val="20"/>
                <w:szCs w:val="20"/>
              </w:rPr>
            </w:pPr>
          </w:p>
          <w:p w:rsidR="00E7002A" w:rsidRPr="00CF787A" w:rsidRDefault="00E7002A" w:rsidP="00E7002A">
            <w:pPr>
              <w:numPr>
                <w:ilvl w:val="0"/>
                <w:numId w:val="20"/>
              </w:numPr>
              <w:suppressAutoHyphens w:val="0"/>
              <w:overflowPunct/>
              <w:autoSpaceDE/>
              <w:spacing w:before="0" w:after="200"/>
              <w:textAlignment w:val="auto"/>
            </w:pPr>
            <w:r w:rsidRPr="00CF787A">
              <w:t xml:space="preserve">Hmotnost jednoho balení Zboží (krabice, schránka, apod.) nesmí přesáhnout 30 kg. </w:t>
            </w:r>
          </w:p>
          <w:p w:rsidR="00E7002A" w:rsidRPr="005443F1" w:rsidRDefault="00E7002A" w:rsidP="00E7002A">
            <w:pPr>
              <w:numPr>
                <w:ilvl w:val="0"/>
                <w:numId w:val="20"/>
              </w:numPr>
              <w:suppressAutoHyphens w:val="0"/>
              <w:overflowPunct/>
              <w:autoSpaceDE/>
              <w:spacing w:before="0" w:after="200"/>
              <w:textAlignment w:val="auto"/>
            </w:pPr>
            <w:r w:rsidRPr="00CF787A">
              <w:t>Následné objednávky: Komisionář bude interní objednávky sumarizovat vždy k 1. a 16. dne v měsíci. V případě, že termínově vymezené dny připadnou na den pracovního volna, klidu, všechny termíny pro zpracování se posunují na první následující pracovní den.</w:t>
            </w:r>
          </w:p>
          <w:p w:rsidR="00E7002A" w:rsidRPr="005443F1" w:rsidRDefault="00E7002A" w:rsidP="00E7002A">
            <w:pPr>
              <w:numPr>
                <w:ilvl w:val="0"/>
                <w:numId w:val="20"/>
              </w:numPr>
              <w:suppressAutoHyphens w:val="0"/>
              <w:overflowPunct/>
              <w:autoSpaceDE/>
              <w:spacing w:before="0" w:after="200"/>
              <w:textAlignment w:val="auto"/>
            </w:pPr>
            <w:r w:rsidRPr="005443F1">
              <w:t>Komitent Zboží dodá do dodacího místa do 7 pracovních dnů od převzetí objednávky.</w:t>
            </w:r>
          </w:p>
          <w:p w:rsidR="00E7002A" w:rsidRPr="00CF787A" w:rsidRDefault="00E7002A" w:rsidP="007367E6">
            <w:pPr>
              <w:spacing w:after="0"/>
              <w:ind w:left="360"/>
            </w:pPr>
          </w:p>
        </w:tc>
      </w:tr>
    </w:tbl>
    <w:p w:rsidR="006F6EA8" w:rsidRDefault="006F6EA8" w:rsidP="00733F4C">
      <w:pPr>
        <w:tabs>
          <w:tab w:val="left" w:pos="7065"/>
        </w:tabs>
      </w:pPr>
    </w:p>
    <w:sectPr w:rsidR="006F6EA8" w:rsidSect="00FD2DFD">
      <w:headerReference w:type="default" r:id="rId8"/>
      <w:footerReference w:type="default" r:id="rId9"/>
      <w:footnotePr>
        <w:pos w:val="beneathText"/>
      </w:footnotePr>
      <w:pgSz w:w="11905" w:h="16837"/>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A4" w:rsidRDefault="00933CA4">
      <w:pPr>
        <w:spacing w:before="0" w:after="0"/>
      </w:pPr>
      <w:r>
        <w:separator/>
      </w:r>
    </w:p>
  </w:endnote>
  <w:endnote w:type="continuationSeparator" w:id="0">
    <w:p w:rsidR="00933CA4" w:rsidRDefault="00933C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rieLigh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F" w:rsidRDefault="004940D4">
    <w:pPr>
      <w:pStyle w:val="Zpat"/>
    </w:pPr>
    <w:r>
      <w:rPr>
        <w:noProof/>
        <w:lang w:eastAsia="cs-CZ"/>
      </w:rPr>
      <mc:AlternateContent>
        <mc:Choice Requires="wps">
          <w:drawing>
            <wp:anchor distT="0" distB="0" distL="0" distR="0" simplePos="0" relativeHeight="251656192" behindDoc="0" locked="0" layoutInCell="1" allowOverlap="1">
              <wp:simplePos x="0" y="0"/>
              <wp:positionH relativeFrom="margin">
                <wp:align>center</wp:align>
              </wp:positionH>
              <wp:positionV relativeFrom="paragraph">
                <wp:posOffset>635</wp:posOffset>
              </wp:positionV>
              <wp:extent cx="171450" cy="295275"/>
              <wp:effectExtent l="0" t="0" r="0" b="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95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FEF" w:rsidRDefault="00AF4FEF">
                          <w:pPr>
                            <w:pStyle w:val="Zpat"/>
                          </w:pPr>
                          <w:r>
                            <w:rPr>
                              <w:rStyle w:val="slostrnky"/>
                            </w:rPr>
                            <w:fldChar w:fldCharType="begin"/>
                          </w:r>
                          <w:r>
                            <w:rPr>
                              <w:rStyle w:val="slostrnky"/>
                            </w:rPr>
                            <w:instrText xml:space="preserve"> PAGE </w:instrText>
                          </w:r>
                          <w:r>
                            <w:rPr>
                              <w:rStyle w:val="slostrnky"/>
                            </w:rPr>
                            <w:fldChar w:fldCharType="separate"/>
                          </w:r>
                          <w:r w:rsidR="0081739D">
                            <w:rPr>
                              <w:rStyle w:val="slostrnky"/>
                              <w:noProof/>
                            </w:rPr>
                            <w:t>9</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0;margin-top:.05pt;width:13.5pt;height:23.2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" stroked="f">
              <v:fill opacity="0"/>
              <v:textbox inset="0,0,0,0">
                <w:txbxContent>
                  <w:p w:rsidR="00AF4FEF" w:rsidRDefault="00AF4FEF">
                    <w:pPr>
                      <w:pStyle w:val="Zpat"/>
                    </w:pPr>
                    <w:r>
                      <w:rPr>
                        <w:rStyle w:val="slostrnky"/>
                      </w:rPr>
                      <w:fldChar w:fldCharType="begin"/>
                    </w:r>
                    <w:r>
                      <w:rPr>
                        <w:rStyle w:val="slostrnky"/>
                      </w:rPr>
                      <w:instrText xml:space="preserve"> PAGE </w:instrText>
                    </w:r>
                    <w:r>
                      <w:rPr>
                        <w:rStyle w:val="slostrnky"/>
                      </w:rPr>
                      <w:fldChar w:fldCharType="separate"/>
                    </w:r>
                    <w:r w:rsidR="0081739D">
                      <w:rPr>
                        <w:rStyle w:val="slostrnky"/>
                        <w:noProof/>
                      </w:rPr>
                      <w:t>9</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A4" w:rsidRDefault="00933CA4">
      <w:pPr>
        <w:spacing w:before="0" w:after="0"/>
      </w:pPr>
      <w:r>
        <w:separator/>
      </w:r>
    </w:p>
  </w:footnote>
  <w:footnote w:type="continuationSeparator" w:id="0">
    <w:p w:rsidR="00933CA4" w:rsidRDefault="00933C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FEF" w:rsidRDefault="004940D4">
    <w:pPr>
      <w:pStyle w:val="Zhlav"/>
      <w:ind w:left="1701"/>
      <w:rPr>
        <w:rFonts w:ascii="Arial" w:hAnsi="Arial"/>
        <w:b/>
        <w:sz w:val="12"/>
      </w:rPr>
    </w:pPr>
    <w:r>
      <w:rPr>
        <w:noProof/>
        <w:lang w:eastAsia="cs-CZ"/>
      </w:rPr>
      <mc:AlternateContent>
        <mc:Choice Requires="wps">
          <w:drawing>
            <wp:anchor distT="0" distB="0" distL="114935" distR="114935" simplePos="0" relativeHeight="251657216" behindDoc="1" locked="0" layoutInCell="1" allowOverlap="1">
              <wp:simplePos x="0" y="0"/>
              <wp:positionH relativeFrom="column">
                <wp:posOffset>114300</wp:posOffset>
              </wp:positionH>
              <wp:positionV relativeFrom="paragraph">
                <wp:posOffset>106680</wp:posOffset>
              </wp:positionV>
              <wp:extent cx="4522470" cy="325120"/>
              <wp:effectExtent l="0" t="1905" r="1905"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2470" cy="325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FEF" w:rsidRDefault="00AF4FEF">
                          <w:pPr>
                            <w:rPr>
                              <w:rFonts w:ascii="Tahoma" w:hAnsi="Tahoma"/>
                              <w:b/>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8.4pt;width:356.1pt;height:25.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" stroked="f">
              <v:fill opacity="0"/>
              <v:textbox inset="0,0,0,0">
                <w:txbxContent>
                  <w:p w:rsidR="00AF4FEF" w:rsidRDefault="00AF4FEF">
                    <w:pPr>
                      <w:rPr>
                        <w:rFonts w:ascii="Tahoma" w:hAnsi="Tahoma"/>
                        <w:b/>
                        <w:color w:val="FFFFFF"/>
                      </w:rPr>
                    </w:pPr>
                  </w:p>
                </w:txbxContent>
              </v:textbox>
            </v:shape>
          </w:pict>
        </mc:Fallback>
      </mc:AlternateContent>
    </w:r>
  </w:p>
  <w:p w:rsidR="00AF4FEF" w:rsidRPr="00B97919" w:rsidRDefault="004940D4">
    <w:pPr>
      <w:pStyle w:val="Zhlav"/>
      <w:ind w:left="1701"/>
    </w:pPr>
    <w:r>
      <w:rPr>
        <w:noProof/>
        <w:lang w:eastAsia="cs-CZ"/>
      </w:rPr>
      <w:drawing>
        <wp:anchor distT="0" distB="0" distL="114935" distR="114935" simplePos="0" relativeHeight="251658240" behindDoc="1" locked="0" layoutInCell="1" allowOverlap="1">
          <wp:simplePos x="0" y="0"/>
          <wp:positionH relativeFrom="page">
            <wp:posOffset>719455</wp:posOffset>
          </wp:positionH>
          <wp:positionV relativeFrom="page">
            <wp:posOffset>433070</wp:posOffset>
          </wp:positionV>
          <wp:extent cx="816610" cy="466090"/>
          <wp:effectExtent l="0" t="0" r="2540" b="0"/>
          <wp:wrapNone/>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4660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935" distR="114935" simplePos="0" relativeHeight="251659264" behindDoc="1" locked="0" layoutInCell="1" allowOverlap="1">
          <wp:simplePos x="0" y="0"/>
          <wp:positionH relativeFrom="page">
            <wp:posOffset>714375</wp:posOffset>
          </wp:positionH>
          <wp:positionV relativeFrom="page">
            <wp:posOffset>1076325</wp:posOffset>
          </wp:positionV>
          <wp:extent cx="6118860" cy="147320"/>
          <wp:effectExtent l="0" t="0" r="0" b="5080"/>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147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F4FEF" w:rsidRPr="00B97919">
      <w:t>KOMISIONÁŘSKÁ SMLOUVA</w:t>
    </w:r>
  </w:p>
  <w:p w:rsidR="00AF4FEF" w:rsidRDefault="00AF4FEF">
    <w:pPr>
      <w:pStyle w:val="Zhlav"/>
    </w:pPr>
  </w:p>
  <w:p w:rsidR="00AF4FEF" w:rsidRDefault="00AF4FEF">
    <w:pPr>
      <w:pStyle w:val="Zhlav"/>
    </w:pPr>
  </w:p>
  <w:p w:rsidR="00AF4FEF" w:rsidRDefault="00AF4FEF">
    <w:pPr>
      <w:pStyle w:val="Zhlav"/>
    </w:pPr>
  </w:p>
  <w:p w:rsidR="00AF4FEF" w:rsidRDefault="00AF4FE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4"/>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3.%2.%3."/>
      <w:lvlJc w:val="left"/>
      <w:pPr>
        <w:tabs>
          <w:tab w:val="num" w:pos="720"/>
        </w:tabs>
        <w:ind w:left="720" w:hanging="720"/>
      </w:pPr>
      <w:rPr>
        <w:rFonts w:cs="Times New Roman"/>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multilevel"/>
    <w:tmpl w:val="00000002"/>
    <w:name w:val="WW8Num5"/>
    <w:lvl w:ilvl="0">
      <w:start w:val="1"/>
      <w:numFmt w:val="decimal"/>
      <w:lvlText w:val="4.%1."/>
      <w:lvlJc w:val="left"/>
      <w:pPr>
        <w:tabs>
          <w:tab w:val="num" w:pos="360"/>
        </w:tabs>
        <w:ind w:left="360" w:hanging="360"/>
      </w:pPr>
      <w:rPr>
        <w:rFonts w:ascii="Times New Roman" w:hAnsi="Times New Roman" w:cs="Times New Roman"/>
        <w:b w:val="0"/>
        <w:i w:val="0"/>
        <w:sz w:val="24"/>
      </w:rPr>
    </w:lvl>
    <w:lvl w:ilvl="1">
      <w:start w:val="1"/>
      <w:numFmt w:val="decimal"/>
      <w:lvlText w:val="4.%2."/>
      <w:lvlJc w:val="left"/>
      <w:pPr>
        <w:tabs>
          <w:tab w:val="num" w:pos="567"/>
        </w:tabs>
        <w:ind w:left="567" w:hanging="567"/>
      </w:pPr>
      <w:rPr>
        <w:rFonts w:cs="Times New Roman"/>
        <w:strike w:val="0"/>
        <w:dstrike w:val="0"/>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000003"/>
    <w:multiLevelType w:val="multilevel"/>
    <w:tmpl w:val="00000003"/>
    <w:name w:val="WW8Num6"/>
    <w:lvl w:ilvl="0">
      <w:start w:val="4"/>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3.%2.%3."/>
      <w:lvlJc w:val="left"/>
      <w:pPr>
        <w:tabs>
          <w:tab w:val="num" w:pos="1429"/>
        </w:tabs>
        <w:ind w:left="1429" w:hanging="720"/>
      </w:pPr>
      <w:rPr>
        <w:rFonts w:cs="Times New Roman"/>
        <w:i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4"/>
    <w:multiLevelType w:val="multilevel"/>
    <w:tmpl w:val="00000004"/>
    <w:name w:val="WW8Num7"/>
    <w:lvl w:ilvl="0">
      <w:start w:val="1"/>
      <w:numFmt w:val="decimal"/>
      <w:lvlText w:val="2.%1."/>
      <w:lvlJc w:val="left"/>
      <w:pPr>
        <w:tabs>
          <w:tab w:val="num" w:pos="360"/>
        </w:tabs>
        <w:ind w:left="360" w:hanging="360"/>
      </w:pPr>
      <w:rPr>
        <w:rFonts w:ascii="Times New Roman" w:hAnsi="Times New Roman" w:cs="Times New Roman"/>
        <w:b w:val="0"/>
        <w:i w:val="0"/>
        <w:sz w:val="24"/>
      </w:rPr>
    </w:lvl>
    <w:lvl w:ilvl="1">
      <w:start w:val="1"/>
      <w:numFmt w:val="decimal"/>
      <w:lvlText w:val="2.%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00000005"/>
    <w:multiLevelType w:val="multilevel"/>
    <w:tmpl w:val="00000005"/>
    <w:name w:val="WW8Num8"/>
    <w:lvl w:ilvl="0">
      <w:start w:val="1"/>
      <w:numFmt w:val="decimal"/>
      <w:lvlText w:val="6.%1."/>
      <w:lvlJc w:val="left"/>
      <w:pPr>
        <w:tabs>
          <w:tab w:val="num" w:pos="360"/>
        </w:tabs>
        <w:ind w:left="360" w:hanging="360"/>
      </w:pPr>
      <w:rPr>
        <w:rFonts w:ascii="Times New Roman" w:hAnsi="Times New Roman" w:cs="Times New Roman"/>
        <w:b w:val="0"/>
        <w:i w:val="0"/>
        <w:sz w:val="24"/>
      </w:rPr>
    </w:lvl>
    <w:lvl w:ilvl="1">
      <w:start w:val="1"/>
      <w:numFmt w:val="decimal"/>
      <w:lvlText w:val="6.%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0000006"/>
    <w:multiLevelType w:val="multilevel"/>
    <w:tmpl w:val="30D83672"/>
    <w:name w:val="WW8Num1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8159"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0000007"/>
    <w:multiLevelType w:val="multilevel"/>
    <w:tmpl w:val="00000007"/>
    <w:name w:val="WW8Num10"/>
    <w:lvl w:ilvl="0">
      <w:start w:val="1"/>
      <w:numFmt w:val="decimal"/>
      <w:lvlText w:val="9.%1."/>
      <w:lvlJc w:val="left"/>
      <w:pPr>
        <w:tabs>
          <w:tab w:val="num" w:pos="360"/>
        </w:tabs>
        <w:ind w:left="360" w:hanging="360"/>
      </w:pPr>
      <w:rPr>
        <w:rFonts w:ascii="Times New Roman" w:hAnsi="Times New Roman" w:cs="Times New Roman"/>
        <w:b w:val="0"/>
        <w:i w:val="0"/>
        <w:sz w:val="24"/>
      </w:rPr>
    </w:lvl>
    <w:lvl w:ilvl="1">
      <w:start w:val="1"/>
      <w:numFmt w:val="decimal"/>
      <w:lvlText w:val="9.%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00000008"/>
    <w:multiLevelType w:val="multilevel"/>
    <w:tmpl w:val="00000008"/>
    <w:name w:val="WW8Num20"/>
    <w:lvl w:ilvl="0">
      <w:start w:val="1"/>
      <w:numFmt w:val="decimal"/>
      <w:lvlText w:val="5.%1."/>
      <w:lvlJc w:val="left"/>
      <w:pPr>
        <w:tabs>
          <w:tab w:val="num" w:pos="360"/>
        </w:tabs>
        <w:ind w:left="360" w:hanging="360"/>
      </w:pPr>
      <w:rPr>
        <w:rFonts w:ascii="Times New Roman" w:hAnsi="Times New Roman" w:cs="Times New Roman"/>
        <w:b w:val="0"/>
        <w:i w:val="0"/>
        <w:sz w:val="24"/>
      </w:rPr>
    </w:lvl>
    <w:lvl w:ilvl="1">
      <w:start w:val="1"/>
      <w:numFmt w:val="decimal"/>
      <w:lvlText w:val="5.%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00000009"/>
    <w:multiLevelType w:val="multilevel"/>
    <w:tmpl w:val="23E4544C"/>
    <w:name w:val="WW8Num22"/>
    <w:lvl w:ilvl="0">
      <w:start w:val="1"/>
      <w:numFmt w:val="decimal"/>
      <w:lvlText w:val="9.%1."/>
      <w:lvlJc w:val="left"/>
      <w:pPr>
        <w:tabs>
          <w:tab w:val="num" w:pos="360"/>
        </w:tabs>
        <w:ind w:left="360" w:hanging="360"/>
      </w:pPr>
      <w:rPr>
        <w:rFonts w:ascii="Times New Roman" w:hAnsi="Times New Roman" w:cs="Times New Roman" w:hint="default"/>
        <w:b w:val="0"/>
        <w:i w:val="0"/>
        <w:sz w:val="24"/>
      </w:rPr>
    </w:lvl>
    <w:lvl w:ilvl="1">
      <w:start w:val="2"/>
      <w:numFmt w:val="decimal"/>
      <w:lvlText w:val="8.%2."/>
      <w:lvlJc w:val="left"/>
      <w:pPr>
        <w:tabs>
          <w:tab w:val="num" w:pos="567"/>
        </w:tabs>
        <w:ind w:left="567" w:hanging="567"/>
      </w:pPr>
      <w:rPr>
        <w:rFonts w:cs="Times New Roman" w:hint="default"/>
      </w:rPr>
    </w:lvl>
    <w:lvl w:ilvl="2">
      <w:start w:val="1"/>
      <w:numFmt w:val="decimal"/>
      <w:lvlText w:val="3.2.%3."/>
      <w:lvlJc w:val="left"/>
      <w:pPr>
        <w:tabs>
          <w:tab w:val="num" w:pos="567"/>
        </w:tabs>
        <w:ind w:left="567" w:hanging="567"/>
      </w:pPr>
      <w:rPr>
        <w:rFonts w:cs="Times New Roman" w:hint="default"/>
      </w:rPr>
    </w:lvl>
    <w:lvl w:ilvl="3">
      <w:start w:val="1"/>
      <w:numFmt w:val="decimal"/>
      <w:lvlText w:val="%1.%2.%3.%4."/>
      <w:lvlJc w:val="left"/>
      <w:pPr>
        <w:tabs>
          <w:tab w:val="num" w:pos="737"/>
        </w:tabs>
        <w:ind w:left="737" w:hanging="737"/>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0000000A"/>
    <w:multiLevelType w:val="multilevel"/>
    <w:tmpl w:val="0000000A"/>
    <w:name w:val="WW8Num28"/>
    <w:lvl w:ilvl="0">
      <w:start w:val="1"/>
      <w:numFmt w:val="decimal"/>
      <w:lvlText w:val="7.%1."/>
      <w:lvlJc w:val="left"/>
      <w:pPr>
        <w:tabs>
          <w:tab w:val="num" w:pos="360"/>
        </w:tabs>
        <w:ind w:left="360" w:hanging="360"/>
      </w:pPr>
      <w:rPr>
        <w:rFonts w:ascii="Times New Roman" w:hAnsi="Times New Roman" w:cs="Times New Roman"/>
        <w:b w:val="0"/>
        <w:i w:val="0"/>
        <w:sz w:val="24"/>
      </w:rPr>
    </w:lvl>
    <w:lvl w:ilvl="1">
      <w:start w:val="1"/>
      <w:numFmt w:val="decimal"/>
      <w:lvlText w:val="7.%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0000000B"/>
    <w:multiLevelType w:val="multilevel"/>
    <w:tmpl w:val="0000000B"/>
    <w:name w:val="WW8Num29"/>
    <w:lvl w:ilvl="0">
      <w:start w:val="1"/>
      <w:numFmt w:val="decimal"/>
      <w:lvlText w:val="3.%1."/>
      <w:lvlJc w:val="left"/>
      <w:pPr>
        <w:tabs>
          <w:tab w:val="num" w:pos="360"/>
        </w:tabs>
        <w:ind w:left="360" w:hanging="360"/>
      </w:pPr>
      <w:rPr>
        <w:rFonts w:ascii="Times New Roman" w:hAnsi="Times New Roman" w:cs="Times New Roman"/>
        <w:b w:val="0"/>
        <w:i w:val="0"/>
        <w:sz w:val="24"/>
      </w:rPr>
    </w:lvl>
    <w:lvl w:ilvl="1">
      <w:start w:val="1"/>
      <w:numFmt w:val="decimal"/>
      <w:lvlText w:val="3.%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0000000C"/>
    <w:multiLevelType w:val="multilevel"/>
    <w:tmpl w:val="0000000C"/>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4892A80"/>
    <w:multiLevelType w:val="singleLevel"/>
    <w:tmpl w:val="14729F80"/>
    <w:lvl w:ilvl="0">
      <w:start w:val="1"/>
      <w:numFmt w:val="lowerLetter"/>
      <w:lvlText w:val="%1) "/>
      <w:legacy w:legacy="1" w:legacySpace="0" w:legacyIndent="283"/>
      <w:lvlJc w:val="left"/>
      <w:pPr>
        <w:ind w:left="567" w:hanging="283"/>
      </w:pPr>
      <w:rPr>
        <w:rFonts w:ascii="Times New Roman" w:hAnsi="Times New Roman" w:cs="Times New Roman" w:hint="default"/>
        <w:b w:val="0"/>
        <w:i w:val="0"/>
        <w:color w:val="auto"/>
        <w:sz w:val="22"/>
        <w:szCs w:val="22"/>
      </w:rPr>
    </w:lvl>
  </w:abstractNum>
  <w:abstractNum w:abstractNumId="13" w15:restartNumberingAfterBreak="0">
    <w:nsid w:val="0A2B4EF0"/>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4" w15:restartNumberingAfterBreak="0">
    <w:nsid w:val="35C200A0"/>
    <w:multiLevelType w:val="multilevel"/>
    <w:tmpl w:val="00000009"/>
    <w:lvl w:ilvl="0">
      <w:start w:val="1"/>
      <w:numFmt w:val="decimal"/>
      <w:lvlText w:val="9.%1."/>
      <w:lvlJc w:val="left"/>
      <w:pPr>
        <w:tabs>
          <w:tab w:val="num" w:pos="360"/>
        </w:tabs>
        <w:ind w:left="360" w:hanging="360"/>
      </w:pPr>
      <w:rPr>
        <w:rFonts w:ascii="Times New Roman" w:hAnsi="Times New Roman" w:cs="Times New Roman"/>
        <w:b w:val="0"/>
        <w:i w:val="0"/>
        <w:sz w:val="24"/>
      </w:rPr>
    </w:lvl>
    <w:lvl w:ilvl="1">
      <w:start w:val="1"/>
      <w:numFmt w:val="decimal"/>
      <w:lvlText w:val="8.%2."/>
      <w:lvlJc w:val="left"/>
      <w:pPr>
        <w:tabs>
          <w:tab w:val="num" w:pos="567"/>
        </w:tabs>
        <w:ind w:left="567" w:hanging="567"/>
      </w:pPr>
      <w:rPr>
        <w:rFonts w:cs="Times New Roman"/>
      </w:rPr>
    </w:lvl>
    <w:lvl w:ilvl="2">
      <w:start w:val="1"/>
      <w:numFmt w:val="decimal"/>
      <w:lvlText w:val="3.2.%3."/>
      <w:lvlJc w:val="left"/>
      <w:pPr>
        <w:tabs>
          <w:tab w:val="num" w:pos="567"/>
        </w:tabs>
        <w:ind w:left="567" w:hanging="567"/>
      </w:pPr>
      <w:rPr>
        <w:rFonts w:cs="Times New Roman"/>
      </w:rPr>
    </w:lvl>
    <w:lvl w:ilvl="3">
      <w:start w:val="1"/>
      <w:numFmt w:val="decimal"/>
      <w:lvlText w:val="%1.%2.%3.%4."/>
      <w:lvlJc w:val="left"/>
      <w:pPr>
        <w:tabs>
          <w:tab w:val="num" w:pos="737"/>
        </w:tabs>
        <w:ind w:left="737" w:hanging="737"/>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36E76A9B"/>
    <w:multiLevelType w:val="multilevel"/>
    <w:tmpl w:val="8CDC4A44"/>
    <w:lvl w:ilvl="0">
      <w:start w:val="1"/>
      <w:numFmt w:val="decimal"/>
      <w:lvlText w:val="9.%1."/>
      <w:lvlJc w:val="left"/>
      <w:pPr>
        <w:tabs>
          <w:tab w:val="num" w:pos="360"/>
        </w:tabs>
        <w:ind w:left="360" w:hanging="360"/>
      </w:pPr>
      <w:rPr>
        <w:rFonts w:ascii="Times New Roman" w:hAnsi="Times New Roman" w:cs="Times New Roman" w:hint="default"/>
        <w:b w:val="0"/>
        <w:i w:val="0"/>
        <w:sz w:val="24"/>
      </w:rPr>
    </w:lvl>
    <w:lvl w:ilvl="1">
      <w:start w:val="1"/>
      <w:numFmt w:val="decimal"/>
      <w:lvlText w:val="9.%2."/>
      <w:lvlJc w:val="left"/>
      <w:pPr>
        <w:tabs>
          <w:tab w:val="num" w:pos="567"/>
        </w:tabs>
        <w:ind w:left="567" w:hanging="567"/>
      </w:pPr>
      <w:rPr>
        <w:rFonts w:cs="Times New Roman" w:hint="default"/>
      </w:rPr>
    </w:lvl>
    <w:lvl w:ilvl="2">
      <w:start w:val="1"/>
      <w:numFmt w:val="decimal"/>
      <w:lvlText w:val="3.2.%3."/>
      <w:lvlJc w:val="left"/>
      <w:pPr>
        <w:tabs>
          <w:tab w:val="num" w:pos="567"/>
        </w:tabs>
        <w:ind w:left="567" w:hanging="567"/>
      </w:pPr>
      <w:rPr>
        <w:rFonts w:cs="Times New Roman" w:hint="default"/>
      </w:rPr>
    </w:lvl>
    <w:lvl w:ilvl="3">
      <w:start w:val="1"/>
      <w:numFmt w:val="decimal"/>
      <w:lvlText w:val="%1.%2.%3.%4."/>
      <w:lvlJc w:val="left"/>
      <w:pPr>
        <w:tabs>
          <w:tab w:val="num" w:pos="737"/>
        </w:tabs>
        <w:ind w:left="737"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E487DFE"/>
    <w:multiLevelType w:val="hybridMultilevel"/>
    <w:tmpl w:val="98CE923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59785B"/>
    <w:multiLevelType w:val="hybridMultilevel"/>
    <w:tmpl w:val="122200B2"/>
    <w:lvl w:ilvl="0" w:tplc="04050017">
      <w:start w:val="1"/>
      <w:numFmt w:val="lowerLetter"/>
      <w:lvlText w:val="%1)"/>
      <w:lvlJc w:val="left"/>
      <w:pPr>
        <w:ind w:left="1778" w:hanging="360"/>
      </w:pPr>
      <w:rPr>
        <w:rFonts w:cs="Times New Roman"/>
      </w:rPr>
    </w:lvl>
    <w:lvl w:ilvl="1" w:tplc="04050019" w:tentative="1">
      <w:start w:val="1"/>
      <w:numFmt w:val="lowerLetter"/>
      <w:lvlText w:val="%2."/>
      <w:lvlJc w:val="left"/>
      <w:pPr>
        <w:ind w:left="2498" w:hanging="360"/>
      </w:pPr>
      <w:rPr>
        <w:rFonts w:cs="Times New Roman"/>
      </w:rPr>
    </w:lvl>
    <w:lvl w:ilvl="2" w:tplc="0405001B" w:tentative="1">
      <w:start w:val="1"/>
      <w:numFmt w:val="lowerRoman"/>
      <w:lvlText w:val="%3."/>
      <w:lvlJc w:val="right"/>
      <w:pPr>
        <w:ind w:left="3218" w:hanging="180"/>
      </w:pPr>
      <w:rPr>
        <w:rFonts w:cs="Times New Roman"/>
      </w:rPr>
    </w:lvl>
    <w:lvl w:ilvl="3" w:tplc="0405000F" w:tentative="1">
      <w:start w:val="1"/>
      <w:numFmt w:val="decimal"/>
      <w:lvlText w:val="%4."/>
      <w:lvlJc w:val="left"/>
      <w:pPr>
        <w:ind w:left="3938" w:hanging="360"/>
      </w:pPr>
      <w:rPr>
        <w:rFonts w:cs="Times New Roman"/>
      </w:rPr>
    </w:lvl>
    <w:lvl w:ilvl="4" w:tplc="04050019" w:tentative="1">
      <w:start w:val="1"/>
      <w:numFmt w:val="lowerLetter"/>
      <w:lvlText w:val="%5."/>
      <w:lvlJc w:val="left"/>
      <w:pPr>
        <w:ind w:left="4658" w:hanging="360"/>
      </w:pPr>
      <w:rPr>
        <w:rFonts w:cs="Times New Roman"/>
      </w:rPr>
    </w:lvl>
    <w:lvl w:ilvl="5" w:tplc="0405001B" w:tentative="1">
      <w:start w:val="1"/>
      <w:numFmt w:val="lowerRoman"/>
      <w:lvlText w:val="%6."/>
      <w:lvlJc w:val="right"/>
      <w:pPr>
        <w:ind w:left="5378" w:hanging="180"/>
      </w:pPr>
      <w:rPr>
        <w:rFonts w:cs="Times New Roman"/>
      </w:rPr>
    </w:lvl>
    <w:lvl w:ilvl="6" w:tplc="0405000F" w:tentative="1">
      <w:start w:val="1"/>
      <w:numFmt w:val="decimal"/>
      <w:lvlText w:val="%7."/>
      <w:lvlJc w:val="left"/>
      <w:pPr>
        <w:ind w:left="6098" w:hanging="360"/>
      </w:pPr>
      <w:rPr>
        <w:rFonts w:cs="Times New Roman"/>
      </w:rPr>
    </w:lvl>
    <w:lvl w:ilvl="7" w:tplc="04050019" w:tentative="1">
      <w:start w:val="1"/>
      <w:numFmt w:val="lowerLetter"/>
      <w:lvlText w:val="%8."/>
      <w:lvlJc w:val="left"/>
      <w:pPr>
        <w:ind w:left="6818" w:hanging="360"/>
      </w:pPr>
      <w:rPr>
        <w:rFonts w:cs="Times New Roman"/>
      </w:rPr>
    </w:lvl>
    <w:lvl w:ilvl="8" w:tplc="0405001B" w:tentative="1">
      <w:start w:val="1"/>
      <w:numFmt w:val="lowerRoman"/>
      <w:lvlText w:val="%9."/>
      <w:lvlJc w:val="right"/>
      <w:pPr>
        <w:ind w:left="7538" w:hanging="180"/>
      </w:pPr>
      <w:rPr>
        <w:rFonts w:cs="Times New Roman"/>
      </w:rPr>
    </w:lvl>
  </w:abstractNum>
  <w:abstractNum w:abstractNumId="18" w15:restartNumberingAfterBreak="0">
    <w:nsid w:val="61000849"/>
    <w:multiLevelType w:val="multilevel"/>
    <w:tmpl w:val="92D2F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AC2528"/>
    <w:multiLevelType w:val="hybridMultilevel"/>
    <w:tmpl w:val="F2B0E14E"/>
    <w:lvl w:ilvl="0" w:tplc="1CEA7BD0">
      <w:start w:val="1"/>
      <w:numFmt w:val="decimal"/>
      <w:pStyle w:val="Styl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AA9778E"/>
    <w:multiLevelType w:val="multilevel"/>
    <w:tmpl w:val="5EF8E84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4"/>
  </w:num>
  <w:num w:numId="15">
    <w:abstractNumId w:val="13"/>
  </w:num>
  <w:num w:numId="16">
    <w:abstractNumId w:val="1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16"/>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D"/>
    <w:rsid w:val="00010BAE"/>
    <w:rsid w:val="0001622A"/>
    <w:rsid w:val="00032C94"/>
    <w:rsid w:val="00043059"/>
    <w:rsid w:val="00047DAF"/>
    <w:rsid w:val="0005194F"/>
    <w:rsid w:val="00051D1D"/>
    <w:rsid w:val="0005364B"/>
    <w:rsid w:val="0005639F"/>
    <w:rsid w:val="00064891"/>
    <w:rsid w:val="000665F8"/>
    <w:rsid w:val="00072579"/>
    <w:rsid w:val="000839A4"/>
    <w:rsid w:val="0008680A"/>
    <w:rsid w:val="00086D9E"/>
    <w:rsid w:val="00091967"/>
    <w:rsid w:val="000929FE"/>
    <w:rsid w:val="000B0AD6"/>
    <w:rsid w:val="000B395E"/>
    <w:rsid w:val="000B7726"/>
    <w:rsid w:val="000C3019"/>
    <w:rsid w:val="000C513D"/>
    <w:rsid w:val="000D039D"/>
    <w:rsid w:val="000E2F3D"/>
    <w:rsid w:val="000E6027"/>
    <w:rsid w:val="00112683"/>
    <w:rsid w:val="00113FAD"/>
    <w:rsid w:val="00135A75"/>
    <w:rsid w:val="00137516"/>
    <w:rsid w:val="0014592C"/>
    <w:rsid w:val="0015109D"/>
    <w:rsid w:val="00153BA6"/>
    <w:rsid w:val="001556FF"/>
    <w:rsid w:val="0016369E"/>
    <w:rsid w:val="0016401A"/>
    <w:rsid w:val="001756CC"/>
    <w:rsid w:val="001764EB"/>
    <w:rsid w:val="00181673"/>
    <w:rsid w:val="00184123"/>
    <w:rsid w:val="001875E5"/>
    <w:rsid w:val="00191DE2"/>
    <w:rsid w:val="001A324D"/>
    <w:rsid w:val="001B2C8E"/>
    <w:rsid w:val="001B768D"/>
    <w:rsid w:val="001D5876"/>
    <w:rsid w:val="001D67A6"/>
    <w:rsid w:val="001E07FC"/>
    <w:rsid w:val="001E0A3A"/>
    <w:rsid w:val="001E1F3F"/>
    <w:rsid w:val="001E4DFD"/>
    <w:rsid w:val="001E574D"/>
    <w:rsid w:val="001E79C1"/>
    <w:rsid w:val="001E7E40"/>
    <w:rsid w:val="001F5F00"/>
    <w:rsid w:val="00200919"/>
    <w:rsid w:val="00212D52"/>
    <w:rsid w:val="0021331E"/>
    <w:rsid w:val="002160B7"/>
    <w:rsid w:val="00217038"/>
    <w:rsid w:val="002202BA"/>
    <w:rsid w:val="002306CB"/>
    <w:rsid w:val="0023157D"/>
    <w:rsid w:val="00235055"/>
    <w:rsid w:val="00241B3C"/>
    <w:rsid w:val="002421B0"/>
    <w:rsid w:val="002441B6"/>
    <w:rsid w:val="0024591C"/>
    <w:rsid w:val="00246D52"/>
    <w:rsid w:val="00251E6F"/>
    <w:rsid w:val="00280D4A"/>
    <w:rsid w:val="0028290C"/>
    <w:rsid w:val="0028720F"/>
    <w:rsid w:val="00287F60"/>
    <w:rsid w:val="0029055D"/>
    <w:rsid w:val="00290DBD"/>
    <w:rsid w:val="002932EA"/>
    <w:rsid w:val="002964F6"/>
    <w:rsid w:val="002A0D4F"/>
    <w:rsid w:val="002A1BDD"/>
    <w:rsid w:val="002A280F"/>
    <w:rsid w:val="002A6F6B"/>
    <w:rsid w:val="002D067B"/>
    <w:rsid w:val="002D7369"/>
    <w:rsid w:val="002E14BE"/>
    <w:rsid w:val="002E68A4"/>
    <w:rsid w:val="002F7517"/>
    <w:rsid w:val="003074C8"/>
    <w:rsid w:val="003118A1"/>
    <w:rsid w:val="00311AA3"/>
    <w:rsid w:val="00333583"/>
    <w:rsid w:val="00341E06"/>
    <w:rsid w:val="00351FF9"/>
    <w:rsid w:val="0036422A"/>
    <w:rsid w:val="0036774F"/>
    <w:rsid w:val="00385D47"/>
    <w:rsid w:val="00387C7D"/>
    <w:rsid w:val="003A2A7C"/>
    <w:rsid w:val="003A2D60"/>
    <w:rsid w:val="003A3FAF"/>
    <w:rsid w:val="003A6300"/>
    <w:rsid w:val="003A7CF4"/>
    <w:rsid w:val="003B6139"/>
    <w:rsid w:val="003C70EA"/>
    <w:rsid w:val="003D7088"/>
    <w:rsid w:val="003E3AB6"/>
    <w:rsid w:val="003F3B02"/>
    <w:rsid w:val="00403296"/>
    <w:rsid w:val="00403F40"/>
    <w:rsid w:val="00404C48"/>
    <w:rsid w:val="0041230C"/>
    <w:rsid w:val="00421F68"/>
    <w:rsid w:val="004319C4"/>
    <w:rsid w:val="004403E9"/>
    <w:rsid w:val="00454919"/>
    <w:rsid w:val="0046131A"/>
    <w:rsid w:val="004735A3"/>
    <w:rsid w:val="0047512B"/>
    <w:rsid w:val="0048759F"/>
    <w:rsid w:val="00490965"/>
    <w:rsid w:val="00492E0E"/>
    <w:rsid w:val="004940D4"/>
    <w:rsid w:val="004B72DC"/>
    <w:rsid w:val="004D4204"/>
    <w:rsid w:val="004D4B9D"/>
    <w:rsid w:val="004E0B9B"/>
    <w:rsid w:val="004E1C41"/>
    <w:rsid w:val="004E64A2"/>
    <w:rsid w:val="004F3B04"/>
    <w:rsid w:val="004F6F27"/>
    <w:rsid w:val="0050481B"/>
    <w:rsid w:val="00504DA5"/>
    <w:rsid w:val="00506FF3"/>
    <w:rsid w:val="005151E6"/>
    <w:rsid w:val="00517891"/>
    <w:rsid w:val="005223F3"/>
    <w:rsid w:val="005363D1"/>
    <w:rsid w:val="00537D66"/>
    <w:rsid w:val="005400F1"/>
    <w:rsid w:val="00542D8A"/>
    <w:rsid w:val="005443F1"/>
    <w:rsid w:val="005558EB"/>
    <w:rsid w:val="00555A9B"/>
    <w:rsid w:val="0056136A"/>
    <w:rsid w:val="00561988"/>
    <w:rsid w:val="0056497E"/>
    <w:rsid w:val="00587E9A"/>
    <w:rsid w:val="00594463"/>
    <w:rsid w:val="005A362F"/>
    <w:rsid w:val="005B308B"/>
    <w:rsid w:val="005B51BB"/>
    <w:rsid w:val="005B5A3B"/>
    <w:rsid w:val="005B6850"/>
    <w:rsid w:val="005C1E10"/>
    <w:rsid w:val="005D28B2"/>
    <w:rsid w:val="005D3444"/>
    <w:rsid w:val="005E53B7"/>
    <w:rsid w:val="005F3A2B"/>
    <w:rsid w:val="005F58F5"/>
    <w:rsid w:val="0060482C"/>
    <w:rsid w:val="006102D8"/>
    <w:rsid w:val="00611D46"/>
    <w:rsid w:val="0061555E"/>
    <w:rsid w:val="00617CA1"/>
    <w:rsid w:val="00621260"/>
    <w:rsid w:val="0062262C"/>
    <w:rsid w:val="00631AD4"/>
    <w:rsid w:val="006327A4"/>
    <w:rsid w:val="00644E93"/>
    <w:rsid w:val="0064605F"/>
    <w:rsid w:val="00647F82"/>
    <w:rsid w:val="00653BF9"/>
    <w:rsid w:val="006561DD"/>
    <w:rsid w:val="006825FE"/>
    <w:rsid w:val="00682CB3"/>
    <w:rsid w:val="00685FA5"/>
    <w:rsid w:val="006946C6"/>
    <w:rsid w:val="006A063F"/>
    <w:rsid w:val="006C3767"/>
    <w:rsid w:val="006C3CD8"/>
    <w:rsid w:val="006D2644"/>
    <w:rsid w:val="006D4F3F"/>
    <w:rsid w:val="006E4174"/>
    <w:rsid w:val="006E5830"/>
    <w:rsid w:val="006E6AF6"/>
    <w:rsid w:val="006F357B"/>
    <w:rsid w:val="006F5AD3"/>
    <w:rsid w:val="006F6EA8"/>
    <w:rsid w:val="00711A41"/>
    <w:rsid w:val="00720886"/>
    <w:rsid w:val="007235F8"/>
    <w:rsid w:val="00733F4C"/>
    <w:rsid w:val="00737AA1"/>
    <w:rsid w:val="00737E0C"/>
    <w:rsid w:val="0074187A"/>
    <w:rsid w:val="00745B85"/>
    <w:rsid w:val="00746819"/>
    <w:rsid w:val="00746A53"/>
    <w:rsid w:val="00755EB4"/>
    <w:rsid w:val="007649D3"/>
    <w:rsid w:val="007670E6"/>
    <w:rsid w:val="007701D7"/>
    <w:rsid w:val="0077208C"/>
    <w:rsid w:val="007802B8"/>
    <w:rsid w:val="00792B36"/>
    <w:rsid w:val="00796EA1"/>
    <w:rsid w:val="007A1E62"/>
    <w:rsid w:val="007A280D"/>
    <w:rsid w:val="007A33E3"/>
    <w:rsid w:val="007B187F"/>
    <w:rsid w:val="007B7AA8"/>
    <w:rsid w:val="007D06EF"/>
    <w:rsid w:val="007D2FC8"/>
    <w:rsid w:val="007E4E20"/>
    <w:rsid w:val="007F63FC"/>
    <w:rsid w:val="00805A07"/>
    <w:rsid w:val="008060F5"/>
    <w:rsid w:val="00811F84"/>
    <w:rsid w:val="0081739D"/>
    <w:rsid w:val="0082095C"/>
    <w:rsid w:val="008267C9"/>
    <w:rsid w:val="00827E90"/>
    <w:rsid w:val="00834577"/>
    <w:rsid w:val="00845473"/>
    <w:rsid w:val="00853BEB"/>
    <w:rsid w:val="00866839"/>
    <w:rsid w:val="008711AD"/>
    <w:rsid w:val="00873BD4"/>
    <w:rsid w:val="00873EA5"/>
    <w:rsid w:val="0087709D"/>
    <w:rsid w:val="00881488"/>
    <w:rsid w:val="00887C85"/>
    <w:rsid w:val="0089197B"/>
    <w:rsid w:val="008919FD"/>
    <w:rsid w:val="00894393"/>
    <w:rsid w:val="008A08ED"/>
    <w:rsid w:val="008A20D8"/>
    <w:rsid w:val="008B52ED"/>
    <w:rsid w:val="008D506C"/>
    <w:rsid w:val="008D56CB"/>
    <w:rsid w:val="008D5AC0"/>
    <w:rsid w:val="009105CC"/>
    <w:rsid w:val="0091192A"/>
    <w:rsid w:val="00912B71"/>
    <w:rsid w:val="00915345"/>
    <w:rsid w:val="009223EB"/>
    <w:rsid w:val="00922B1E"/>
    <w:rsid w:val="009324E1"/>
    <w:rsid w:val="00933CA4"/>
    <w:rsid w:val="009419D1"/>
    <w:rsid w:val="00943D39"/>
    <w:rsid w:val="00955F41"/>
    <w:rsid w:val="009704F8"/>
    <w:rsid w:val="00971575"/>
    <w:rsid w:val="0099462C"/>
    <w:rsid w:val="00995A52"/>
    <w:rsid w:val="00996C08"/>
    <w:rsid w:val="009A0AA8"/>
    <w:rsid w:val="009A7602"/>
    <w:rsid w:val="009A763B"/>
    <w:rsid w:val="009A7EBF"/>
    <w:rsid w:val="009B332D"/>
    <w:rsid w:val="009B3CF9"/>
    <w:rsid w:val="009C1C09"/>
    <w:rsid w:val="009D18C7"/>
    <w:rsid w:val="009F328B"/>
    <w:rsid w:val="00A0260B"/>
    <w:rsid w:val="00A11429"/>
    <w:rsid w:val="00A15A0A"/>
    <w:rsid w:val="00A1797F"/>
    <w:rsid w:val="00A250A8"/>
    <w:rsid w:val="00A30A32"/>
    <w:rsid w:val="00A31ED6"/>
    <w:rsid w:val="00A32FB6"/>
    <w:rsid w:val="00A34FB4"/>
    <w:rsid w:val="00A42B15"/>
    <w:rsid w:val="00A53D8F"/>
    <w:rsid w:val="00A57ADD"/>
    <w:rsid w:val="00A669DC"/>
    <w:rsid w:val="00A744A9"/>
    <w:rsid w:val="00AB050A"/>
    <w:rsid w:val="00AB1501"/>
    <w:rsid w:val="00AB3538"/>
    <w:rsid w:val="00AB49DA"/>
    <w:rsid w:val="00AC0717"/>
    <w:rsid w:val="00AE715D"/>
    <w:rsid w:val="00AF227D"/>
    <w:rsid w:val="00AF4FEF"/>
    <w:rsid w:val="00AF60E3"/>
    <w:rsid w:val="00B12C1B"/>
    <w:rsid w:val="00B31112"/>
    <w:rsid w:val="00B32043"/>
    <w:rsid w:val="00B40BD3"/>
    <w:rsid w:val="00B41718"/>
    <w:rsid w:val="00B56DE5"/>
    <w:rsid w:val="00B63B2B"/>
    <w:rsid w:val="00B77D8E"/>
    <w:rsid w:val="00B8145B"/>
    <w:rsid w:val="00B82FCD"/>
    <w:rsid w:val="00B830F2"/>
    <w:rsid w:val="00B9728D"/>
    <w:rsid w:val="00B97919"/>
    <w:rsid w:val="00BB5AD5"/>
    <w:rsid w:val="00BB6F88"/>
    <w:rsid w:val="00BC1BDC"/>
    <w:rsid w:val="00BD7781"/>
    <w:rsid w:val="00BE0698"/>
    <w:rsid w:val="00BE3519"/>
    <w:rsid w:val="00BE65BB"/>
    <w:rsid w:val="00BF0887"/>
    <w:rsid w:val="00C0085D"/>
    <w:rsid w:val="00C02898"/>
    <w:rsid w:val="00C051AF"/>
    <w:rsid w:val="00C06FB1"/>
    <w:rsid w:val="00C32353"/>
    <w:rsid w:val="00C40C1D"/>
    <w:rsid w:val="00C466C9"/>
    <w:rsid w:val="00C50478"/>
    <w:rsid w:val="00C55120"/>
    <w:rsid w:val="00C57D3C"/>
    <w:rsid w:val="00C70BBB"/>
    <w:rsid w:val="00C740E5"/>
    <w:rsid w:val="00C80935"/>
    <w:rsid w:val="00C81522"/>
    <w:rsid w:val="00C94594"/>
    <w:rsid w:val="00C977F8"/>
    <w:rsid w:val="00CA012D"/>
    <w:rsid w:val="00CA2890"/>
    <w:rsid w:val="00CB078A"/>
    <w:rsid w:val="00CB20DD"/>
    <w:rsid w:val="00CB4C23"/>
    <w:rsid w:val="00CC0DE3"/>
    <w:rsid w:val="00CC3DEB"/>
    <w:rsid w:val="00CE1B8C"/>
    <w:rsid w:val="00CE452D"/>
    <w:rsid w:val="00CF787A"/>
    <w:rsid w:val="00D01763"/>
    <w:rsid w:val="00D07337"/>
    <w:rsid w:val="00D12B52"/>
    <w:rsid w:val="00D2398C"/>
    <w:rsid w:val="00D4101D"/>
    <w:rsid w:val="00D438B2"/>
    <w:rsid w:val="00D43E0D"/>
    <w:rsid w:val="00D536E4"/>
    <w:rsid w:val="00D6107D"/>
    <w:rsid w:val="00D642E5"/>
    <w:rsid w:val="00D64850"/>
    <w:rsid w:val="00D65F43"/>
    <w:rsid w:val="00D67E36"/>
    <w:rsid w:val="00D739A6"/>
    <w:rsid w:val="00D75185"/>
    <w:rsid w:val="00DA1033"/>
    <w:rsid w:val="00DA26C1"/>
    <w:rsid w:val="00DB2C93"/>
    <w:rsid w:val="00DB2DF2"/>
    <w:rsid w:val="00DC3331"/>
    <w:rsid w:val="00DC6AEA"/>
    <w:rsid w:val="00DC7542"/>
    <w:rsid w:val="00DC7800"/>
    <w:rsid w:val="00DC7CCF"/>
    <w:rsid w:val="00DD2D42"/>
    <w:rsid w:val="00DE0A67"/>
    <w:rsid w:val="00DE0BA1"/>
    <w:rsid w:val="00DF7179"/>
    <w:rsid w:val="00E05DA2"/>
    <w:rsid w:val="00E122AA"/>
    <w:rsid w:val="00E1371A"/>
    <w:rsid w:val="00E33404"/>
    <w:rsid w:val="00E46484"/>
    <w:rsid w:val="00E46C28"/>
    <w:rsid w:val="00E51AC6"/>
    <w:rsid w:val="00E6513F"/>
    <w:rsid w:val="00E66948"/>
    <w:rsid w:val="00E7002A"/>
    <w:rsid w:val="00E90779"/>
    <w:rsid w:val="00E90FED"/>
    <w:rsid w:val="00EA79B8"/>
    <w:rsid w:val="00EB32EF"/>
    <w:rsid w:val="00EE78EC"/>
    <w:rsid w:val="00EF752A"/>
    <w:rsid w:val="00F029A1"/>
    <w:rsid w:val="00F04A34"/>
    <w:rsid w:val="00F20C9B"/>
    <w:rsid w:val="00F22AA4"/>
    <w:rsid w:val="00F260D9"/>
    <w:rsid w:val="00F260ED"/>
    <w:rsid w:val="00F3395F"/>
    <w:rsid w:val="00F46FF5"/>
    <w:rsid w:val="00F52BA5"/>
    <w:rsid w:val="00F65751"/>
    <w:rsid w:val="00F85C9D"/>
    <w:rsid w:val="00F92226"/>
    <w:rsid w:val="00FA18A3"/>
    <w:rsid w:val="00FB2510"/>
    <w:rsid w:val="00FB2D05"/>
    <w:rsid w:val="00FB6BCB"/>
    <w:rsid w:val="00FB7F11"/>
    <w:rsid w:val="00FC0275"/>
    <w:rsid w:val="00FC7BAF"/>
    <w:rsid w:val="00FD2DFD"/>
    <w:rsid w:val="00FD4C9C"/>
    <w:rsid w:val="00FE3442"/>
    <w:rsid w:val="00FF68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E8FF3A"/>
  <w15:docId w15:val="{DEEE3D22-7149-48CE-81D3-23458B6F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2DFD"/>
    <w:pPr>
      <w:suppressAutoHyphens/>
      <w:overflowPunct w:val="0"/>
      <w:autoSpaceDE w:val="0"/>
      <w:spacing w:before="60" w:after="60"/>
      <w:jc w:val="both"/>
      <w:textAlignment w:val="baseline"/>
    </w:pPr>
    <w:rPr>
      <w:lang w:eastAsia="ar-SA"/>
    </w:rPr>
  </w:style>
  <w:style w:type="paragraph" w:styleId="Nadpis1">
    <w:name w:val="heading 1"/>
    <w:basedOn w:val="Normln"/>
    <w:next w:val="Normln"/>
    <w:link w:val="Nadpis1Char1"/>
    <w:uiPriority w:val="99"/>
    <w:qFormat/>
    <w:rsid w:val="00FD2DFD"/>
    <w:pPr>
      <w:keepNext/>
      <w:overflowPunct/>
      <w:autoSpaceDE/>
      <w:spacing w:before="0" w:after="0"/>
      <w:jc w:val="left"/>
      <w:textAlignment w:val="auto"/>
      <w:outlineLvl w:val="0"/>
    </w:pPr>
    <w:rPr>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7B187F"/>
    <w:rPr>
      <w:rFonts w:ascii="Cambria" w:hAnsi="Cambria" w:cs="Times New Roman"/>
      <w:b/>
      <w:bCs/>
      <w:kern w:val="32"/>
      <w:sz w:val="32"/>
      <w:szCs w:val="32"/>
      <w:lang w:eastAsia="ar-SA" w:bidi="ar-SA"/>
    </w:rPr>
  </w:style>
  <w:style w:type="paragraph" w:styleId="Textbubliny">
    <w:name w:val="Balloon Text"/>
    <w:basedOn w:val="Normln"/>
    <w:link w:val="TextbublinyChar"/>
    <w:uiPriority w:val="99"/>
    <w:rsid w:val="00FD2DFD"/>
    <w:rPr>
      <w:rFonts w:ascii="Tahoma" w:hAnsi="Tahoma" w:cs="Tahoma"/>
      <w:sz w:val="16"/>
      <w:szCs w:val="16"/>
    </w:rPr>
  </w:style>
  <w:style w:type="character" w:customStyle="1" w:styleId="TextbublinyChar">
    <w:name w:val="Text bubliny Char"/>
    <w:link w:val="Textbubliny"/>
    <w:uiPriority w:val="99"/>
    <w:semiHidden/>
    <w:locked/>
    <w:rsid w:val="007B187F"/>
    <w:rPr>
      <w:rFonts w:cs="Times New Roman"/>
      <w:sz w:val="2"/>
      <w:lang w:eastAsia="ar-SA" w:bidi="ar-SA"/>
    </w:rPr>
  </w:style>
  <w:style w:type="character" w:customStyle="1" w:styleId="WW8Num1z0">
    <w:name w:val="WW8Num1z0"/>
    <w:uiPriority w:val="99"/>
    <w:rsid w:val="00FD2DFD"/>
    <w:rPr>
      <w:rFonts w:ascii="Times New Roman" w:hAnsi="Times New Roman"/>
      <w:sz w:val="24"/>
    </w:rPr>
  </w:style>
  <w:style w:type="character" w:customStyle="1" w:styleId="WW8Num4z2">
    <w:name w:val="WW8Num4z2"/>
    <w:uiPriority w:val="99"/>
    <w:rsid w:val="00FD2DFD"/>
    <w:rPr>
      <w:color w:val="000000"/>
    </w:rPr>
  </w:style>
  <w:style w:type="character" w:customStyle="1" w:styleId="WW8Num5z0">
    <w:name w:val="WW8Num5z0"/>
    <w:uiPriority w:val="99"/>
    <w:rsid w:val="00FD2DFD"/>
    <w:rPr>
      <w:rFonts w:ascii="Times New Roman" w:hAnsi="Times New Roman"/>
      <w:sz w:val="24"/>
    </w:rPr>
  </w:style>
  <w:style w:type="character" w:customStyle="1" w:styleId="WW8Num5z1">
    <w:name w:val="WW8Num5z1"/>
    <w:uiPriority w:val="99"/>
    <w:rsid w:val="00FD2DFD"/>
  </w:style>
  <w:style w:type="character" w:customStyle="1" w:styleId="WW8Num6z2">
    <w:name w:val="WW8Num6z2"/>
    <w:uiPriority w:val="99"/>
    <w:rsid w:val="00FD2DFD"/>
  </w:style>
  <w:style w:type="character" w:customStyle="1" w:styleId="WW8Num7z0">
    <w:name w:val="WW8Num7z0"/>
    <w:uiPriority w:val="99"/>
    <w:rsid w:val="00FD2DFD"/>
    <w:rPr>
      <w:rFonts w:ascii="Times New Roman" w:hAnsi="Times New Roman"/>
      <w:sz w:val="24"/>
    </w:rPr>
  </w:style>
  <w:style w:type="character" w:customStyle="1" w:styleId="WW8Num8z0">
    <w:name w:val="WW8Num8z0"/>
    <w:uiPriority w:val="99"/>
    <w:rsid w:val="00FD2DFD"/>
    <w:rPr>
      <w:rFonts w:ascii="Times New Roman" w:hAnsi="Times New Roman"/>
      <w:sz w:val="24"/>
    </w:rPr>
  </w:style>
  <w:style w:type="character" w:customStyle="1" w:styleId="WW8Num10z0">
    <w:name w:val="WW8Num10z0"/>
    <w:uiPriority w:val="99"/>
    <w:rsid w:val="00FD2DFD"/>
    <w:rPr>
      <w:rFonts w:ascii="Times New Roman" w:hAnsi="Times New Roman"/>
      <w:sz w:val="24"/>
    </w:rPr>
  </w:style>
  <w:style w:type="character" w:customStyle="1" w:styleId="WW8Num11z0">
    <w:name w:val="WW8Num11z0"/>
    <w:uiPriority w:val="99"/>
    <w:rsid w:val="00FD2DFD"/>
    <w:rPr>
      <w:rFonts w:ascii="Times New Roman" w:hAnsi="Times New Roman"/>
      <w:sz w:val="24"/>
    </w:rPr>
  </w:style>
  <w:style w:type="character" w:customStyle="1" w:styleId="WW8Num12z0">
    <w:name w:val="WW8Num12z0"/>
    <w:uiPriority w:val="99"/>
    <w:rsid w:val="00FD2DFD"/>
    <w:rPr>
      <w:rFonts w:ascii="Times New Roman" w:hAnsi="Times New Roman"/>
      <w:sz w:val="24"/>
    </w:rPr>
  </w:style>
  <w:style w:type="character" w:customStyle="1" w:styleId="WW8Num13z0">
    <w:name w:val="WW8Num13z0"/>
    <w:uiPriority w:val="99"/>
    <w:rsid w:val="00FD2DFD"/>
    <w:rPr>
      <w:rFonts w:ascii="Times New Roman" w:hAnsi="Times New Roman"/>
      <w:sz w:val="24"/>
    </w:rPr>
  </w:style>
  <w:style w:type="character" w:customStyle="1" w:styleId="WW8Num14z0">
    <w:name w:val="WW8Num14z0"/>
    <w:uiPriority w:val="99"/>
    <w:rsid w:val="00FD2DFD"/>
    <w:rPr>
      <w:rFonts w:ascii="Times New Roman" w:hAnsi="Times New Roman"/>
      <w:color w:val="auto"/>
      <w:sz w:val="24"/>
    </w:rPr>
  </w:style>
  <w:style w:type="character" w:customStyle="1" w:styleId="WW8Num14z1">
    <w:name w:val="WW8Num14z1"/>
    <w:uiPriority w:val="99"/>
    <w:rsid w:val="00FD2DFD"/>
    <w:rPr>
      <w:color w:val="auto"/>
    </w:rPr>
  </w:style>
  <w:style w:type="character" w:customStyle="1" w:styleId="WW8Num15z0">
    <w:name w:val="WW8Num15z0"/>
    <w:uiPriority w:val="99"/>
    <w:rsid w:val="00FD2DFD"/>
    <w:rPr>
      <w:rFonts w:ascii="Times New Roman" w:hAnsi="Times New Roman"/>
      <w:sz w:val="24"/>
    </w:rPr>
  </w:style>
  <w:style w:type="character" w:customStyle="1" w:styleId="WW8Num16z0">
    <w:name w:val="WW8Num16z0"/>
    <w:uiPriority w:val="99"/>
    <w:rsid w:val="00FD2DFD"/>
    <w:rPr>
      <w:rFonts w:ascii="Times New Roman" w:hAnsi="Times New Roman"/>
      <w:sz w:val="24"/>
    </w:rPr>
  </w:style>
  <w:style w:type="character" w:customStyle="1" w:styleId="WW8Num17z0">
    <w:name w:val="WW8Num17z0"/>
    <w:uiPriority w:val="99"/>
    <w:rsid w:val="00FD2DFD"/>
    <w:rPr>
      <w:rFonts w:ascii="Times New Roman" w:hAnsi="Times New Roman"/>
      <w:sz w:val="24"/>
    </w:rPr>
  </w:style>
  <w:style w:type="character" w:customStyle="1" w:styleId="WW8Num18z0">
    <w:name w:val="WW8Num18z0"/>
    <w:uiPriority w:val="99"/>
    <w:rsid w:val="00FD2DFD"/>
    <w:rPr>
      <w:rFonts w:ascii="Times New Roman" w:hAnsi="Times New Roman"/>
      <w:sz w:val="24"/>
    </w:rPr>
  </w:style>
  <w:style w:type="character" w:customStyle="1" w:styleId="WW8Num19z0">
    <w:name w:val="WW8Num19z0"/>
    <w:uiPriority w:val="99"/>
    <w:rsid w:val="00FD2DFD"/>
    <w:rPr>
      <w:rFonts w:ascii="Times New Roman" w:hAnsi="Times New Roman"/>
      <w:sz w:val="24"/>
    </w:rPr>
  </w:style>
  <w:style w:type="character" w:customStyle="1" w:styleId="WW8Num20z0">
    <w:name w:val="WW8Num20z0"/>
    <w:uiPriority w:val="99"/>
    <w:rsid w:val="00FD2DFD"/>
    <w:rPr>
      <w:rFonts w:ascii="Times New Roman" w:hAnsi="Times New Roman"/>
      <w:sz w:val="24"/>
    </w:rPr>
  </w:style>
  <w:style w:type="character" w:customStyle="1" w:styleId="WW8Num22z0">
    <w:name w:val="WW8Num22z0"/>
    <w:uiPriority w:val="99"/>
    <w:rsid w:val="00FD2DFD"/>
    <w:rPr>
      <w:rFonts w:ascii="Times New Roman" w:hAnsi="Times New Roman"/>
      <w:sz w:val="24"/>
    </w:rPr>
  </w:style>
  <w:style w:type="character" w:customStyle="1" w:styleId="WW8Num26z0">
    <w:name w:val="WW8Num26z0"/>
    <w:uiPriority w:val="99"/>
    <w:rsid w:val="00FD2DFD"/>
    <w:rPr>
      <w:rFonts w:ascii="Times New Roman" w:hAnsi="Times New Roman"/>
      <w:sz w:val="24"/>
    </w:rPr>
  </w:style>
  <w:style w:type="character" w:customStyle="1" w:styleId="WW8Num28z0">
    <w:name w:val="WW8Num28z0"/>
    <w:uiPriority w:val="99"/>
    <w:rsid w:val="00FD2DFD"/>
    <w:rPr>
      <w:rFonts w:ascii="Times New Roman" w:hAnsi="Times New Roman"/>
      <w:sz w:val="24"/>
    </w:rPr>
  </w:style>
  <w:style w:type="character" w:customStyle="1" w:styleId="WW8Num29z0">
    <w:name w:val="WW8Num29z0"/>
    <w:uiPriority w:val="99"/>
    <w:rsid w:val="00FD2DFD"/>
    <w:rPr>
      <w:rFonts w:ascii="Times New Roman" w:hAnsi="Times New Roman"/>
      <w:sz w:val="24"/>
    </w:rPr>
  </w:style>
  <w:style w:type="character" w:customStyle="1" w:styleId="Standardnpsmoodstavce1">
    <w:name w:val="Standardní písmo odstavce1"/>
    <w:uiPriority w:val="99"/>
    <w:rsid w:val="00FD2DFD"/>
  </w:style>
  <w:style w:type="character" w:customStyle="1" w:styleId="ZhlavChar">
    <w:name w:val="Záhlaví Char"/>
    <w:uiPriority w:val="99"/>
    <w:rsid w:val="00FD2DFD"/>
    <w:rPr>
      <w:rFonts w:cs="Times New Roman"/>
      <w:sz w:val="24"/>
      <w:szCs w:val="24"/>
      <w:lang w:val="cs-CZ" w:eastAsia="ar-SA" w:bidi="ar-SA"/>
    </w:rPr>
  </w:style>
  <w:style w:type="character" w:customStyle="1" w:styleId="Nadpis1Char">
    <w:name w:val="Nadpis 1 Char"/>
    <w:uiPriority w:val="99"/>
    <w:rsid w:val="00FD2DFD"/>
    <w:rPr>
      <w:rFonts w:cs="Times New Roman"/>
      <w:color w:val="000000"/>
      <w:sz w:val="24"/>
      <w:szCs w:val="24"/>
      <w:lang w:val="cs-CZ" w:eastAsia="ar-SA" w:bidi="ar-SA"/>
    </w:rPr>
  </w:style>
  <w:style w:type="character" w:customStyle="1" w:styleId="ZkladntextChar">
    <w:name w:val="Základní text Char"/>
    <w:uiPriority w:val="99"/>
    <w:rsid w:val="00FD2DFD"/>
    <w:rPr>
      <w:rFonts w:ascii="Arial" w:hAnsi="Arial" w:cs="Arial"/>
      <w:sz w:val="24"/>
      <w:szCs w:val="24"/>
      <w:lang w:val="cs-CZ" w:eastAsia="ar-SA" w:bidi="ar-SA"/>
    </w:rPr>
  </w:style>
  <w:style w:type="character" w:customStyle="1" w:styleId="Zkladntextodsazen3Char">
    <w:name w:val="Základní text odsazený 3 Char"/>
    <w:uiPriority w:val="99"/>
    <w:rsid w:val="00FD2DFD"/>
    <w:rPr>
      <w:rFonts w:cs="Times New Roman"/>
      <w:sz w:val="16"/>
      <w:szCs w:val="16"/>
      <w:lang w:val="cs-CZ" w:eastAsia="ar-SA" w:bidi="ar-SA"/>
    </w:rPr>
  </w:style>
  <w:style w:type="character" w:customStyle="1" w:styleId="ZpatChar">
    <w:name w:val="Zápatí Char"/>
    <w:uiPriority w:val="99"/>
    <w:rsid w:val="00FD2DFD"/>
    <w:rPr>
      <w:rFonts w:cs="Times New Roman"/>
      <w:lang w:val="cs-CZ" w:eastAsia="ar-SA" w:bidi="ar-SA"/>
    </w:rPr>
  </w:style>
  <w:style w:type="character" w:customStyle="1" w:styleId="platne1">
    <w:name w:val="platne1"/>
    <w:uiPriority w:val="99"/>
    <w:rsid w:val="00FD2DFD"/>
    <w:rPr>
      <w:rFonts w:cs="Times New Roman"/>
    </w:rPr>
  </w:style>
  <w:style w:type="character" w:styleId="slostrnky">
    <w:name w:val="page number"/>
    <w:uiPriority w:val="99"/>
    <w:semiHidden/>
    <w:rsid w:val="00FD2DFD"/>
    <w:rPr>
      <w:rFonts w:cs="Times New Roman"/>
    </w:rPr>
  </w:style>
  <w:style w:type="character" w:customStyle="1" w:styleId="Odkaznakoment1">
    <w:name w:val="Odkaz na komentář1"/>
    <w:uiPriority w:val="99"/>
    <w:rsid w:val="00FD2DFD"/>
    <w:rPr>
      <w:rFonts w:cs="Times New Roman"/>
      <w:sz w:val="16"/>
      <w:szCs w:val="16"/>
    </w:rPr>
  </w:style>
  <w:style w:type="character" w:customStyle="1" w:styleId="TextkomenteChar">
    <w:name w:val="Text komentáře Char"/>
    <w:uiPriority w:val="99"/>
    <w:rsid w:val="00FD2DFD"/>
    <w:rPr>
      <w:rFonts w:ascii="Calibri" w:hAnsi="Calibri" w:cs="Times New Roman"/>
    </w:rPr>
  </w:style>
  <w:style w:type="character" w:styleId="Hypertextovodkaz">
    <w:name w:val="Hyperlink"/>
    <w:uiPriority w:val="99"/>
    <w:semiHidden/>
    <w:rsid w:val="00FD2DFD"/>
    <w:rPr>
      <w:rFonts w:cs="Times New Roman"/>
      <w:color w:val="000080"/>
      <w:u w:val="single"/>
    </w:rPr>
  </w:style>
  <w:style w:type="paragraph" w:customStyle="1" w:styleId="Nadpis">
    <w:name w:val="Nadpis"/>
    <w:basedOn w:val="Normln"/>
    <w:next w:val="Zkladntext"/>
    <w:uiPriority w:val="99"/>
    <w:rsid w:val="00FD2DFD"/>
    <w:pPr>
      <w:keepNext/>
      <w:spacing w:before="240" w:after="120"/>
    </w:pPr>
    <w:rPr>
      <w:rFonts w:ascii="ErieLight" w:eastAsia="MS Mincho" w:hAnsi="ErieLight" w:cs="Tahoma"/>
      <w:sz w:val="28"/>
      <w:szCs w:val="28"/>
    </w:rPr>
  </w:style>
  <w:style w:type="paragraph" w:styleId="Zkladntext">
    <w:name w:val="Body Text"/>
    <w:basedOn w:val="Normln"/>
    <w:link w:val="ZkladntextChar1"/>
    <w:uiPriority w:val="99"/>
    <w:semiHidden/>
    <w:rsid w:val="00FD2DFD"/>
    <w:pPr>
      <w:overflowPunct/>
      <w:spacing w:before="0" w:after="0"/>
      <w:jc w:val="left"/>
      <w:textAlignment w:val="auto"/>
    </w:pPr>
    <w:rPr>
      <w:rFonts w:ascii="Arial" w:hAnsi="Arial" w:cs="Arial"/>
      <w:sz w:val="24"/>
      <w:szCs w:val="24"/>
    </w:rPr>
  </w:style>
  <w:style w:type="character" w:customStyle="1" w:styleId="ZkladntextChar1">
    <w:name w:val="Základní text Char1"/>
    <w:link w:val="Zkladntext"/>
    <w:uiPriority w:val="99"/>
    <w:semiHidden/>
    <w:locked/>
    <w:rsid w:val="007B187F"/>
    <w:rPr>
      <w:rFonts w:cs="Times New Roman"/>
      <w:sz w:val="20"/>
      <w:szCs w:val="20"/>
      <w:lang w:eastAsia="ar-SA" w:bidi="ar-SA"/>
    </w:rPr>
  </w:style>
  <w:style w:type="paragraph" w:styleId="Seznam">
    <w:name w:val="List"/>
    <w:basedOn w:val="Zkladntext"/>
    <w:uiPriority w:val="99"/>
    <w:semiHidden/>
    <w:rsid w:val="00FD2DFD"/>
    <w:rPr>
      <w:rFonts w:ascii="ErieLight" w:hAnsi="ErieLight" w:cs="Tahoma"/>
    </w:rPr>
  </w:style>
  <w:style w:type="paragraph" w:customStyle="1" w:styleId="Popisek">
    <w:name w:val="Popisek"/>
    <w:basedOn w:val="Normln"/>
    <w:uiPriority w:val="99"/>
    <w:rsid w:val="00FD2DFD"/>
    <w:pPr>
      <w:suppressLineNumbers/>
      <w:spacing w:before="120" w:after="120"/>
    </w:pPr>
    <w:rPr>
      <w:rFonts w:ascii="ErieLight" w:hAnsi="ErieLight" w:cs="Tahoma"/>
      <w:i/>
      <w:iCs/>
      <w:sz w:val="24"/>
      <w:szCs w:val="24"/>
    </w:rPr>
  </w:style>
  <w:style w:type="paragraph" w:customStyle="1" w:styleId="Rejstk">
    <w:name w:val="Rejstřík"/>
    <w:basedOn w:val="Normln"/>
    <w:uiPriority w:val="99"/>
    <w:rsid w:val="00FD2DFD"/>
    <w:pPr>
      <w:suppressLineNumbers/>
    </w:pPr>
    <w:rPr>
      <w:rFonts w:ascii="ErieLight" w:hAnsi="ErieLight" w:cs="Tahoma"/>
    </w:rPr>
  </w:style>
  <w:style w:type="paragraph" w:styleId="Zhlav">
    <w:name w:val="header"/>
    <w:basedOn w:val="Normln"/>
    <w:link w:val="ZhlavChar1"/>
    <w:uiPriority w:val="99"/>
    <w:semiHidden/>
    <w:rsid w:val="00FD2DFD"/>
    <w:pPr>
      <w:tabs>
        <w:tab w:val="center" w:pos="4536"/>
        <w:tab w:val="right" w:pos="9072"/>
      </w:tabs>
    </w:pPr>
  </w:style>
  <w:style w:type="character" w:customStyle="1" w:styleId="ZhlavChar1">
    <w:name w:val="Záhlaví Char1"/>
    <w:link w:val="Zhlav"/>
    <w:uiPriority w:val="99"/>
    <w:semiHidden/>
    <w:locked/>
    <w:rsid w:val="007B187F"/>
    <w:rPr>
      <w:rFonts w:cs="Times New Roman"/>
      <w:sz w:val="20"/>
      <w:szCs w:val="20"/>
      <w:lang w:eastAsia="ar-SA" w:bidi="ar-SA"/>
    </w:rPr>
  </w:style>
  <w:style w:type="paragraph" w:styleId="Zpat">
    <w:name w:val="footer"/>
    <w:basedOn w:val="Normln"/>
    <w:link w:val="ZpatChar1"/>
    <w:uiPriority w:val="99"/>
    <w:rsid w:val="00FD2DFD"/>
    <w:pPr>
      <w:tabs>
        <w:tab w:val="center" w:pos="4536"/>
        <w:tab w:val="right" w:pos="9072"/>
      </w:tabs>
    </w:pPr>
  </w:style>
  <w:style w:type="character" w:customStyle="1" w:styleId="ZpatChar1">
    <w:name w:val="Zápatí Char1"/>
    <w:link w:val="Zpat"/>
    <w:uiPriority w:val="99"/>
    <w:semiHidden/>
    <w:locked/>
    <w:rsid w:val="007B187F"/>
    <w:rPr>
      <w:rFonts w:cs="Times New Roman"/>
      <w:sz w:val="20"/>
      <w:szCs w:val="20"/>
      <w:lang w:eastAsia="ar-SA" w:bidi="ar-SA"/>
    </w:rPr>
  </w:style>
  <w:style w:type="paragraph" w:customStyle="1" w:styleId="SMLOUVACISLO">
    <w:name w:val="SMLOUVA CISLO"/>
    <w:basedOn w:val="Normln"/>
    <w:uiPriority w:val="99"/>
    <w:rsid w:val="00FD2DFD"/>
    <w:pPr>
      <w:spacing w:after="0"/>
      <w:ind w:left="1134" w:hanging="1134"/>
      <w:jc w:val="left"/>
    </w:pPr>
    <w:rPr>
      <w:rFonts w:ascii="Arial" w:hAnsi="Arial"/>
      <w:b/>
      <w:spacing w:val="10"/>
      <w:sz w:val="24"/>
    </w:rPr>
  </w:style>
  <w:style w:type="paragraph" w:customStyle="1" w:styleId="NADPISCENNETUC">
    <w:name w:val="NADPIS CENNETUC"/>
    <w:basedOn w:val="Normln"/>
    <w:uiPriority w:val="99"/>
    <w:rsid w:val="00FD2DFD"/>
    <w:pPr>
      <w:keepNext/>
      <w:keepLines/>
      <w:spacing w:before="120"/>
      <w:jc w:val="center"/>
    </w:pPr>
  </w:style>
  <w:style w:type="paragraph" w:styleId="Odstavecseseznamem">
    <w:name w:val="List Paragraph"/>
    <w:basedOn w:val="Normln"/>
    <w:uiPriority w:val="34"/>
    <w:qFormat/>
    <w:rsid w:val="00FD2DFD"/>
    <w:pPr>
      <w:ind w:left="708"/>
    </w:pPr>
  </w:style>
  <w:style w:type="paragraph" w:customStyle="1" w:styleId="Zkladntextodsazen31">
    <w:name w:val="Základní text odsazený 31"/>
    <w:basedOn w:val="Normln"/>
    <w:uiPriority w:val="99"/>
    <w:rsid w:val="00FD2DFD"/>
    <w:pPr>
      <w:overflowPunct/>
      <w:autoSpaceDE/>
      <w:spacing w:before="0" w:after="120"/>
      <w:ind w:left="283"/>
      <w:jc w:val="left"/>
      <w:textAlignment w:val="auto"/>
    </w:pPr>
    <w:rPr>
      <w:sz w:val="16"/>
      <w:szCs w:val="16"/>
    </w:rPr>
  </w:style>
  <w:style w:type="paragraph" w:styleId="Nzev">
    <w:name w:val="Title"/>
    <w:basedOn w:val="Normln"/>
    <w:next w:val="Podnadpis"/>
    <w:link w:val="NzevChar"/>
    <w:uiPriority w:val="99"/>
    <w:qFormat/>
    <w:rsid w:val="00FD2DFD"/>
    <w:pPr>
      <w:widowControl w:val="0"/>
      <w:tabs>
        <w:tab w:val="right" w:pos="8953"/>
      </w:tabs>
      <w:overflowPunct/>
      <w:autoSpaceDE/>
      <w:spacing w:before="0" w:after="0"/>
      <w:jc w:val="center"/>
      <w:textAlignment w:val="auto"/>
    </w:pPr>
    <w:rPr>
      <w:rFonts w:ascii="Arial" w:hAnsi="Arial" w:cs="Arial"/>
      <w:sz w:val="38"/>
      <w:szCs w:val="38"/>
      <w:lang w:val="en-GB"/>
    </w:rPr>
  </w:style>
  <w:style w:type="character" w:customStyle="1" w:styleId="NzevChar">
    <w:name w:val="Název Char"/>
    <w:link w:val="Nzev"/>
    <w:uiPriority w:val="99"/>
    <w:locked/>
    <w:rsid w:val="007B187F"/>
    <w:rPr>
      <w:rFonts w:ascii="Cambria" w:hAnsi="Cambria" w:cs="Times New Roman"/>
      <w:b/>
      <w:bCs/>
      <w:kern w:val="28"/>
      <w:sz w:val="32"/>
      <w:szCs w:val="32"/>
      <w:lang w:eastAsia="ar-SA" w:bidi="ar-SA"/>
    </w:rPr>
  </w:style>
  <w:style w:type="paragraph" w:styleId="Podnadpis">
    <w:name w:val="Subtitle"/>
    <w:basedOn w:val="Nadpis"/>
    <w:next w:val="Zkladntext"/>
    <w:link w:val="PodnadpisChar"/>
    <w:uiPriority w:val="99"/>
    <w:qFormat/>
    <w:rsid w:val="00FD2DFD"/>
    <w:pPr>
      <w:jc w:val="center"/>
    </w:pPr>
    <w:rPr>
      <w:i/>
      <w:iCs/>
    </w:rPr>
  </w:style>
  <w:style w:type="character" w:customStyle="1" w:styleId="PodnadpisChar">
    <w:name w:val="Podnadpis Char"/>
    <w:link w:val="Podnadpis"/>
    <w:uiPriority w:val="99"/>
    <w:locked/>
    <w:rsid w:val="007B187F"/>
    <w:rPr>
      <w:rFonts w:ascii="Cambria" w:hAnsi="Cambria" w:cs="Times New Roman"/>
      <w:sz w:val="24"/>
      <w:szCs w:val="24"/>
      <w:lang w:eastAsia="ar-SA" w:bidi="ar-SA"/>
    </w:rPr>
  </w:style>
  <w:style w:type="paragraph" w:customStyle="1" w:styleId="Textkomente1">
    <w:name w:val="Text komentáře1"/>
    <w:basedOn w:val="Normln"/>
    <w:uiPriority w:val="99"/>
    <w:rsid w:val="00FD2DFD"/>
    <w:pPr>
      <w:overflowPunct/>
      <w:autoSpaceDE/>
      <w:spacing w:before="0" w:after="200" w:line="276" w:lineRule="auto"/>
      <w:jc w:val="left"/>
      <w:textAlignment w:val="auto"/>
    </w:pPr>
    <w:rPr>
      <w:rFonts w:ascii="Calibri" w:hAnsi="Calibri"/>
    </w:rPr>
  </w:style>
  <w:style w:type="paragraph" w:styleId="Textkomente">
    <w:name w:val="annotation text"/>
    <w:basedOn w:val="Normln"/>
    <w:link w:val="TextkomenteChar1"/>
    <w:uiPriority w:val="99"/>
    <w:semiHidden/>
    <w:rsid w:val="007D06EF"/>
  </w:style>
  <w:style w:type="character" w:customStyle="1" w:styleId="TextkomenteChar1">
    <w:name w:val="Text komentáře Char1"/>
    <w:link w:val="Textkomente"/>
    <w:uiPriority w:val="99"/>
    <w:semiHidden/>
    <w:locked/>
    <w:rsid w:val="007B187F"/>
    <w:rPr>
      <w:rFonts w:cs="Times New Roman"/>
      <w:sz w:val="20"/>
      <w:szCs w:val="20"/>
      <w:lang w:eastAsia="ar-SA" w:bidi="ar-SA"/>
    </w:rPr>
  </w:style>
  <w:style w:type="paragraph" w:styleId="Pedmtkomente">
    <w:name w:val="annotation subject"/>
    <w:basedOn w:val="Textkomente1"/>
    <w:next w:val="Textkomente1"/>
    <w:link w:val="PedmtkomenteChar"/>
    <w:uiPriority w:val="99"/>
    <w:rsid w:val="00FD2DFD"/>
    <w:pPr>
      <w:overflowPunct w:val="0"/>
      <w:autoSpaceDE w:val="0"/>
      <w:spacing w:before="60" w:after="60" w:line="240" w:lineRule="auto"/>
      <w:jc w:val="both"/>
      <w:textAlignment w:val="baseline"/>
    </w:pPr>
    <w:rPr>
      <w:rFonts w:ascii="Times New Roman" w:hAnsi="Times New Roman"/>
      <w:b/>
      <w:bCs/>
    </w:rPr>
  </w:style>
  <w:style w:type="character" w:customStyle="1" w:styleId="PedmtkomenteChar">
    <w:name w:val="Předmět komentáře Char"/>
    <w:link w:val="Pedmtkomente"/>
    <w:uiPriority w:val="99"/>
    <w:semiHidden/>
    <w:locked/>
    <w:rsid w:val="007B187F"/>
    <w:rPr>
      <w:rFonts w:cs="Times New Roman"/>
      <w:b/>
      <w:bCs/>
      <w:sz w:val="20"/>
      <w:szCs w:val="20"/>
      <w:lang w:eastAsia="ar-SA" w:bidi="ar-SA"/>
    </w:rPr>
  </w:style>
  <w:style w:type="paragraph" w:customStyle="1" w:styleId="Obsahrmce">
    <w:name w:val="Obsah rámce"/>
    <w:basedOn w:val="Zkladntext"/>
    <w:uiPriority w:val="99"/>
    <w:rsid w:val="00FD2DFD"/>
  </w:style>
  <w:style w:type="paragraph" w:customStyle="1" w:styleId="Obsahtabulky">
    <w:name w:val="Obsah tabulky"/>
    <w:basedOn w:val="Normln"/>
    <w:uiPriority w:val="99"/>
    <w:rsid w:val="00FD2DFD"/>
    <w:pPr>
      <w:suppressLineNumbers/>
    </w:pPr>
  </w:style>
  <w:style w:type="paragraph" w:customStyle="1" w:styleId="Nadpistabulky">
    <w:name w:val="Nadpis tabulky"/>
    <w:basedOn w:val="Obsahtabulky"/>
    <w:uiPriority w:val="99"/>
    <w:rsid w:val="00FD2DFD"/>
    <w:pPr>
      <w:jc w:val="center"/>
    </w:pPr>
    <w:rPr>
      <w:b/>
      <w:bCs/>
    </w:rPr>
  </w:style>
  <w:style w:type="character" w:styleId="Odkaznakoment">
    <w:name w:val="annotation reference"/>
    <w:uiPriority w:val="99"/>
    <w:semiHidden/>
    <w:rsid w:val="007D06EF"/>
    <w:rPr>
      <w:rFonts w:cs="Times New Roman"/>
      <w:sz w:val="16"/>
      <w:szCs w:val="16"/>
    </w:rPr>
  </w:style>
  <w:style w:type="paragraph" w:styleId="Revize">
    <w:name w:val="Revision"/>
    <w:hidden/>
    <w:uiPriority w:val="99"/>
    <w:semiHidden/>
    <w:rsid w:val="00490965"/>
    <w:rPr>
      <w:lang w:eastAsia="ar-SA"/>
    </w:rPr>
  </w:style>
  <w:style w:type="paragraph" w:customStyle="1" w:styleId="cpodstavecslovan1">
    <w:name w:val="cp_odstavec číslovaný 1"/>
    <w:basedOn w:val="Normln"/>
    <w:uiPriority w:val="99"/>
    <w:rsid w:val="00D43E0D"/>
    <w:pPr>
      <w:numPr>
        <w:ilvl w:val="1"/>
        <w:numId w:val="17"/>
      </w:numPr>
      <w:suppressAutoHyphens w:val="0"/>
      <w:overflowPunct/>
      <w:autoSpaceDE/>
      <w:spacing w:before="0" w:after="120" w:line="260" w:lineRule="exact"/>
      <w:textAlignment w:val="auto"/>
    </w:pPr>
    <w:rPr>
      <w:sz w:val="22"/>
      <w:szCs w:val="22"/>
      <w:lang w:eastAsia="cs-CZ"/>
    </w:rPr>
  </w:style>
  <w:style w:type="paragraph" w:customStyle="1" w:styleId="cplnekslovan">
    <w:name w:val="cp_Článek číslovaný"/>
    <w:basedOn w:val="Normln"/>
    <w:next w:val="cpodstavecslovan1"/>
    <w:uiPriority w:val="99"/>
    <w:rsid w:val="00D43E0D"/>
    <w:pPr>
      <w:keepNext/>
      <w:numPr>
        <w:numId w:val="17"/>
      </w:numPr>
      <w:suppressAutoHyphens w:val="0"/>
      <w:overflowPunct/>
      <w:autoSpaceDE/>
      <w:spacing w:before="480" w:after="120" w:line="260" w:lineRule="exact"/>
      <w:jc w:val="center"/>
      <w:textAlignment w:val="auto"/>
      <w:outlineLvl w:val="0"/>
    </w:pPr>
    <w:rPr>
      <w:b/>
      <w:bCs/>
      <w:kern w:val="32"/>
      <w:sz w:val="22"/>
      <w:szCs w:val="22"/>
      <w:lang w:eastAsia="cs-CZ"/>
    </w:rPr>
  </w:style>
  <w:style w:type="paragraph" w:customStyle="1" w:styleId="cpodstavecslovan2">
    <w:name w:val="cp_odstavec číslovaný 2"/>
    <w:basedOn w:val="Normln"/>
    <w:uiPriority w:val="99"/>
    <w:rsid w:val="00D43E0D"/>
    <w:pPr>
      <w:numPr>
        <w:ilvl w:val="2"/>
        <w:numId w:val="17"/>
      </w:numPr>
      <w:suppressAutoHyphens w:val="0"/>
      <w:overflowPunct/>
      <w:autoSpaceDE/>
      <w:spacing w:before="0" w:after="120" w:line="260" w:lineRule="exact"/>
      <w:textAlignment w:val="auto"/>
    </w:pPr>
    <w:rPr>
      <w:bCs/>
      <w:sz w:val="22"/>
      <w:szCs w:val="24"/>
      <w:lang w:eastAsia="cs-CZ"/>
    </w:rPr>
  </w:style>
  <w:style w:type="paragraph" w:customStyle="1" w:styleId="Styl1">
    <w:name w:val="Styl1"/>
    <w:basedOn w:val="Normln"/>
    <w:link w:val="Styl1Char"/>
    <w:qFormat/>
    <w:rsid w:val="00E7002A"/>
    <w:pPr>
      <w:numPr>
        <w:numId w:val="20"/>
      </w:numPr>
      <w:suppressAutoHyphens w:val="0"/>
      <w:overflowPunct/>
      <w:autoSpaceDE/>
      <w:spacing w:before="0" w:after="200"/>
      <w:textAlignment w:val="auto"/>
    </w:pPr>
    <w:rPr>
      <w:rFonts w:eastAsia="Calibri"/>
      <w:sz w:val="22"/>
      <w:szCs w:val="22"/>
      <w:lang w:eastAsia="en-US"/>
    </w:rPr>
  </w:style>
  <w:style w:type="character" w:customStyle="1" w:styleId="Styl1Char">
    <w:name w:val="Styl1 Char"/>
    <w:link w:val="Styl1"/>
    <w:rsid w:val="00E7002A"/>
    <w:rPr>
      <w:rFonts w:eastAsia="Calibri"/>
      <w:sz w:val="22"/>
      <w:szCs w:val="22"/>
      <w:lang w:eastAsia="en-US"/>
    </w:rPr>
  </w:style>
  <w:style w:type="paragraph" w:customStyle="1" w:styleId="ACNormln">
    <w:name w:val="AC Normální"/>
    <w:basedOn w:val="Normln"/>
    <w:uiPriority w:val="99"/>
    <w:rsid w:val="00235055"/>
    <w:pPr>
      <w:suppressAutoHyphens w:val="0"/>
      <w:overflowPunct/>
      <w:autoSpaceDE/>
      <w:spacing w:before="120" w:after="0"/>
      <w:textAlignment w:val="auto"/>
    </w:pPr>
    <w:rPr>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9846">
      <w:bodyDiv w:val="1"/>
      <w:marLeft w:val="0"/>
      <w:marRight w:val="0"/>
      <w:marTop w:val="0"/>
      <w:marBottom w:val="0"/>
      <w:divBdr>
        <w:top w:val="none" w:sz="0" w:space="0" w:color="auto"/>
        <w:left w:val="none" w:sz="0" w:space="0" w:color="auto"/>
        <w:bottom w:val="none" w:sz="0" w:space="0" w:color="auto"/>
        <w:right w:val="none" w:sz="0" w:space="0" w:color="auto"/>
      </w:divBdr>
    </w:div>
    <w:div w:id="1217428839">
      <w:bodyDiv w:val="1"/>
      <w:marLeft w:val="0"/>
      <w:marRight w:val="0"/>
      <w:marTop w:val="0"/>
      <w:marBottom w:val="0"/>
      <w:divBdr>
        <w:top w:val="none" w:sz="0" w:space="0" w:color="auto"/>
        <w:left w:val="none" w:sz="0" w:space="0" w:color="auto"/>
        <w:bottom w:val="none" w:sz="0" w:space="0" w:color="auto"/>
        <w:right w:val="none" w:sz="0" w:space="0" w:color="auto"/>
      </w:divBdr>
    </w:div>
    <w:div w:id="1655137256">
      <w:bodyDiv w:val="1"/>
      <w:marLeft w:val="0"/>
      <w:marRight w:val="0"/>
      <w:marTop w:val="0"/>
      <w:marBottom w:val="0"/>
      <w:divBdr>
        <w:top w:val="none" w:sz="0" w:space="0" w:color="auto"/>
        <w:left w:val="none" w:sz="0" w:space="0" w:color="auto"/>
        <w:bottom w:val="none" w:sz="0" w:space="0" w:color="auto"/>
        <w:right w:val="none" w:sz="0" w:space="0" w:color="auto"/>
      </w:divBdr>
    </w:div>
    <w:div w:id="1992949850">
      <w:marLeft w:val="0"/>
      <w:marRight w:val="0"/>
      <w:marTop w:val="0"/>
      <w:marBottom w:val="0"/>
      <w:divBdr>
        <w:top w:val="none" w:sz="0" w:space="0" w:color="auto"/>
        <w:left w:val="none" w:sz="0" w:space="0" w:color="auto"/>
        <w:bottom w:val="none" w:sz="0" w:space="0" w:color="auto"/>
        <w:right w:val="none" w:sz="0" w:space="0" w:color="auto"/>
      </w:divBdr>
    </w:div>
    <w:div w:id="1992949851">
      <w:marLeft w:val="0"/>
      <w:marRight w:val="0"/>
      <w:marTop w:val="0"/>
      <w:marBottom w:val="0"/>
      <w:divBdr>
        <w:top w:val="none" w:sz="0" w:space="0" w:color="auto"/>
        <w:left w:val="none" w:sz="0" w:space="0" w:color="auto"/>
        <w:bottom w:val="none" w:sz="0" w:space="0" w:color="auto"/>
        <w:right w:val="none" w:sz="0" w:space="0" w:color="auto"/>
      </w:divBdr>
    </w:div>
    <w:div w:id="1992949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skapos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4015</Words>
  <Characters>23692</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Komisionářská smlouva</vt:lpstr>
    </vt:vector>
  </TitlesOfParts>
  <Company>Česká pošta s.p.</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Komisionářská smlouva</dc:title>
  <dc:creator>Chmela</dc:creator>
  <cp:lastModifiedBy>Denisa Malá</cp:lastModifiedBy>
  <cp:revision>4</cp:revision>
  <cp:lastPrinted>2016-06-20T09:05:00Z</cp:lastPrinted>
  <dcterms:created xsi:type="dcterms:W3CDTF">2020-06-23T08:26:00Z</dcterms:created>
  <dcterms:modified xsi:type="dcterms:W3CDTF">2020-06-24T08:19:00Z</dcterms:modified>
</cp:coreProperties>
</file>