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2456B1A5" w:rsidR="00E864FA" w:rsidRPr="00D42B3D" w:rsidRDefault="00E864FA" w:rsidP="00E864FA">
      <w:pPr>
        <w:rPr>
          <w:rFonts w:ascii="Arial" w:hAnsi="Arial" w:cs="Arial"/>
          <w:sz w:val="22"/>
          <w:szCs w:val="22"/>
        </w:rPr>
      </w:pPr>
    </w:p>
    <w:p w14:paraId="6841C7E9" w14:textId="77777777"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Pr>
          <w:rFonts w:ascii="Arial" w:hAnsi="Arial" w:cs="Arial"/>
          <w:sz w:val="22"/>
          <w:szCs w:val="22"/>
        </w:rPr>
        <w:t xml:space="preserve">Ing. Václav Pelouch, 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r w:rsidRPr="00D42B3D">
        <w:rPr>
          <w:rFonts w:ascii="Arial" w:hAnsi="Arial" w:cs="Arial"/>
          <w:sz w:val="22"/>
          <w:szCs w:val="22"/>
        </w:rPr>
        <w:t xml:space="preserve"> </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491ED201" w14:textId="77777777" w:rsidR="006F1AB3" w:rsidRDefault="006F1AB3" w:rsidP="00D421F7">
      <w:pPr>
        <w:rPr>
          <w:rFonts w:ascii="Arial" w:hAnsi="Arial" w:cs="Arial"/>
          <w:b/>
          <w:bCs/>
          <w:sz w:val="22"/>
          <w:szCs w:val="22"/>
        </w:rPr>
      </w:pPr>
    </w:p>
    <w:p w14:paraId="78DBC726" w14:textId="7CF11E28"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4CA1E1E0" w14:textId="77777777" w:rsidR="00281D0C" w:rsidRDefault="00281D0C" w:rsidP="00281D0C">
      <w:pPr>
        <w:rPr>
          <w:rFonts w:ascii="Arial" w:hAnsi="Arial" w:cs="Arial"/>
          <w:b/>
          <w:kern w:val="0"/>
          <w:sz w:val="22"/>
          <w:szCs w:val="22"/>
          <w:lang w:eastAsia="cs-CZ"/>
        </w:rPr>
      </w:pPr>
      <w:r>
        <w:rPr>
          <w:rFonts w:ascii="Arial" w:hAnsi="Arial" w:cs="Arial"/>
          <w:b/>
          <w:sz w:val="22"/>
          <w:szCs w:val="22"/>
        </w:rPr>
        <w:t>DC Computers s.r.o.</w:t>
      </w:r>
    </w:p>
    <w:p w14:paraId="79631C39" w14:textId="77777777" w:rsidR="00281D0C" w:rsidRDefault="00281D0C" w:rsidP="00281D0C">
      <w:pPr>
        <w:rPr>
          <w:rFonts w:ascii="Arial" w:hAnsi="Arial" w:cs="Arial"/>
          <w:sz w:val="22"/>
          <w:szCs w:val="22"/>
        </w:rPr>
      </w:pPr>
      <w:r>
        <w:rPr>
          <w:rFonts w:ascii="Arial" w:hAnsi="Arial" w:cs="Arial"/>
          <w:sz w:val="22"/>
          <w:szCs w:val="22"/>
        </w:rPr>
        <w:t>se sídlem Nádražní 42/82, 150 00 Praha 5</w:t>
      </w:r>
    </w:p>
    <w:p w14:paraId="6A3EAC58" w14:textId="77777777" w:rsidR="00281D0C" w:rsidRDefault="00281D0C" w:rsidP="00281D0C">
      <w:pPr>
        <w:rPr>
          <w:rFonts w:ascii="Arial" w:hAnsi="Arial" w:cs="Arial"/>
          <w:sz w:val="22"/>
          <w:szCs w:val="22"/>
        </w:rPr>
      </w:pPr>
      <w:r>
        <w:rPr>
          <w:rFonts w:ascii="Arial" w:hAnsi="Arial" w:cs="Arial"/>
          <w:sz w:val="22"/>
          <w:szCs w:val="22"/>
        </w:rPr>
        <w:t xml:space="preserve">IČ: 25680781 </w:t>
      </w:r>
    </w:p>
    <w:p w14:paraId="01668CB5" w14:textId="77777777" w:rsidR="00281D0C" w:rsidRDefault="00281D0C" w:rsidP="00281D0C">
      <w:pPr>
        <w:jc w:val="both"/>
        <w:rPr>
          <w:rFonts w:ascii="Arial" w:hAnsi="Arial" w:cs="Arial"/>
          <w:sz w:val="22"/>
          <w:szCs w:val="22"/>
        </w:rPr>
      </w:pPr>
      <w:r>
        <w:rPr>
          <w:rFonts w:ascii="Arial" w:hAnsi="Arial" w:cs="Arial"/>
          <w:sz w:val="22"/>
          <w:szCs w:val="22"/>
        </w:rPr>
        <w:t>DIČ: CZ25680781</w:t>
      </w:r>
    </w:p>
    <w:p w14:paraId="21DC7D58" w14:textId="77777777" w:rsidR="00281D0C" w:rsidRDefault="00281D0C" w:rsidP="00281D0C">
      <w:pPr>
        <w:jc w:val="both"/>
        <w:rPr>
          <w:rFonts w:ascii="Arial" w:hAnsi="Arial" w:cs="Arial"/>
          <w:sz w:val="22"/>
          <w:szCs w:val="22"/>
        </w:rPr>
      </w:pPr>
      <w:r>
        <w:rPr>
          <w:rFonts w:ascii="Arial" w:hAnsi="Arial" w:cs="Arial"/>
          <w:sz w:val="22"/>
          <w:szCs w:val="22"/>
        </w:rPr>
        <w:t xml:space="preserve">zastoupená: Ing. Petrem </w:t>
      </w:r>
      <w:proofErr w:type="spellStart"/>
      <w:r>
        <w:rPr>
          <w:rFonts w:ascii="Arial" w:hAnsi="Arial" w:cs="Arial"/>
          <w:sz w:val="22"/>
          <w:szCs w:val="22"/>
        </w:rPr>
        <w:t>Bořánkem</w:t>
      </w:r>
      <w:proofErr w:type="spellEnd"/>
      <w:r>
        <w:rPr>
          <w:rFonts w:ascii="Arial" w:hAnsi="Arial" w:cs="Arial"/>
          <w:sz w:val="22"/>
          <w:szCs w:val="22"/>
        </w:rPr>
        <w:t>, jednatelem</w:t>
      </w:r>
    </w:p>
    <w:p w14:paraId="7C7C5B7B" w14:textId="77777777" w:rsidR="00D50EE3" w:rsidRPr="00D42B3D" w:rsidRDefault="00D50EE3" w:rsidP="0065034B">
      <w:pPr>
        <w:rPr>
          <w:rFonts w:ascii="Arial" w:hAnsi="Arial" w:cs="Arial"/>
          <w:sz w:val="22"/>
          <w:szCs w:val="22"/>
        </w:rPr>
      </w:pPr>
      <w:r w:rsidRPr="00281D0C">
        <w:rPr>
          <w:rFonts w:ascii="Arial" w:hAnsi="Arial" w:cs="Arial"/>
          <w:sz w:val="22"/>
          <w:szCs w:val="22"/>
        </w:rPr>
        <w:t>(</w:t>
      </w:r>
      <w:r w:rsidRPr="00281D0C">
        <w:rPr>
          <w:rFonts w:ascii="Arial" w:hAnsi="Arial" w:cs="Arial"/>
          <w:bCs/>
          <w:sz w:val="22"/>
          <w:szCs w:val="22"/>
        </w:rPr>
        <w:t xml:space="preserve">dále jen </w:t>
      </w:r>
      <w:r w:rsidRPr="00281D0C">
        <w:rPr>
          <w:rFonts w:ascii="Arial" w:hAnsi="Arial" w:cs="Arial"/>
          <w:b/>
          <w:bCs/>
          <w:sz w:val="22"/>
          <w:szCs w:val="22"/>
        </w:rPr>
        <w:t>„prodávající“</w:t>
      </w:r>
      <w:r w:rsidRPr="00281D0C">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103FA6D3" w:rsidR="00180232" w:rsidRPr="006853A4" w:rsidRDefault="00180232" w:rsidP="00D421F7">
      <w:pPr>
        <w:jc w:val="center"/>
        <w:rPr>
          <w:rFonts w:ascii="Arial" w:hAnsi="Arial" w:cs="Arial"/>
          <w:b/>
          <w:sz w:val="22"/>
          <w:szCs w:val="22"/>
        </w:rPr>
      </w:pPr>
      <w:r w:rsidRPr="006853A4">
        <w:rPr>
          <w:rFonts w:ascii="Arial" w:hAnsi="Arial" w:cs="Arial"/>
          <w:b/>
          <w:sz w:val="22"/>
          <w:szCs w:val="22"/>
        </w:rPr>
        <w:t>(ET:</w:t>
      </w:r>
      <w:r w:rsidR="00792A7A" w:rsidRPr="00792A7A">
        <w:t xml:space="preserve"> </w:t>
      </w:r>
      <w:r w:rsidR="00792A7A" w:rsidRPr="00792A7A">
        <w:rPr>
          <w:rFonts w:ascii="Arial" w:hAnsi="Arial" w:cs="Arial"/>
          <w:b/>
        </w:rPr>
        <w:t>T004/</w:t>
      </w:r>
      <w:r w:rsidR="00A575D0">
        <w:rPr>
          <w:rFonts w:ascii="Arial" w:hAnsi="Arial" w:cs="Arial"/>
          <w:b/>
        </w:rPr>
        <w:t>20</w:t>
      </w:r>
      <w:r w:rsidR="00792A7A" w:rsidRPr="00792A7A">
        <w:rPr>
          <w:rFonts w:ascii="Arial" w:hAnsi="Arial" w:cs="Arial"/>
          <w:b/>
        </w:rPr>
        <w:t>V/0000</w:t>
      </w:r>
      <w:r w:rsidR="00A575D0">
        <w:rPr>
          <w:rFonts w:ascii="Arial" w:hAnsi="Arial" w:cs="Arial"/>
          <w:b/>
        </w:rPr>
        <w:t>5</w:t>
      </w:r>
      <w:r w:rsidR="008B7B9F">
        <w:rPr>
          <w:rFonts w:ascii="Arial" w:hAnsi="Arial" w:cs="Arial"/>
          <w:b/>
        </w:rPr>
        <w:t>317</w:t>
      </w:r>
      <w:r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1D93D0AA" w14:textId="77777777" w:rsidR="000A6D61" w:rsidRPr="00D42B3D" w:rsidRDefault="000A6D61"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0F3AC191" w:rsidR="00D50EE3" w:rsidRPr="00D42B3D" w:rsidRDefault="00C47CF2" w:rsidP="00C34CD3">
      <w:pPr>
        <w:jc w:val="both"/>
        <w:rPr>
          <w:rFonts w:ascii="Arial" w:hAnsi="Arial" w:cs="Arial"/>
          <w:sz w:val="22"/>
          <w:szCs w:val="22"/>
        </w:rPr>
      </w:pPr>
      <w:r w:rsidRPr="00D42B3D">
        <w:rPr>
          <w:rFonts w:ascii="Arial" w:hAnsi="Arial" w:cs="Arial"/>
          <w:sz w:val="22"/>
          <w:szCs w:val="22"/>
        </w:rPr>
        <w:t>Prodávající se zavazuj</w:t>
      </w:r>
      <w:r w:rsidR="00A6470A">
        <w:rPr>
          <w:rFonts w:ascii="Arial" w:hAnsi="Arial" w:cs="Arial"/>
          <w:sz w:val="22"/>
          <w:szCs w:val="22"/>
        </w:rPr>
        <w:t>e dodat kupujícímu zařízení</w:t>
      </w:r>
      <w:r w:rsidR="00A6470A" w:rsidRPr="006F1AB3">
        <w:rPr>
          <w:rFonts w:ascii="Arial" w:hAnsi="Arial" w:cs="Arial"/>
          <w:sz w:val="22"/>
          <w:szCs w:val="22"/>
        </w:rPr>
        <w:t xml:space="preserve"> výpočetní techniky 7 x notebook a jeden monitor </w:t>
      </w:r>
      <w:r w:rsidR="00A6470A">
        <w:rPr>
          <w:rFonts w:ascii="Arial" w:hAnsi="Arial" w:cs="Arial"/>
          <w:sz w:val="22"/>
          <w:szCs w:val="22"/>
        </w:rPr>
        <w:t xml:space="preserve">(vč. zprostředkování podpory a poskytnutí licencí k užití tohoto zboží) dle níže uvedené specifikace </w:t>
      </w:r>
      <w:r w:rsidR="00A6470A" w:rsidRPr="00D42B3D">
        <w:rPr>
          <w:rFonts w:ascii="Arial" w:hAnsi="Arial" w:cs="Arial"/>
          <w:sz w:val="22"/>
          <w:szCs w:val="22"/>
        </w:rPr>
        <w:t>(dále jen předmět koupě či zboží)</w:t>
      </w:r>
      <w:r w:rsidR="006853A4">
        <w:rPr>
          <w:rFonts w:ascii="Arial" w:hAnsi="Arial" w:cs="Arial"/>
          <w:sz w:val="22"/>
          <w:szCs w:val="22"/>
        </w:rPr>
        <w:t>,</w:t>
      </w:r>
      <w:r w:rsidR="00D50EE3" w:rsidRPr="00D42B3D">
        <w:rPr>
          <w:rFonts w:ascii="Arial" w:hAnsi="Arial" w:cs="Arial"/>
          <w:sz w:val="22"/>
          <w:szCs w:val="22"/>
        </w:rPr>
        <w:t xml:space="preserve"> převést na kupujícího vlastnické právo k předmětu koupě</w:t>
      </w:r>
      <w:r w:rsidR="00D57EA8">
        <w:rPr>
          <w:rFonts w:ascii="Arial" w:hAnsi="Arial" w:cs="Arial"/>
          <w:sz w:val="22"/>
          <w:szCs w:val="22"/>
        </w:rPr>
        <w:t xml:space="preserve">. </w:t>
      </w:r>
      <w:r w:rsidR="00D50EE3" w:rsidRPr="00D42B3D">
        <w:rPr>
          <w:rFonts w:ascii="Arial" w:hAnsi="Arial" w:cs="Arial"/>
          <w:sz w:val="22"/>
          <w:szCs w:val="22"/>
        </w:rPr>
        <w:t>Kupující se zavazuje uhradit prodávajícímu za předmět koupě sjednanou cenu.</w:t>
      </w:r>
    </w:p>
    <w:p w14:paraId="29DD26AE" w14:textId="77777777" w:rsidR="00D50EE3" w:rsidRDefault="00D50EE3" w:rsidP="00D421F7">
      <w:pPr>
        <w:jc w:val="both"/>
        <w:rPr>
          <w:rFonts w:ascii="Arial" w:hAnsi="Arial" w:cs="Arial"/>
          <w:sz w:val="22"/>
          <w:szCs w:val="22"/>
        </w:rPr>
      </w:pPr>
    </w:p>
    <w:p w14:paraId="2421AD31" w14:textId="4455AF41" w:rsidR="006853A4"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1132"/>
        <w:gridCol w:w="992"/>
        <w:gridCol w:w="1423"/>
      </w:tblGrid>
      <w:tr w:rsidR="006C4F2B" w14:paraId="169991B3" w14:textId="77777777" w:rsidTr="00281D0C">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992"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281D0C" w14:paraId="4E145887" w14:textId="77777777" w:rsidTr="00281D0C">
        <w:trPr>
          <w:trHeight w:val="251"/>
          <w:jc w:val="center"/>
        </w:trPr>
        <w:tc>
          <w:tcPr>
            <w:tcW w:w="4252" w:type="dxa"/>
            <w:vAlign w:val="bottom"/>
          </w:tcPr>
          <w:p w14:paraId="1C774F01" w14:textId="251BD068" w:rsidR="00281D0C" w:rsidRPr="00660EEC" w:rsidRDefault="00281D0C" w:rsidP="00281D0C">
            <w:pPr>
              <w:autoSpaceDE w:val="0"/>
              <w:autoSpaceDN w:val="0"/>
              <w:adjustRightInd w:val="0"/>
              <w:rPr>
                <w:rFonts w:ascii="Calibri" w:hAnsi="Calibri"/>
                <w:color w:val="000000"/>
                <w:sz w:val="22"/>
                <w:szCs w:val="22"/>
              </w:rPr>
            </w:pPr>
            <w:r>
              <w:rPr>
                <w:rFonts w:ascii="Calibri" w:hAnsi="Calibri"/>
                <w:color w:val="000000"/>
                <w:sz w:val="22"/>
                <w:szCs w:val="22"/>
              </w:rPr>
              <w:t xml:space="preserve">Notebook </w:t>
            </w:r>
            <w:r w:rsidRPr="00187746">
              <w:rPr>
                <w:rFonts w:ascii="Calibri" w:hAnsi="Calibri"/>
                <w:color w:val="000000"/>
                <w:sz w:val="22"/>
                <w:szCs w:val="22"/>
              </w:rPr>
              <w:t>2020-5-NB0</w:t>
            </w:r>
            <w:r>
              <w:rPr>
                <w:rFonts w:ascii="Calibri" w:hAnsi="Calibri"/>
                <w:color w:val="000000"/>
                <w:sz w:val="22"/>
                <w:szCs w:val="22"/>
              </w:rPr>
              <w:t xml:space="preserve">1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w:t>
            </w:r>
            <w:r>
              <w:rPr>
                <w:rFonts w:ascii="Calibri" w:hAnsi="Calibri"/>
                <w:color w:val="000000"/>
                <w:sz w:val="22"/>
                <w:szCs w:val="22"/>
                <w:lang w:val="en-US"/>
              </w:rPr>
              <w: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281E9E13" w14:textId="2F3BDFBA" w:rsidR="00281D0C" w:rsidRPr="006A44D0" w:rsidRDefault="00281D0C" w:rsidP="00281D0C">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2</w:t>
            </w:r>
          </w:p>
        </w:tc>
        <w:tc>
          <w:tcPr>
            <w:tcW w:w="709" w:type="dxa"/>
          </w:tcPr>
          <w:p w14:paraId="39A30808" w14:textId="5CBA27FA" w:rsidR="00281D0C" w:rsidRPr="006A44D0" w:rsidRDefault="00281D0C" w:rsidP="00281D0C">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1132" w:type="dxa"/>
          </w:tcPr>
          <w:p w14:paraId="3E77FF89" w14:textId="15F13076" w:rsidR="00281D0C" w:rsidRPr="000219B7" w:rsidRDefault="00281D0C" w:rsidP="00281D0C">
            <w:pPr>
              <w:autoSpaceDE w:val="0"/>
              <w:autoSpaceDN w:val="0"/>
              <w:adjustRightInd w:val="0"/>
              <w:jc w:val="right"/>
              <w:rPr>
                <w:rFonts w:ascii="Arial" w:hAnsi="Arial" w:cs="Arial"/>
                <w:bCs/>
                <w:color w:val="000000"/>
                <w:sz w:val="20"/>
                <w:szCs w:val="20"/>
              </w:rPr>
            </w:pPr>
            <w:r>
              <w:rPr>
                <w:rFonts w:ascii="Calibri" w:hAnsi="Calibri" w:cs="Calibri"/>
                <w:color w:val="000000"/>
                <w:sz w:val="20"/>
                <w:szCs w:val="20"/>
              </w:rPr>
              <w:t>27 370,00</w:t>
            </w:r>
          </w:p>
        </w:tc>
        <w:tc>
          <w:tcPr>
            <w:tcW w:w="992" w:type="dxa"/>
          </w:tcPr>
          <w:p w14:paraId="1C930270" w14:textId="60DCD9FC" w:rsidR="00281D0C" w:rsidRPr="00606458" w:rsidRDefault="00281D0C" w:rsidP="00281D0C">
            <w:pPr>
              <w:autoSpaceDE w:val="0"/>
              <w:autoSpaceDN w:val="0"/>
              <w:adjustRightInd w:val="0"/>
              <w:jc w:val="right"/>
              <w:rPr>
                <w:rFonts w:ascii="Arial" w:hAnsi="Arial" w:cs="Arial"/>
                <w:bCs/>
                <w:color w:val="000000"/>
                <w:sz w:val="20"/>
                <w:szCs w:val="20"/>
              </w:rPr>
            </w:pPr>
            <w:r>
              <w:rPr>
                <w:rFonts w:ascii="Calibri" w:hAnsi="Calibri" w:cs="Calibri"/>
                <w:color w:val="000000"/>
                <w:sz w:val="20"/>
                <w:szCs w:val="20"/>
              </w:rPr>
              <w:t>5 747,70</w:t>
            </w:r>
          </w:p>
        </w:tc>
        <w:tc>
          <w:tcPr>
            <w:tcW w:w="1423" w:type="dxa"/>
          </w:tcPr>
          <w:p w14:paraId="4ED14A18" w14:textId="13A37E74" w:rsidR="00281D0C" w:rsidRPr="00606458" w:rsidRDefault="00281D0C" w:rsidP="00281D0C">
            <w:pPr>
              <w:autoSpaceDE w:val="0"/>
              <w:autoSpaceDN w:val="0"/>
              <w:adjustRightInd w:val="0"/>
              <w:jc w:val="right"/>
              <w:rPr>
                <w:rFonts w:ascii="Arial" w:hAnsi="Arial" w:cs="Arial"/>
                <w:bCs/>
                <w:color w:val="000000"/>
                <w:sz w:val="20"/>
                <w:szCs w:val="20"/>
              </w:rPr>
            </w:pPr>
            <w:r>
              <w:rPr>
                <w:rFonts w:ascii="Calibri" w:hAnsi="Calibri" w:cs="Calibri"/>
                <w:color w:val="000000"/>
                <w:sz w:val="20"/>
                <w:szCs w:val="20"/>
              </w:rPr>
              <w:t>33 117,70</w:t>
            </w:r>
          </w:p>
        </w:tc>
      </w:tr>
      <w:tr w:rsidR="00281D0C" w14:paraId="2AEF56E6" w14:textId="77777777" w:rsidTr="00281D0C">
        <w:trPr>
          <w:trHeight w:val="251"/>
          <w:jc w:val="center"/>
        </w:trPr>
        <w:tc>
          <w:tcPr>
            <w:tcW w:w="4252" w:type="dxa"/>
          </w:tcPr>
          <w:p w14:paraId="1DFA3BD0" w14:textId="043E0359" w:rsidR="00281D0C" w:rsidRDefault="00281D0C" w:rsidP="00281D0C">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Pr="00187746">
              <w:rPr>
                <w:rFonts w:ascii="Calibri" w:hAnsi="Calibri"/>
                <w:color w:val="000000"/>
                <w:sz w:val="22"/>
                <w:szCs w:val="22"/>
              </w:rPr>
              <w:t>2020-5-NB0</w:t>
            </w:r>
            <w:r>
              <w:rPr>
                <w:rFonts w:ascii="Calibri" w:hAnsi="Calibri"/>
                <w:color w:val="000000"/>
                <w:sz w:val="22"/>
                <w:szCs w:val="22"/>
              </w:rPr>
              <w:t xml:space="preserve">2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23D56A5D" w14:textId="45C2380C"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709" w:type="dxa"/>
          </w:tcPr>
          <w:p w14:paraId="4D5E366B" w14:textId="46ECFC7A"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1132" w:type="dxa"/>
          </w:tcPr>
          <w:p w14:paraId="325A8F66" w14:textId="0236DCD2"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23 050,00</w:t>
            </w:r>
          </w:p>
        </w:tc>
        <w:tc>
          <w:tcPr>
            <w:tcW w:w="992" w:type="dxa"/>
          </w:tcPr>
          <w:p w14:paraId="573BFE71" w14:textId="0DC20C01"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4 840,50</w:t>
            </w:r>
          </w:p>
        </w:tc>
        <w:tc>
          <w:tcPr>
            <w:tcW w:w="1423" w:type="dxa"/>
          </w:tcPr>
          <w:p w14:paraId="339D0C58" w14:textId="6853402E"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27 890,50</w:t>
            </w:r>
          </w:p>
        </w:tc>
      </w:tr>
      <w:tr w:rsidR="00281D0C" w14:paraId="50CD6E4E" w14:textId="77777777" w:rsidTr="00281D0C">
        <w:trPr>
          <w:trHeight w:val="251"/>
          <w:jc w:val="center"/>
        </w:trPr>
        <w:tc>
          <w:tcPr>
            <w:tcW w:w="4252" w:type="dxa"/>
          </w:tcPr>
          <w:p w14:paraId="7D1C9F42" w14:textId="23376CED" w:rsidR="00281D0C" w:rsidRPr="008354C9" w:rsidRDefault="00281D0C" w:rsidP="00281D0C">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Pr="00187746">
              <w:rPr>
                <w:rFonts w:ascii="Calibri" w:hAnsi="Calibri"/>
                <w:color w:val="000000"/>
                <w:sz w:val="22"/>
                <w:szCs w:val="22"/>
              </w:rPr>
              <w:t>2020-5-NB0</w:t>
            </w:r>
            <w:r>
              <w:rPr>
                <w:rFonts w:ascii="Calibri" w:hAnsi="Calibri"/>
                <w:color w:val="000000"/>
                <w:sz w:val="22"/>
                <w:szCs w:val="22"/>
              </w:rPr>
              <w:t xml:space="preserve">3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4E16AA66" w14:textId="718301D8"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709" w:type="dxa"/>
          </w:tcPr>
          <w:p w14:paraId="5693FBF8" w14:textId="49EABB5F"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1132" w:type="dxa"/>
          </w:tcPr>
          <w:p w14:paraId="06364F09" w14:textId="5CD20FEF"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45 940,00</w:t>
            </w:r>
          </w:p>
        </w:tc>
        <w:tc>
          <w:tcPr>
            <w:tcW w:w="992" w:type="dxa"/>
          </w:tcPr>
          <w:p w14:paraId="6C82BBFF" w14:textId="01BA1AE5"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9 647,40</w:t>
            </w:r>
          </w:p>
        </w:tc>
        <w:tc>
          <w:tcPr>
            <w:tcW w:w="1423" w:type="dxa"/>
          </w:tcPr>
          <w:p w14:paraId="6E731A86" w14:textId="5BA67937"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55 587,40</w:t>
            </w:r>
          </w:p>
        </w:tc>
      </w:tr>
      <w:tr w:rsidR="00281D0C" w14:paraId="203C02AA" w14:textId="77777777" w:rsidTr="00281D0C">
        <w:trPr>
          <w:trHeight w:val="251"/>
          <w:jc w:val="center"/>
        </w:trPr>
        <w:tc>
          <w:tcPr>
            <w:tcW w:w="4252" w:type="dxa"/>
          </w:tcPr>
          <w:p w14:paraId="52843DF0" w14:textId="6268F90A" w:rsidR="00281D0C" w:rsidRDefault="00281D0C" w:rsidP="00281D0C">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Pr="00187746">
              <w:rPr>
                <w:rFonts w:ascii="Calibri" w:hAnsi="Calibri"/>
                <w:color w:val="000000"/>
                <w:sz w:val="22"/>
                <w:szCs w:val="22"/>
              </w:rPr>
              <w:t>2020-5-NB0</w:t>
            </w:r>
            <w:r>
              <w:rPr>
                <w:rFonts w:ascii="Calibri" w:hAnsi="Calibri"/>
                <w:color w:val="000000"/>
                <w:sz w:val="22"/>
                <w:szCs w:val="22"/>
              </w:rPr>
              <w:t xml:space="preserve">4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364901E5" w14:textId="3EC2ACD9"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709" w:type="dxa"/>
          </w:tcPr>
          <w:p w14:paraId="29DA82A3" w14:textId="4D6DCEFB"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1132" w:type="dxa"/>
          </w:tcPr>
          <w:p w14:paraId="3ED275E4" w14:textId="1C850B67"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35 960,00</w:t>
            </w:r>
          </w:p>
        </w:tc>
        <w:tc>
          <w:tcPr>
            <w:tcW w:w="992" w:type="dxa"/>
          </w:tcPr>
          <w:p w14:paraId="2B017B07" w14:textId="37131F6C"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7 551,60</w:t>
            </w:r>
          </w:p>
        </w:tc>
        <w:tc>
          <w:tcPr>
            <w:tcW w:w="1423" w:type="dxa"/>
          </w:tcPr>
          <w:p w14:paraId="72D99528" w14:textId="73A94421"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43 511,60</w:t>
            </w:r>
          </w:p>
        </w:tc>
      </w:tr>
      <w:tr w:rsidR="00281D0C" w14:paraId="6ABFB21C" w14:textId="77777777" w:rsidTr="00281D0C">
        <w:trPr>
          <w:trHeight w:val="251"/>
          <w:jc w:val="center"/>
        </w:trPr>
        <w:tc>
          <w:tcPr>
            <w:tcW w:w="4252" w:type="dxa"/>
          </w:tcPr>
          <w:p w14:paraId="52B6EB9F" w14:textId="3F87B164" w:rsidR="00281D0C" w:rsidRDefault="00281D0C" w:rsidP="00281D0C">
            <w:pPr>
              <w:autoSpaceDE w:val="0"/>
              <w:autoSpaceDN w:val="0"/>
              <w:adjustRightInd w:val="0"/>
              <w:rPr>
                <w:rFonts w:ascii="Calibri" w:hAnsi="Calibri"/>
                <w:color w:val="000000"/>
                <w:sz w:val="22"/>
                <w:szCs w:val="22"/>
              </w:rPr>
            </w:pPr>
            <w:r>
              <w:rPr>
                <w:rFonts w:ascii="Calibri" w:hAnsi="Calibri"/>
                <w:color w:val="000000"/>
                <w:sz w:val="22"/>
                <w:szCs w:val="22"/>
              </w:rPr>
              <w:t xml:space="preserve">Notebook </w:t>
            </w:r>
            <w:r w:rsidRPr="00187746">
              <w:rPr>
                <w:rFonts w:ascii="Calibri" w:hAnsi="Calibri"/>
                <w:color w:val="000000"/>
                <w:sz w:val="22"/>
                <w:szCs w:val="22"/>
              </w:rPr>
              <w:t>2020-5-NB0</w:t>
            </w:r>
            <w:r>
              <w:rPr>
                <w:rFonts w:ascii="Calibri" w:hAnsi="Calibri"/>
                <w:color w:val="000000"/>
                <w:sz w:val="22"/>
                <w:szCs w:val="22"/>
              </w:rPr>
              <w:t xml:space="preserve">5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4E7A028F" w14:textId="08AA5E56"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709" w:type="dxa"/>
          </w:tcPr>
          <w:p w14:paraId="39C112F3" w14:textId="191CD0B4"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1132" w:type="dxa"/>
          </w:tcPr>
          <w:p w14:paraId="3F00B670" w14:textId="3FA79448"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18 100,00</w:t>
            </w:r>
          </w:p>
        </w:tc>
        <w:tc>
          <w:tcPr>
            <w:tcW w:w="992" w:type="dxa"/>
          </w:tcPr>
          <w:p w14:paraId="1963CF71" w14:textId="1AF07662"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3 801,00</w:t>
            </w:r>
          </w:p>
        </w:tc>
        <w:tc>
          <w:tcPr>
            <w:tcW w:w="1423" w:type="dxa"/>
          </w:tcPr>
          <w:p w14:paraId="2519D2FB" w14:textId="15FA5A7B"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21 901,00</w:t>
            </w:r>
          </w:p>
        </w:tc>
      </w:tr>
      <w:tr w:rsidR="00281D0C" w14:paraId="6D12C0F2" w14:textId="77777777" w:rsidTr="00281D0C">
        <w:trPr>
          <w:trHeight w:val="251"/>
          <w:jc w:val="center"/>
        </w:trPr>
        <w:tc>
          <w:tcPr>
            <w:tcW w:w="4252" w:type="dxa"/>
          </w:tcPr>
          <w:p w14:paraId="7300AA2D" w14:textId="20593445" w:rsidR="00281D0C" w:rsidRDefault="00281D0C" w:rsidP="00281D0C">
            <w:pPr>
              <w:autoSpaceDE w:val="0"/>
              <w:autoSpaceDN w:val="0"/>
              <w:adjustRightInd w:val="0"/>
              <w:rPr>
                <w:rFonts w:ascii="Arial" w:hAnsi="Arial" w:cs="Arial"/>
                <w:b/>
                <w:color w:val="000000"/>
                <w:sz w:val="20"/>
                <w:szCs w:val="20"/>
              </w:rPr>
            </w:pPr>
            <w:r>
              <w:rPr>
                <w:rFonts w:ascii="Calibri" w:hAnsi="Calibri"/>
                <w:color w:val="000000"/>
                <w:sz w:val="22"/>
                <w:szCs w:val="22"/>
              </w:rPr>
              <w:t xml:space="preserve">Monitor </w:t>
            </w:r>
            <w:r w:rsidRPr="00187746">
              <w:rPr>
                <w:rFonts w:ascii="Calibri" w:hAnsi="Calibri"/>
                <w:color w:val="000000"/>
                <w:sz w:val="22"/>
                <w:szCs w:val="22"/>
              </w:rPr>
              <w:t>2020-5-</w:t>
            </w:r>
            <w:r>
              <w:rPr>
                <w:rFonts w:ascii="Calibri" w:hAnsi="Calibri"/>
                <w:color w:val="000000"/>
                <w:sz w:val="22"/>
                <w:szCs w:val="22"/>
              </w:rPr>
              <w:t xml:space="preserve">M01 dle </w:t>
            </w:r>
            <w:proofErr w:type="spellStart"/>
            <w:r>
              <w:rPr>
                <w:rFonts w:ascii="Calibri" w:hAnsi="Calibri"/>
                <w:color w:val="000000"/>
                <w:sz w:val="22"/>
                <w:szCs w:val="22"/>
              </w:rPr>
              <w:t>spec</w:t>
            </w:r>
            <w:proofErr w:type="spellEnd"/>
            <w:r>
              <w:rPr>
                <w:rFonts w:ascii="Calibri" w:hAnsi="Calibri"/>
                <w:color w:val="000000"/>
                <w:sz w:val="22"/>
                <w:szCs w:val="22"/>
              </w:rPr>
              <w:t xml:space="preserve">. </w:t>
            </w:r>
            <w:proofErr w:type="gramStart"/>
            <w:r>
              <w:rPr>
                <w:rFonts w:ascii="Calibri" w:hAnsi="Calibri"/>
                <w:color w:val="000000"/>
                <w:sz w:val="22"/>
                <w:szCs w:val="22"/>
              </w:rPr>
              <w:t>listů</w:t>
            </w:r>
            <w:proofErr w:type="gramEnd"/>
            <w:r>
              <w:rPr>
                <w:rFonts w:ascii="Calibri" w:hAnsi="Calibri"/>
                <w:color w:val="000000"/>
                <w:sz w:val="22"/>
                <w:szCs w:val="22"/>
              </w:rPr>
              <w:t xml:space="preserve"> </w:t>
            </w:r>
            <w:r>
              <w:rPr>
                <w:rFonts w:ascii="Calibri" w:hAnsi="Calibri"/>
                <w:color w:val="000000"/>
                <w:sz w:val="22"/>
                <w:szCs w:val="22"/>
                <w:lang w:val="en-US"/>
              </w:rPr>
              <w:t>(*)</w:t>
            </w:r>
          </w:p>
        </w:tc>
        <w:tc>
          <w:tcPr>
            <w:tcW w:w="567" w:type="dxa"/>
          </w:tcPr>
          <w:p w14:paraId="7B8D7A7A" w14:textId="27F2EAD2"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709" w:type="dxa"/>
          </w:tcPr>
          <w:p w14:paraId="7DA09D84" w14:textId="6F078CB9" w:rsidR="00281D0C" w:rsidRDefault="00281D0C" w:rsidP="00281D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1132" w:type="dxa"/>
          </w:tcPr>
          <w:p w14:paraId="15C7D342" w14:textId="406DE219"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5 070,00</w:t>
            </w:r>
          </w:p>
        </w:tc>
        <w:tc>
          <w:tcPr>
            <w:tcW w:w="992" w:type="dxa"/>
          </w:tcPr>
          <w:p w14:paraId="2E0039A9" w14:textId="5287A283"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1 064,70</w:t>
            </w:r>
          </w:p>
        </w:tc>
        <w:tc>
          <w:tcPr>
            <w:tcW w:w="1423" w:type="dxa"/>
          </w:tcPr>
          <w:p w14:paraId="59B0C217" w14:textId="387255BB" w:rsidR="00281D0C" w:rsidRPr="00D96C8E" w:rsidRDefault="00281D0C" w:rsidP="00281D0C">
            <w:pPr>
              <w:autoSpaceDE w:val="0"/>
              <w:autoSpaceDN w:val="0"/>
              <w:adjustRightInd w:val="0"/>
              <w:jc w:val="right"/>
              <w:rPr>
                <w:rFonts w:ascii="Arial" w:hAnsi="Arial" w:cs="Arial"/>
                <w:b/>
                <w:color w:val="000000"/>
                <w:sz w:val="20"/>
                <w:szCs w:val="20"/>
                <w:highlight w:val="yellow"/>
              </w:rPr>
            </w:pPr>
            <w:r>
              <w:rPr>
                <w:rFonts w:ascii="Calibri" w:hAnsi="Calibri" w:cs="Calibri"/>
                <w:color w:val="000000"/>
                <w:sz w:val="20"/>
                <w:szCs w:val="20"/>
              </w:rPr>
              <w:t>6 134,70</w:t>
            </w:r>
          </w:p>
        </w:tc>
      </w:tr>
      <w:tr w:rsidR="00281D0C" w14:paraId="4E271FD1" w14:textId="77777777" w:rsidTr="00281D0C">
        <w:trPr>
          <w:trHeight w:val="251"/>
          <w:jc w:val="center"/>
        </w:trPr>
        <w:tc>
          <w:tcPr>
            <w:tcW w:w="4252" w:type="dxa"/>
          </w:tcPr>
          <w:p w14:paraId="4BE2ED76" w14:textId="77777777" w:rsidR="00281D0C" w:rsidRPr="00AC6211" w:rsidRDefault="00281D0C" w:rsidP="00281D0C">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281D0C" w:rsidRDefault="00281D0C" w:rsidP="00281D0C">
            <w:pPr>
              <w:autoSpaceDE w:val="0"/>
              <w:autoSpaceDN w:val="0"/>
              <w:adjustRightInd w:val="0"/>
              <w:jc w:val="center"/>
              <w:rPr>
                <w:rFonts w:ascii="Arial" w:hAnsi="Arial" w:cs="Arial"/>
                <w:b/>
                <w:color w:val="000000"/>
                <w:sz w:val="20"/>
                <w:szCs w:val="20"/>
              </w:rPr>
            </w:pPr>
          </w:p>
        </w:tc>
        <w:tc>
          <w:tcPr>
            <w:tcW w:w="709" w:type="dxa"/>
          </w:tcPr>
          <w:p w14:paraId="720126FB" w14:textId="77777777" w:rsidR="00281D0C" w:rsidRDefault="00281D0C" w:rsidP="00281D0C">
            <w:pPr>
              <w:autoSpaceDE w:val="0"/>
              <w:autoSpaceDN w:val="0"/>
              <w:adjustRightInd w:val="0"/>
              <w:jc w:val="center"/>
              <w:rPr>
                <w:rFonts w:ascii="Arial" w:hAnsi="Arial" w:cs="Arial"/>
                <w:b/>
                <w:color w:val="000000"/>
                <w:sz w:val="20"/>
                <w:szCs w:val="20"/>
              </w:rPr>
            </w:pPr>
          </w:p>
        </w:tc>
        <w:tc>
          <w:tcPr>
            <w:tcW w:w="1132" w:type="dxa"/>
          </w:tcPr>
          <w:p w14:paraId="31414DA4" w14:textId="2CD77DCE" w:rsidR="00281D0C" w:rsidRPr="00281D0C" w:rsidRDefault="00281D0C" w:rsidP="00281D0C">
            <w:pPr>
              <w:autoSpaceDE w:val="0"/>
              <w:autoSpaceDN w:val="0"/>
              <w:adjustRightInd w:val="0"/>
              <w:jc w:val="right"/>
              <w:rPr>
                <w:rFonts w:ascii="Arial" w:hAnsi="Arial" w:cs="Arial"/>
                <w:b/>
                <w:bCs/>
                <w:color w:val="000000"/>
                <w:sz w:val="20"/>
                <w:szCs w:val="20"/>
                <w:highlight w:val="yellow"/>
              </w:rPr>
            </w:pPr>
            <w:r w:rsidRPr="00281D0C">
              <w:rPr>
                <w:rFonts w:ascii="Calibri" w:hAnsi="Calibri" w:cs="Calibri"/>
                <w:b/>
                <w:bCs/>
                <w:color w:val="000000"/>
                <w:sz w:val="20"/>
                <w:szCs w:val="20"/>
              </w:rPr>
              <w:t>155 490,00</w:t>
            </w:r>
          </w:p>
        </w:tc>
        <w:tc>
          <w:tcPr>
            <w:tcW w:w="992" w:type="dxa"/>
          </w:tcPr>
          <w:p w14:paraId="314C5A21" w14:textId="054EACFB" w:rsidR="00281D0C" w:rsidRPr="00281D0C" w:rsidRDefault="00281D0C" w:rsidP="00281D0C">
            <w:pPr>
              <w:autoSpaceDE w:val="0"/>
              <w:autoSpaceDN w:val="0"/>
              <w:adjustRightInd w:val="0"/>
              <w:jc w:val="right"/>
              <w:rPr>
                <w:rFonts w:ascii="Arial" w:hAnsi="Arial" w:cs="Arial"/>
                <w:b/>
                <w:bCs/>
                <w:color w:val="000000"/>
                <w:sz w:val="20"/>
                <w:szCs w:val="20"/>
                <w:highlight w:val="yellow"/>
              </w:rPr>
            </w:pPr>
            <w:r w:rsidRPr="00281D0C">
              <w:rPr>
                <w:rFonts w:ascii="Calibri" w:hAnsi="Calibri" w:cs="Calibri"/>
                <w:b/>
                <w:bCs/>
                <w:color w:val="000000"/>
                <w:sz w:val="20"/>
                <w:szCs w:val="20"/>
              </w:rPr>
              <w:t>32 652,90</w:t>
            </w:r>
          </w:p>
        </w:tc>
        <w:tc>
          <w:tcPr>
            <w:tcW w:w="1423" w:type="dxa"/>
          </w:tcPr>
          <w:p w14:paraId="592A7DC0" w14:textId="0ADFC09C" w:rsidR="00281D0C" w:rsidRPr="00281D0C" w:rsidRDefault="00281D0C" w:rsidP="00281D0C">
            <w:pPr>
              <w:autoSpaceDE w:val="0"/>
              <w:autoSpaceDN w:val="0"/>
              <w:adjustRightInd w:val="0"/>
              <w:jc w:val="right"/>
              <w:rPr>
                <w:rFonts w:ascii="Arial" w:hAnsi="Arial" w:cs="Arial"/>
                <w:b/>
                <w:bCs/>
                <w:color w:val="000000"/>
                <w:sz w:val="20"/>
                <w:szCs w:val="20"/>
                <w:highlight w:val="yellow"/>
              </w:rPr>
            </w:pPr>
            <w:r w:rsidRPr="00281D0C">
              <w:rPr>
                <w:rFonts w:ascii="Calibri" w:hAnsi="Calibri" w:cs="Calibri"/>
                <w:b/>
                <w:bCs/>
                <w:color w:val="000000"/>
                <w:sz w:val="20"/>
                <w:szCs w:val="20"/>
              </w:rPr>
              <w:t>188 142,90</w:t>
            </w:r>
          </w:p>
        </w:tc>
      </w:tr>
    </w:tbl>
    <w:p w14:paraId="0399AD6A" w14:textId="30A93803" w:rsidR="003122CB" w:rsidRDefault="00C175C1" w:rsidP="00C34CD3">
      <w:pPr>
        <w:spacing w:after="120"/>
        <w:jc w:val="both"/>
        <w:rPr>
          <w:rFonts w:ascii="Arial" w:hAnsi="Arial" w:cs="Arial"/>
          <w:sz w:val="22"/>
        </w:rPr>
      </w:pPr>
      <w:r>
        <w:rPr>
          <w:rFonts w:ascii="Arial" w:hAnsi="Arial" w:cs="Arial"/>
          <w:sz w:val="22"/>
        </w:rPr>
        <w:t>(*)</w:t>
      </w:r>
      <w:proofErr w:type="spellStart"/>
      <w:r>
        <w:rPr>
          <w:rFonts w:ascii="Arial" w:hAnsi="Arial" w:cs="Arial"/>
          <w:sz w:val="22"/>
        </w:rPr>
        <w:t>pzn</w:t>
      </w:r>
      <w:proofErr w:type="spellEnd"/>
      <w:r>
        <w:rPr>
          <w:rFonts w:ascii="Arial" w:hAnsi="Arial" w:cs="Arial"/>
          <w:sz w:val="22"/>
        </w:rPr>
        <w:t xml:space="preserve">.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w:t>
      </w:r>
      <w:r>
        <w:rPr>
          <w:rFonts w:ascii="Arial" w:hAnsi="Arial" w:cs="Arial"/>
          <w:sz w:val="22"/>
        </w:rPr>
        <w:lastRenderedPageBreak/>
        <w:t>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18BAEEE7" w14:textId="77777777" w:rsidR="000A6D61" w:rsidRPr="00D42B3D" w:rsidRDefault="000A6D61"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1D7089D8" w:rsidR="00D12006" w:rsidRPr="00281D0C" w:rsidRDefault="00D12006" w:rsidP="005978FA">
      <w:pPr>
        <w:ind w:left="142" w:firstLine="567"/>
        <w:jc w:val="both"/>
        <w:rPr>
          <w:rFonts w:ascii="Arial" w:hAnsi="Arial" w:cs="Arial"/>
          <w:b/>
          <w:sz w:val="22"/>
          <w:szCs w:val="22"/>
        </w:rPr>
      </w:pPr>
      <w:r w:rsidRPr="00281D0C">
        <w:rPr>
          <w:rFonts w:ascii="Arial" w:hAnsi="Arial" w:cs="Arial"/>
          <w:b/>
          <w:sz w:val="22"/>
        </w:rPr>
        <w:t>Celkem bez DPH</w:t>
      </w:r>
      <w:r w:rsidRPr="00281D0C">
        <w:rPr>
          <w:rFonts w:ascii="Arial" w:hAnsi="Arial" w:cs="Arial"/>
          <w:b/>
          <w:sz w:val="22"/>
        </w:rPr>
        <w:tab/>
      </w:r>
      <w:r w:rsidRPr="00281D0C">
        <w:rPr>
          <w:rFonts w:ascii="Arial" w:hAnsi="Arial" w:cs="Arial"/>
          <w:b/>
          <w:sz w:val="22"/>
        </w:rPr>
        <w:tab/>
      </w:r>
      <w:r w:rsidRPr="00281D0C">
        <w:rPr>
          <w:rFonts w:ascii="Arial" w:hAnsi="Arial" w:cs="Arial"/>
          <w:b/>
          <w:sz w:val="22"/>
        </w:rPr>
        <w:tab/>
        <w:t xml:space="preserve">   </w:t>
      </w:r>
      <w:r w:rsidR="00281D0C" w:rsidRPr="00281D0C">
        <w:rPr>
          <w:rFonts w:ascii="Arial" w:hAnsi="Arial" w:cs="Arial"/>
          <w:b/>
          <w:sz w:val="22"/>
        </w:rPr>
        <w:t>155</w:t>
      </w:r>
      <w:r w:rsidRPr="00281D0C">
        <w:rPr>
          <w:rFonts w:ascii="Arial" w:hAnsi="Arial" w:cs="Arial"/>
          <w:b/>
          <w:sz w:val="22"/>
        </w:rPr>
        <w:t xml:space="preserve"> </w:t>
      </w:r>
      <w:r w:rsidR="00281D0C" w:rsidRPr="00281D0C">
        <w:rPr>
          <w:rFonts w:ascii="Arial" w:hAnsi="Arial" w:cs="Arial"/>
          <w:b/>
          <w:sz w:val="22"/>
        </w:rPr>
        <w:t>490</w:t>
      </w:r>
      <w:r w:rsidRPr="00281D0C">
        <w:rPr>
          <w:rFonts w:ascii="Arial" w:hAnsi="Arial" w:cs="Arial"/>
          <w:b/>
          <w:sz w:val="22"/>
        </w:rPr>
        <w:t xml:space="preserve">,00 Kč </w:t>
      </w: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51EB256"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10020A">
        <w:rPr>
          <w:rFonts w:ascii="Arial" w:hAnsi="Arial" w:cs="Arial"/>
          <w:color w:val="000000"/>
          <w:sz w:val="22"/>
          <w:szCs w:val="22"/>
        </w:rPr>
        <w:t>21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0BE09BF6"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 xml:space="preserve">p. Roman Struk, </w:t>
      </w:r>
      <w:bookmarkStart w:id="0" w:name="_GoBack"/>
      <w:bookmarkEnd w:id="0"/>
      <w:r w:rsidRPr="00C34CD3">
        <w:rPr>
          <w:rFonts w:ascii="Arial" w:hAnsi="Arial" w:cs="Arial"/>
          <w:color w:val="000000"/>
          <w:sz w:val="22"/>
          <w:szCs w:val="22"/>
        </w:rPr>
        <w:t>nebo p. Jiří Kalendovský,.</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18594A93"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5BD85B6F" w:rsidR="00D421F7" w:rsidRDefault="00D421F7" w:rsidP="00D421F7">
      <w:pPr>
        <w:jc w:val="center"/>
        <w:rPr>
          <w:rFonts w:ascii="Arial" w:hAnsi="Arial" w:cs="Arial"/>
          <w:b/>
          <w:sz w:val="22"/>
          <w:szCs w:val="22"/>
        </w:rPr>
      </w:pPr>
    </w:p>
    <w:p w14:paraId="4E66FDB5" w14:textId="77777777" w:rsidR="006F1AB3" w:rsidRDefault="006F1AB3" w:rsidP="00D421F7">
      <w:pPr>
        <w:rPr>
          <w:rFonts w:ascii="Arial" w:hAnsi="Arial" w:cs="Arial"/>
          <w:b/>
          <w:sz w:val="22"/>
          <w:szCs w:val="22"/>
        </w:rPr>
      </w:pPr>
    </w:p>
    <w:p w14:paraId="4BE26124" w14:textId="74893299"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7A2592" w14:textId="77777777" w:rsidR="000A6D61" w:rsidRDefault="000A6D61"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58B2031B" w14:textId="1D7B9022" w:rsidR="00B72CB0" w:rsidRDefault="00B72CB0"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64763652" w14:textId="77777777" w:rsidR="00281D0C" w:rsidRDefault="00281D0C" w:rsidP="00281D0C">
            <w:pPr>
              <w:ind w:right="-70"/>
              <w:jc w:val="center"/>
              <w:rPr>
                <w:rFonts w:ascii="Arial" w:hAnsi="Arial" w:cs="Arial"/>
                <w:kern w:val="0"/>
                <w:sz w:val="22"/>
                <w:szCs w:val="22"/>
                <w:lang w:eastAsia="cs-CZ"/>
              </w:rPr>
            </w:pPr>
            <w:r>
              <w:rPr>
                <w:rFonts w:ascii="Arial" w:hAnsi="Arial" w:cs="Arial"/>
                <w:sz w:val="22"/>
                <w:szCs w:val="22"/>
              </w:rPr>
              <w:t>DC Computers s.r.o.</w:t>
            </w:r>
          </w:p>
          <w:p w14:paraId="260ED6E9" w14:textId="77777777" w:rsidR="00281D0C" w:rsidRDefault="00281D0C" w:rsidP="00281D0C">
            <w:pPr>
              <w:ind w:right="-70"/>
              <w:jc w:val="center"/>
              <w:rPr>
                <w:rFonts w:ascii="Arial" w:hAnsi="Arial" w:cs="Arial"/>
                <w:sz w:val="22"/>
                <w:szCs w:val="22"/>
              </w:rPr>
            </w:pPr>
            <w:r>
              <w:rPr>
                <w:rFonts w:ascii="Arial" w:hAnsi="Arial" w:cs="Arial"/>
                <w:sz w:val="22"/>
                <w:szCs w:val="22"/>
              </w:rPr>
              <w:t>Ing. Petr Bořánek</w:t>
            </w:r>
          </w:p>
          <w:p w14:paraId="1FBDD427" w14:textId="22576A6F" w:rsidR="00B72CB0" w:rsidRDefault="00281D0C" w:rsidP="00281D0C">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667A4E0" w14:textId="77777777" w:rsidR="004E046B" w:rsidRDefault="00B72CB0" w:rsidP="004E046B">
            <w:pPr>
              <w:ind w:right="-70"/>
              <w:jc w:val="center"/>
              <w:rPr>
                <w:rFonts w:ascii="Arial" w:hAnsi="Arial" w:cs="Arial"/>
                <w:sz w:val="22"/>
                <w:szCs w:val="22"/>
              </w:rPr>
            </w:pPr>
            <w:r w:rsidRPr="00B72CB0">
              <w:rPr>
                <w:rFonts w:ascii="Arial" w:hAnsi="Arial" w:cs="Arial"/>
                <w:sz w:val="22"/>
                <w:szCs w:val="22"/>
              </w:rPr>
              <w:t xml:space="preserve"> </w:t>
            </w:r>
            <w:r w:rsidR="004E046B">
              <w:rPr>
                <w:rFonts w:ascii="Arial" w:hAnsi="Arial" w:cs="Arial"/>
                <w:sz w:val="22"/>
                <w:szCs w:val="22"/>
              </w:rPr>
              <w:t>Národní divadlo</w:t>
            </w:r>
          </w:p>
          <w:p w14:paraId="512CC7B1" w14:textId="77777777" w:rsidR="004E046B" w:rsidRDefault="004E046B" w:rsidP="004E046B">
            <w:pPr>
              <w:ind w:right="-70"/>
              <w:jc w:val="center"/>
              <w:rPr>
                <w:rFonts w:ascii="Arial" w:hAnsi="Arial" w:cs="Arial"/>
                <w:sz w:val="22"/>
                <w:szCs w:val="22"/>
              </w:rPr>
            </w:pPr>
            <w:proofErr w:type="spellStart"/>
            <w:r>
              <w:rPr>
                <w:rFonts w:ascii="Arial" w:hAnsi="Arial" w:cs="Arial"/>
                <w:sz w:val="22"/>
                <w:szCs w:val="22"/>
              </w:rPr>
              <w:t>Ing.Václav</w:t>
            </w:r>
            <w:proofErr w:type="spellEnd"/>
            <w:r>
              <w:rPr>
                <w:rFonts w:ascii="Arial" w:hAnsi="Arial" w:cs="Arial"/>
                <w:sz w:val="22"/>
                <w:szCs w:val="22"/>
              </w:rPr>
              <w:t xml:space="preserve"> Pelouch</w:t>
            </w:r>
          </w:p>
          <w:p w14:paraId="5F2EFEF3" w14:textId="51AD0413" w:rsidR="00B72CB0" w:rsidRDefault="004E046B" w:rsidP="00B72CB0">
            <w:pPr>
              <w:ind w:right="-70"/>
              <w:jc w:val="center"/>
              <w:rPr>
                <w:rFonts w:ascii="Arial" w:hAnsi="Arial" w:cs="Arial"/>
                <w:sz w:val="22"/>
                <w:szCs w:val="22"/>
              </w:rPr>
            </w:pPr>
            <w:r>
              <w:rPr>
                <w:rFonts w:ascii="Arial" w:hAnsi="Arial" w:cs="Arial"/>
                <w:sz w:val="22"/>
                <w:szCs w:val="22"/>
              </w:rPr>
              <w:t xml:space="preserve">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p>
        </w:tc>
      </w:tr>
    </w:tbl>
    <w:p w14:paraId="4749CBD6" w14:textId="1D0E417F" w:rsidR="00D360DE" w:rsidRDefault="00D360DE" w:rsidP="00076553">
      <w:pPr>
        <w:rPr>
          <w:rFonts w:ascii="Arial" w:hAnsi="Arial" w:cs="Arial"/>
          <w:sz w:val="22"/>
          <w:szCs w:val="22"/>
        </w:rPr>
      </w:pPr>
    </w:p>
    <w:sectPr w:rsidR="00D360DE" w:rsidSect="006F1AB3">
      <w:footerReference w:type="default" r:id="rId8"/>
      <w:pgSz w:w="11906" w:h="16838" w:code="9"/>
      <w:pgMar w:top="993"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AB8C" w14:textId="77777777" w:rsidR="00A62AA9" w:rsidRDefault="00A62AA9" w:rsidP="005B1606">
      <w:r>
        <w:separator/>
      </w:r>
    </w:p>
  </w:endnote>
  <w:endnote w:type="continuationSeparator" w:id="0">
    <w:p w14:paraId="18ABB703" w14:textId="77777777" w:rsidR="00A62AA9" w:rsidRDefault="00A62AA9"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5D737678"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D250A4">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C2C1" w14:textId="77777777" w:rsidR="00A62AA9" w:rsidRDefault="00A62AA9" w:rsidP="005B1606">
      <w:r>
        <w:separator/>
      </w:r>
    </w:p>
  </w:footnote>
  <w:footnote w:type="continuationSeparator" w:id="0">
    <w:p w14:paraId="1EAA0F67" w14:textId="77777777" w:rsidR="00A62AA9" w:rsidRDefault="00A62AA9"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51545"/>
    <w:rsid w:val="00061AC5"/>
    <w:rsid w:val="000646BF"/>
    <w:rsid w:val="00076553"/>
    <w:rsid w:val="0008264C"/>
    <w:rsid w:val="00083381"/>
    <w:rsid w:val="000922B0"/>
    <w:rsid w:val="0009650B"/>
    <w:rsid w:val="000973C7"/>
    <w:rsid w:val="000A20C8"/>
    <w:rsid w:val="000A32D9"/>
    <w:rsid w:val="000A47FC"/>
    <w:rsid w:val="000A6D61"/>
    <w:rsid w:val="000B3014"/>
    <w:rsid w:val="000B75B2"/>
    <w:rsid w:val="000E227A"/>
    <w:rsid w:val="0010020A"/>
    <w:rsid w:val="001077B0"/>
    <w:rsid w:val="00113659"/>
    <w:rsid w:val="001163C6"/>
    <w:rsid w:val="00141371"/>
    <w:rsid w:val="001731F3"/>
    <w:rsid w:val="00173B24"/>
    <w:rsid w:val="00176AC9"/>
    <w:rsid w:val="00180232"/>
    <w:rsid w:val="00187746"/>
    <w:rsid w:val="00194424"/>
    <w:rsid w:val="001B1252"/>
    <w:rsid w:val="001B1BD2"/>
    <w:rsid w:val="001D2958"/>
    <w:rsid w:val="001D5DDA"/>
    <w:rsid w:val="001D78C0"/>
    <w:rsid w:val="001E158E"/>
    <w:rsid w:val="0021092A"/>
    <w:rsid w:val="00230D2B"/>
    <w:rsid w:val="0024687A"/>
    <w:rsid w:val="0025579E"/>
    <w:rsid w:val="00265EE3"/>
    <w:rsid w:val="00276787"/>
    <w:rsid w:val="00280227"/>
    <w:rsid w:val="00281D0C"/>
    <w:rsid w:val="00293253"/>
    <w:rsid w:val="002964DF"/>
    <w:rsid w:val="002C1264"/>
    <w:rsid w:val="002E0DA7"/>
    <w:rsid w:val="002E6FA1"/>
    <w:rsid w:val="002F0279"/>
    <w:rsid w:val="00303793"/>
    <w:rsid w:val="00306D81"/>
    <w:rsid w:val="0031190D"/>
    <w:rsid w:val="003122CB"/>
    <w:rsid w:val="00322F60"/>
    <w:rsid w:val="00332623"/>
    <w:rsid w:val="003358D7"/>
    <w:rsid w:val="003750DE"/>
    <w:rsid w:val="0038127D"/>
    <w:rsid w:val="00382DA2"/>
    <w:rsid w:val="00391C11"/>
    <w:rsid w:val="003A6A00"/>
    <w:rsid w:val="003B3634"/>
    <w:rsid w:val="003B4835"/>
    <w:rsid w:val="003C7561"/>
    <w:rsid w:val="003F08F1"/>
    <w:rsid w:val="004042D0"/>
    <w:rsid w:val="0043235C"/>
    <w:rsid w:val="0044748D"/>
    <w:rsid w:val="00452A92"/>
    <w:rsid w:val="00473F2E"/>
    <w:rsid w:val="00475662"/>
    <w:rsid w:val="0047796E"/>
    <w:rsid w:val="0049259A"/>
    <w:rsid w:val="004B45E9"/>
    <w:rsid w:val="004B4B11"/>
    <w:rsid w:val="004B7CB2"/>
    <w:rsid w:val="004D418F"/>
    <w:rsid w:val="004E046B"/>
    <w:rsid w:val="004E5D63"/>
    <w:rsid w:val="00502397"/>
    <w:rsid w:val="005163FF"/>
    <w:rsid w:val="005204AE"/>
    <w:rsid w:val="00530C05"/>
    <w:rsid w:val="005525AA"/>
    <w:rsid w:val="0055418F"/>
    <w:rsid w:val="00562BF2"/>
    <w:rsid w:val="00563183"/>
    <w:rsid w:val="00564957"/>
    <w:rsid w:val="005670A2"/>
    <w:rsid w:val="00591D54"/>
    <w:rsid w:val="00591F8C"/>
    <w:rsid w:val="005978FA"/>
    <w:rsid w:val="005B1606"/>
    <w:rsid w:val="005B4713"/>
    <w:rsid w:val="005B55F3"/>
    <w:rsid w:val="005F285F"/>
    <w:rsid w:val="00606458"/>
    <w:rsid w:val="00617FE7"/>
    <w:rsid w:val="00626758"/>
    <w:rsid w:val="006358B7"/>
    <w:rsid w:val="00636FEA"/>
    <w:rsid w:val="00645848"/>
    <w:rsid w:val="0065034B"/>
    <w:rsid w:val="00660EEC"/>
    <w:rsid w:val="00662D1D"/>
    <w:rsid w:val="006710D5"/>
    <w:rsid w:val="00671C26"/>
    <w:rsid w:val="00673340"/>
    <w:rsid w:val="0067698A"/>
    <w:rsid w:val="006853A4"/>
    <w:rsid w:val="006858BB"/>
    <w:rsid w:val="006B1600"/>
    <w:rsid w:val="006B629D"/>
    <w:rsid w:val="006C16A7"/>
    <w:rsid w:val="006C26BF"/>
    <w:rsid w:val="006C2A97"/>
    <w:rsid w:val="006C4F2B"/>
    <w:rsid w:val="006D146A"/>
    <w:rsid w:val="006E264E"/>
    <w:rsid w:val="006F1AB3"/>
    <w:rsid w:val="00710326"/>
    <w:rsid w:val="00714CEF"/>
    <w:rsid w:val="0072008A"/>
    <w:rsid w:val="007343E5"/>
    <w:rsid w:val="00757845"/>
    <w:rsid w:val="007620E1"/>
    <w:rsid w:val="00766976"/>
    <w:rsid w:val="00783E7B"/>
    <w:rsid w:val="00792A7A"/>
    <w:rsid w:val="007A200A"/>
    <w:rsid w:val="007C1E4F"/>
    <w:rsid w:val="007D3BC0"/>
    <w:rsid w:val="007E09DC"/>
    <w:rsid w:val="008029E2"/>
    <w:rsid w:val="00820F74"/>
    <w:rsid w:val="008354C9"/>
    <w:rsid w:val="008406D1"/>
    <w:rsid w:val="00842447"/>
    <w:rsid w:val="00854EF8"/>
    <w:rsid w:val="00864A46"/>
    <w:rsid w:val="00866A70"/>
    <w:rsid w:val="00895FC1"/>
    <w:rsid w:val="008A77B5"/>
    <w:rsid w:val="008B04ED"/>
    <w:rsid w:val="008B3C43"/>
    <w:rsid w:val="008B7B9F"/>
    <w:rsid w:val="008C4D53"/>
    <w:rsid w:val="008D02A7"/>
    <w:rsid w:val="008D62CA"/>
    <w:rsid w:val="008E1456"/>
    <w:rsid w:val="008F22D4"/>
    <w:rsid w:val="008F7C79"/>
    <w:rsid w:val="00910A05"/>
    <w:rsid w:val="00921A21"/>
    <w:rsid w:val="00933BCE"/>
    <w:rsid w:val="00936221"/>
    <w:rsid w:val="00940BFD"/>
    <w:rsid w:val="00950ACE"/>
    <w:rsid w:val="009808B8"/>
    <w:rsid w:val="00990390"/>
    <w:rsid w:val="009A3ECC"/>
    <w:rsid w:val="009E2233"/>
    <w:rsid w:val="009F02DF"/>
    <w:rsid w:val="00A117B0"/>
    <w:rsid w:val="00A26AF6"/>
    <w:rsid w:val="00A36E7B"/>
    <w:rsid w:val="00A40B40"/>
    <w:rsid w:val="00A44B26"/>
    <w:rsid w:val="00A575D0"/>
    <w:rsid w:val="00A62AA9"/>
    <w:rsid w:val="00A6470A"/>
    <w:rsid w:val="00A73F4E"/>
    <w:rsid w:val="00A75050"/>
    <w:rsid w:val="00A82DBD"/>
    <w:rsid w:val="00A87F06"/>
    <w:rsid w:val="00A933E2"/>
    <w:rsid w:val="00AA2E98"/>
    <w:rsid w:val="00AA5CCC"/>
    <w:rsid w:val="00AA63A7"/>
    <w:rsid w:val="00AB03AD"/>
    <w:rsid w:val="00AB725B"/>
    <w:rsid w:val="00AD79DA"/>
    <w:rsid w:val="00AF307E"/>
    <w:rsid w:val="00AF52C3"/>
    <w:rsid w:val="00B03A08"/>
    <w:rsid w:val="00B263D9"/>
    <w:rsid w:val="00B3039C"/>
    <w:rsid w:val="00B32A9B"/>
    <w:rsid w:val="00B43535"/>
    <w:rsid w:val="00B47772"/>
    <w:rsid w:val="00B72CB0"/>
    <w:rsid w:val="00B7543F"/>
    <w:rsid w:val="00B80249"/>
    <w:rsid w:val="00B819D2"/>
    <w:rsid w:val="00B82FE2"/>
    <w:rsid w:val="00B85C61"/>
    <w:rsid w:val="00B914D6"/>
    <w:rsid w:val="00B9497D"/>
    <w:rsid w:val="00B95FFB"/>
    <w:rsid w:val="00BA0DA8"/>
    <w:rsid w:val="00BA1659"/>
    <w:rsid w:val="00BD4E39"/>
    <w:rsid w:val="00BF1878"/>
    <w:rsid w:val="00BF743C"/>
    <w:rsid w:val="00BF75E7"/>
    <w:rsid w:val="00C15929"/>
    <w:rsid w:val="00C175C1"/>
    <w:rsid w:val="00C2017F"/>
    <w:rsid w:val="00C23D55"/>
    <w:rsid w:val="00C251E2"/>
    <w:rsid w:val="00C34CD3"/>
    <w:rsid w:val="00C36E77"/>
    <w:rsid w:val="00C45257"/>
    <w:rsid w:val="00C47CF2"/>
    <w:rsid w:val="00C62D60"/>
    <w:rsid w:val="00C638CA"/>
    <w:rsid w:val="00C862B9"/>
    <w:rsid w:val="00C91120"/>
    <w:rsid w:val="00C97D5C"/>
    <w:rsid w:val="00CA0C32"/>
    <w:rsid w:val="00CC3D69"/>
    <w:rsid w:val="00CC72FB"/>
    <w:rsid w:val="00CD0655"/>
    <w:rsid w:val="00CD598B"/>
    <w:rsid w:val="00CD78AB"/>
    <w:rsid w:val="00CF523E"/>
    <w:rsid w:val="00D04934"/>
    <w:rsid w:val="00D10286"/>
    <w:rsid w:val="00D1107E"/>
    <w:rsid w:val="00D12006"/>
    <w:rsid w:val="00D250A4"/>
    <w:rsid w:val="00D34BAD"/>
    <w:rsid w:val="00D360DE"/>
    <w:rsid w:val="00D421F7"/>
    <w:rsid w:val="00D42B3D"/>
    <w:rsid w:val="00D50EE3"/>
    <w:rsid w:val="00D57EA8"/>
    <w:rsid w:val="00D62E70"/>
    <w:rsid w:val="00D64C6A"/>
    <w:rsid w:val="00D76CE7"/>
    <w:rsid w:val="00D77646"/>
    <w:rsid w:val="00D8145C"/>
    <w:rsid w:val="00D83CFC"/>
    <w:rsid w:val="00D84C2A"/>
    <w:rsid w:val="00D92267"/>
    <w:rsid w:val="00D94C78"/>
    <w:rsid w:val="00D96C8E"/>
    <w:rsid w:val="00DA37A3"/>
    <w:rsid w:val="00DA42E2"/>
    <w:rsid w:val="00DA45E3"/>
    <w:rsid w:val="00DA5618"/>
    <w:rsid w:val="00DB0D7F"/>
    <w:rsid w:val="00DB6434"/>
    <w:rsid w:val="00DD61B4"/>
    <w:rsid w:val="00DF3AC3"/>
    <w:rsid w:val="00DF46CF"/>
    <w:rsid w:val="00E112EC"/>
    <w:rsid w:val="00E401F7"/>
    <w:rsid w:val="00E45DAD"/>
    <w:rsid w:val="00E5592C"/>
    <w:rsid w:val="00E66A87"/>
    <w:rsid w:val="00E85A45"/>
    <w:rsid w:val="00E864FA"/>
    <w:rsid w:val="00E87917"/>
    <w:rsid w:val="00E91ADA"/>
    <w:rsid w:val="00EE0FB5"/>
    <w:rsid w:val="00EF229E"/>
    <w:rsid w:val="00EF604B"/>
    <w:rsid w:val="00F04967"/>
    <w:rsid w:val="00F422A6"/>
    <w:rsid w:val="00F457A7"/>
    <w:rsid w:val="00F5147F"/>
    <w:rsid w:val="00F60595"/>
    <w:rsid w:val="00F61F22"/>
    <w:rsid w:val="00F75F6D"/>
    <w:rsid w:val="00F86A0D"/>
    <w:rsid w:val="00FB69A9"/>
    <w:rsid w:val="00FB6ACE"/>
    <w:rsid w:val="00FD6E5B"/>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2020-06-23T13:30:00Z</dcterms:created>
  <dcterms:modified xsi:type="dcterms:W3CDTF">2020-06-23T13:30:00Z</dcterms:modified>
</cp:coreProperties>
</file>