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5D3" w:rsidRDefault="00456A94">
      <w:pPr>
        <w:spacing w:line="406" w:lineRule="exact"/>
        <w:ind w:left="144"/>
        <w:jc w:val="center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 xml:space="preserve">SMLOUVA O SPOLUPRÁCIPŘI ŘEŠENÍ GRANTOVÉHO </w:t>
      </w:r>
      <w:r>
        <w:rPr>
          <w:rFonts w:eastAsia="Times New Roman"/>
          <w:b/>
          <w:color w:val="000000"/>
          <w:sz w:val="23"/>
          <w:lang w:val="cs-CZ"/>
        </w:rPr>
        <w:br/>
        <w:t>PROJEKTU</w:t>
      </w:r>
    </w:p>
    <w:p w:rsidR="002505D3" w:rsidRDefault="00456A94">
      <w:pPr>
        <w:spacing w:before="673" w:line="275" w:lineRule="exact"/>
        <w:ind w:left="288"/>
        <w:textAlignment w:val="baseline"/>
        <w:rPr>
          <w:rFonts w:eastAsia="Times New Roman"/>
          <w:color w:val="000000"/>
          <w:spacing w:val="5"/>
          <w:sz w:val="23"/>
          <w:lang w:val="cs-CZ"/>
        </w:rPr>
      </w:pPr>
      <w:r>
        <w:rPr>
          <w:rFonts w:eastAsia="Times New Roman"/>
          <w:color w:val="000000"/>
          <w:spacing w:val="5"/>
          <w:sz w:val="23"/>
          <w:lang w:val="cs-CZ"/>
        </w:rPr>
        <w:t>Níže uvedené smluvní strany:</w:t>
      </w:r>
    </w:p>
    <w:p w:rsidR="002505D3" w:rsidRDefault="00456A94">
      <w:pPr>
        <w:spacing w:before="361" w:line="275" w:lineRule="exact"/>
        <w:ind w:left="288"/>
        <w:textAlignment w:val="baseline"/>
        <w:rPr>
          <w:rFonts w:eastAsia="Times New Roman"/>
          <w:color w:val="000000"/>
          <w:spacing w:val="2"/>
          <w:sz w:val="23"/>
          <w:lang w:val="cs-CZ"/>
        </w:rPr>
      </w:pPr>
      <w:proofErr w:type="spellStart"/>
      <w:r>
        <w:rPr>
          <w:rFonts w:eastAsia="Times New Roman"/>
          <w:color w:val="000000"/>
          <w:spacing w:val="2"/>
          <w:sz w:val="23"/>
          <w:lang w:val="cs-CZ"/>
        </w:rPr>
        <w:t>Pixelfield</w:t>
      </w:r>
      <w:proofErr w:type="spellEnd"/>
      <w:r>
        <w:rPr>
          <w:rFonts w:eastAsia="Times New Roman"/>
          <w:color w:val="000000"/>
          <w:spacing w:val="2"/>
          <w:sz w:val="23"/>
          <w:lang w:val="cs-CZ"/>
        </w:rPr>
        <w:t xml:space="preserve"> s.r.o.</w:t>
      </w:r>
    </w:p>
    <w:p w:rsidR="002505D3" w:rsidRDefault="00456A94">
      <w:pPr>
        <w:spacing w:before="41" w:line="275" w:lineRule="exact"/>
        <w:ind w:left="288"/>
        <w:textAlignment w:val="baseline"/>
        <w:rPr>
          <w:rFonts w:eastAsia="Times New Roman"/>
          <w:color w:val="000000"/>
          <w:spacing w:val="22"/>
          <w:sz w:val="23"/>
          <w:lang w:val="cs-CZ"/>
        </w:rPr>
      </w:pPr>
      <w:r>
        <w:rPr>
          <w:rFonts w:eastAsia="Times New Roman"/>
          <w:color w:val="000000"/>
          <w:spacing w:val="22"/>
          <w:sz w:val="23"/>
          <w:lang w:val="cs-CZ"/>
        </w:rPr>
        <w:t>Sídlo: Pernerova 676/51, 186 00 Praha - Karlin</w:t>
      </w:r>
    </w:p>
    <w:p w:rsidR="002505D3" w:rsidRDefault="00456A94">
      <w:pPr>
        <w:spacing w:before="42" w:line="275" w:lineRule="exact"/>
        <w:ind w:left="288"/>
        <w:textAlignment w:val="baseline"/>
        <w:rPr>
          <w:rFonts w:eastAsia="Times New Roman"/>
          <w:color w:val="000000"/>
          <w:spacing w:val="2"/>
          <w:sz w:val="23"/>
          <w:lang w:val="cs-CZ"/>
        </w:rPr>
      </w:pPr>
      <w:r>
        <w:rPr>
          <w:rFonts w:eastAsia="Times New Roman"/>
          <w:color w:val="000000"/>
          <w:spacing w:val="2"/>
          <w:sz w:val="23"/>
          <w:lang w:val="cs-CZ"/>
        </w:rPr>
        <w:t xml:space="preserve">Zastoupená: Filipem </w:t>
      </w:r>
      <w:proofErr w:type="spellStart"/>
      <w:r>
        <w:rPr>
          <w:rFonts w:eastAsia="Times New Roman"/>
          <w:color w:val="000000"/>
          <w:spacing w:val="2"/>
          <w:sz w:val="23"/>
          <w:lang w:val="cs-CZ"/>
        </w:rPr>
        <w:t>Flášou</w:t>
      </w:r>
      <w:proofErr w:type="spellEnd"/>
      <w:r>
        <w:rPr>
          <w:rFonts w:eastAsia="Times New Roman"/>
          <w:color w:val="000000"/>
          <w:spacing w:val="2"/>
          <w:sz w:val="23"/>
          <w:lang w:val="cs-CZ"/>
        </w:rPr>
        <w:t>, jednatelem</w:t>
      </w:r>
    </w:p>
    <w:p w:rsidR="002505D3" w:rsidRDefault="00456A94">
      <w:pPr>
        <w:spacing w:before="46" w:line="275" w:lineRule="exact"/>
        <w:ind w:left="288"/>
        <w:textAlignment w:val="baseline"/>
        <w:rPr>
          <w:rFonts w:eastAsia="Times New Roman"/>
          <w:color w:val="000000"/>
          <w:spacing w:val="8"/>
          <w:sz w:val="23"/>
          <w:lang w:val="cs-CZ"/>
        </w:rPr>
      </w:pPr>
      <w:r>
        <w:rPr>
          <w:rFonts w:eastAsia="Times New Roman"/>
          <w:color w:val="000000"/>
          <w:spacing w:val="8"/>
          <w:sz w:val="23"/>
          <w:lang w:val="cs-CZ"/>
        </w:rPr>
        <w:t>IČO: 242 64 806</w:t>
      </w:r>
    </w:p>
    <w:p w:rsidR="002505D3" w:rsidRDefault="00456A94">
      <w:pPr>
        <w:spacing w:before="41" w:line="275" w:lineRule="exact"/>
        <w:ind w:left="288"/>
        <w:textAlignment w:val="baseline"/>
        <w:rPr>
          <w:rFonts w:eastAsia="Times New Roman"/>
          <w:color w:val="000000"/>
          <w:spacing w:val="32"/>
          <w:sz w:val="23"/>
          <w:lang w:val="cs-CZ"/>
        </w:rPr>
      </w:pPr>
      <w:r>
        <w:rPr>
          <w:rFonts w:eastAsia="Times New Roman"/>
          <w:color w:val="000000"/>
          <w:spacing w:val="32"/>
          <w:sz w:val="23"/>
          <w:lang w:val="cs-CZ"/>
        </w:rPr>
        <w:t>DIČ: CZ24264806</w:t>
      </w:r>
    </w:p>
    <w:p w:rsidR="002505D3" w:rsidRDefault="00456A94">
      <w:pPr>
        <w:spacing w:before="43" w:line="275" w:lineRule="exact"/>
        <w:ind w:left="288"/>
        <w:textAlignment w:val="baseline"/>
        <w:rPr>
          <w:rFonts w:eastAsia="Times New Roman"/>
          <w:color w:val="000000"/>
          <w:spacing w:val="47"/>
          <w:sz w:val="23"/>
          <w:lang w:val="cs-CZ"/>
        </w:rPr>
      </w:pPr>
      <w:r>
        <w:rPr>
          <w:rFonts w:eastAsia="Times New Roman"/>
          <w:color w:val="000000"/>
          <w:spacing w:val="47"/>
          <w:sz w:val="23"/>
          <w:lang w:val="cs-CZ"/>
        </w:rPr>
        <w:t>Bankovní spojeni: 2699919/5500</w:t>
      </w:r>
    </w:p>
    <w:p w:rsidR="002505D3" w:rsidRDefault="00456A94">
      <w:pPr>
        <w:spacing w:before="42" w:line="275" w:lineRule="exact"/>
        <w:ind w:left="288"/>
        <w:textAlignment w:val="baseline"/>
        <w:rPr>
          <w:rFonts w:eastAsia="Times New Roman"/>
          <w:color w:val="000000"/>
          <w:spacing w:val="8"/>
          <w:sz w:val="23"/>
          <w:lang w:val="cs-CZ"/>
        </w:rPr>
      </w:pPr>
      <w:r>
        <w:rPr>
          <w:rFonts w:eastAsia="Times New Roman"/>
          <w:color w:val="000000"/>
          <w:spacing w:val="8"/>
          <w:sz w:val="23"/>
          <w:lang w:val="cs-CZ"/>
        </w:rPr>
        <w:t xml:space="preserve">Vedená u Městského soudu v Praze. </w:t>
      </w:r>
      <w:r w:rsidR="0041031C" w:rsidRPr="0041031C">
        <w:rPr>
          <w:rFonts w:eastAsia="Times New Roman"/>
          <w:b/>
          <w:color w:val="000000"/>
          <w:spacing w:val="8"/>
          <w:sz w:val="23"/>
          <w:highlight w:val="yellow"/>
          <w:lang w:val="cs-CZ"/>
        </w:rPr>
        <w:t>VYMAZÁNO</w:t>
      </w:r>
    </w:p>
    <w:p w:rsidR="002505D3" w:rsidRDefault="00456A94">
      <w:pPr>
        <w:spacing w:line="577" w:lineRule="exact"/>
        <w:ind w:left="288" w:right="2376"/>
        <w:textAlignment w:val="baseline"/>
        <w:rPr>
          <w:rFonts w:eastAsia="Times New Roman"/>
          <w:color w:val="000000"/>
          <w:spacing w:val="12"/>
          <w:sz w:val="23"/>
          <w:lang w:val="cs-CZ"/>
        </w:rPr>
      </w:pPr>
      <w:proofErr w:type="spellStart"/>
      <w:r>
        <w:rPr>
          <w:rFonts w:eastAsia="Times New Roman"/>
          <w:color w:val="000000"/>
          <w:spacing w:val="12"/>
          <w:sz w:val="23"/>
          <w:lang w:val="cs-CZ"/>
        </w:rPr>
        <w:t>Pixelfield</w:t>
      </w:r>
      <w:proofErr w:type="spellEnd"/>
      <w:r>
        <w:rPr>
          <w:rFonts w:eastAsia="Times New Roman"/>
          <w:color w:val="000000"/>
          <w:spacing w:val="12"/>
          <w:sz w:val="23"/>
          <w:lang w:val="cs-CZ"/>
        </w:rPr>
        <w:t xml:space="preserve"> (dále jen budoucí "</w:t>
      </w:r>
      <w:r>
        <w:rPr>
          <w:rFonts w:eastAsia="Times New Roman"/>
          <w:b/>
          <w:color w:val="000000"/>
          <w:spacing w:val="12"/>
          <w:sz w:val="23"/>
          <w:lang w:val="cs-CZ"/>
        </w:rPr>
        <w:t xml:space="preserve">příjemce dotace") </w:t>
      </w:r>
      <w:r>
        <w:rPr>
          <w:rFonts w:eastAsia="Times New Roman"/>
          <w:color w:val="000000"/>
          <w:spacing w:val="12"/>
          <w:sz w:val="23"/>
          <w:lang w:val="cs-CZ"/>
        </w:rPr>
        <w:t>na straně jedné a</w:t>
      </w:r>
    </w:p>
    <w:p w:rsidR="002505D3" w:rsidRDefault="00456A94">
      <w:pPr>
        <w:spacing w:before="364" w:line="275" w:lineRule="exact"/>
        <w:ind w:left="288"/>
        <w:textAlignment w:val="baseline"/>
        <w:rPr>
          <w:rFonts w:eastAsia="Times New Roman"/>
          <w:color w:val="000000"/>
          <w:spacing w:val="8"/>
          <w:sz w:val="23"/>
          <w:lang w:val="cs-CZ"/>
        </w:rPr>
      </w:pPr>
      <w:r>
        <w:rPr>
          <w:rFonts w:eastAsia="Times New Roman"/>
          <w:color w:val="000000"/>
          <w:spacing w:val="8"/>
          <w:sz w:val="23"/>
          <w:lang w:val="cs-CZ"/>
        </w:rPr>
        <w:t>Národní ústav duševního zdraví</w:t>
      </w:r>
    </w:p>
    <w:p w:rsidR="002505D3" w:rsidRDefault="00456A94">
      <w:pPr>
        <w:tabs>
          <w:tab w:val="left" w:pos="3096"/>
        </w:tabs>
        <w:spacing w:before="37" w:line="275" w:lineRule="exact"/>
        <w:ind w:left="288"/>
        <w:textAlignment w:val="baseline"/>
        <w:rPr>
          <w:rFonts w:eastAsia="Times New Roman"/>
          <w:color w:val="000000"/>
          <w:spacing w:val="5"/>
          <w:sz w:val="23"/>
          <w:lang w:val="cs-CZ"/>
        </w:rPr>
      </w:pPr>
      <w:r>
        <w:rPr>
          <w:rFonts w:eastAsia="Times New Roman"/>
          <w:color w:val="000000"/>
          <w:spacing w:val="5"/>
          <w:sz w:val="23"/>
          <w:lang w:val="cs-CZ"/>
        </w:rPr>
        <w:t>Sídlo:</w:t>
      </w:r>
      <w:r>
        <w:rPr>
          <w:rFonts w:eastAsia="Times New Roman"/>
          <w:color w:val="000000"/>
          <w:spacing w:val="5"/>
          <w:sz w:val="23"/>
          <w:lang w:val="cs-CZ"/>
        </w:rPr>
        <w:tab/>
        <w:t>Topolova 748. 250 67 Klecany ICO: 00023752</w:t>
      </w:r>
    </w:p>
    <w:p w:rsidR="002505D3" w:rsidRDefault="00456A94">
      <w:pPr>
        <w:tabs>
          <w:tab w:val="left" w:pos="3096"/>
        </w:tabs>
        <w:spacing w:before="42" w:line="275" w:lineRule="exact"/>
        <w:ind w:left="288"/>
        <w:textAlignment w:val="baseline"/>
        <w:rPr>
          <w:rFonts w:eastAsia="Times New Roman"/>
          <w:color w:val="000000"/>
          <w:spacing w:val="4"/>
          <w:sz w:val="23"/>
          <w:lang w:val="cs-CZ"/>
        </w:rPr>
      </w:pPr>
      <w:r>
        <w:rPr>
          <w:rFonts w:eastAsia="Times New Roman"/>
          <w:color w:val="000000"/>
          <w:spacing w:val="4"/>
          <w:sz w:val="23"/>
          <w:lang w:val="cs-CZ"/>
        </w:rPr>
        <w:t>DIČ:</w:t>
      </w:r>
      <w:r>
        <w:rPr>
          <w:rFonts w:eastAsia="Times New Roman"/>
          <w:color w:val="000000"/>
          <w:spacing w:val="4"/>
          <w:sz w:val="23"/>
          <w:lang w:val="cs-CZ"/>
        </w:rPr>
        <w:tab/>
        <w:t>CZ 00023752</w:t>
      </w:r>
    </w:p>
    <w:p w:rsidR="002505D3" w:rsidRDefault="00456A94">
      <w:pPr>
        <w:tabs>
          <w:tab w:val="left" w:pos="3096"/>
        </w:tabs>
        <w:spacing w:before="46" w:line="275" w:lineRule="exact"/>
        <w:ind w:left="288"/>
        <w:textAlignment w:val="baseline"/>
        <w:rPr>
          <w:rFonts w:eastAsia="Times New Roman"/>
          <w:color w:val="000000"/>
          <w:spacing w:val="4"/>
          <w:sz w:val="23"/>
          <w:lang w:val="cs-CZ"/>
        </w:rPr>
      </w:pPr>
      <w:r>
        <w:rPr>
          <w:rFonts w:eastAsia="Times New Roman"/>
          <w:color w:val="000000"/>
          <w:spacing w:val="4"/>
          <w:sz w:val="23"/>
          <w:lang w:val="cs-CZ"/>
        </w:rPr>
        <w:t>zastoupená:</w:t>
      </w:r>
      <w:r>
        <w:rPr>
          <w:rFonts w:eastAsia="Times New Roman"/>
          <w:color w:val="000000"/>
          <w:spacing w:val="4"/>
          <w:sz w:val="23"/>
          <w:lang w:val="cs-CZ"/>
        </w:rPr>
        <w:tab/>
        <w:t xml:space="preserve">prof. MUDr. Cyrilem </w:t>
      </w:r>
      <w:proofErr w:type="spellStart"/>
      <w:r>
        <w:rPr>
          <w:rFonts w:eastAsia="Times New Roman"/>
          <w:color w:val="000000"/>
          <w:spacing w:val="4"/>
          <w:sz w:val="23"/>
          <w:lang w:val="cs-CZ"/>
        </w:rPr>
        <w:t>FI</w:t>
      </w:r>
      <w:r>
        <w:rPr>
          <w:rFonts w:eastAsia="Times New Roman"/>
          <w:color w:val="000000"/>
          <w:spacing w:val="4"/>
          <w:sz w:val="23"/>
          <w:lang w:val="cs-CZ"/>
        </w:rPr>
        <w:t>ňschlem</w:t>
      </w:r>
      <w:proofErr w:type="spellEnd"/>
      <w:r>
        <w:rPr>
          <w:rFonts w:eastAsia="Times New Roman"/>
          <w:color w:val="000000"/>
          <w:spacing w:val="4"/>
          <w:sz w:val="23"/>
          <w:lang w:val="cs-CZ"/>
        </w:rPr>
        <w:t xml:space="preserve">. DrSc., </w:t>
      </w:r>
      <w:proofErr w:type="spellStart"/>
      <w:r>
        <w:rPr>
          <w:rFonts w:eastAsia="Times New Roman"/>
          <w:color w:val="000000"/>
          <w:spacing w:val="4"/>
          <w:sz w:val="23"/>
          <w:lang w:val="cs-CZ"/>
        </w:rPr>
        <w:t>FRCPsych</w:t>
      </w:r>
      <w:proofErr w:type="spellEnd"/>
      <w:r>
        <w:rPr>
          <w:rFonts w:eastAsia="Times New Roman"/>
          <w:color w:val="000000"/>
          <w:spacing w:val="4"/>
          <w:sz w:val="23"/>
          <w:lang w:val="cs-CZ"/>
        </w:rPr>
        <w:t>., ředitelem</w:t>
      </w:r>
    </w:p>
    <w:p w:rsidR="002505D3" w:rsidRDefault="00456A94">
      <w:pPr>
        <w:tabs>
          <w:tab w:val="left" w:pos="3096"/>
        </w:tabs>
        <w:spacing w:before="47" w:line="275" w:lineRule="exact"/>
        <w:ind w:left="288"/>
        <w:textAlignment w:val="baseline"/>
        <w:rPr>
          <w:rFonts w:eastAsia="Times New Roman"/>
          <w:color w:val="000000"/>
          <w:spacing w:val="3"/>
          <w:sz w:val="23"/>
          <w:lang w:val="cs-CZ"/>
        </w:rPr>
      </w:pPr>
      <w:r>
        <w:rPr>
          <w:rFonts w:eastAsia="Times New Roman"/>
          <w:color w:val="000000"/>
          <w:spacing w:val="3"/>
          <w:sz w:val="23"/>
          <w:lang w:val="cs-CZ"/>
        </w:rPr>
        <w:t>bankovní spojení:</w:t>
      </w:r>
      <w:r>
        <w:rPr>
          <w:rFonts w:eastAsia="Times New Roman"/>
          <w:color w:val="000000"/>
          <w:spacing w:val="3"/>
          <w:sz w:val="23"/>
          <w:lang w:val="cs-CZ"/>
        </w:rPr>
        <w:tab/>
        <w:t>25234081/0710</w:t>
      </w:r>
    </w:p>
    <w:p w:rsidR="002505D3" w:rsidRDefault="00456A94">
      <w:pPr>
        <w:spacing w:before="356" w:line="276" w:lineRule="exact"/>
        <w:ind w:left="288"/>
        <w:textAlignment w:val="baseline"/>
        <w:rPr>
          <w:rFonts w:eastAsia="Times New Roman"/>
          <w:color w:val="000000"/>
          <w:spacing w:val="13"/>
          <w:sz w:val="23"/>
          <w:lang w:val="cs-CZ"/>
        </w:rPr>
      </w:pPr>
      <w:r>
        <w:rPr>
          <w:rFonts w:eastAsia="Times New Roman"/>
          <w:color w:val="000000"/>
          <w:spacing w:val="13"/>
          <w:sz w:val="23"/>
          <w:lang w:val="cs-CZ"/>
        </w:rPr>
        <w:t xml:space="preserve">(dále jen </w:t>
      </w:r>
      <w:r>
        <w:rPr>
          <w:rFonts w:eastAsia="Times New Roman"/>
          <w:b/>
          <w:color w:val="000000"/>
          <w:spacing w:val="13"/>
          <w:sz w:val="23"/>
          <w:lang w:val="cs-CZ"/>
        </w:rPr>
        <w:t>"</w:t>
      </w:r>
      <w:proofErr w:type="spellStart"/>
      <w:r>
        <w:rPr>
          <w:rFonts w:eastAsia="Times New Roman"/>
          <w:b/>
          <w:color w:val="000000"/>
          <w:spacing w:val="13"/>
          <w:sz w:val="23"/>
          <w:lang w:val="cs-CZ"/>
        </w:rPr>
        <w:t>spolupříjem</w:t>
      </w:r>
      <w:proofErr w:type="spellEnd"/>
      <w:r>
        <w:rPr>
          <w:rFonts w:eastAsia="Times New Roman"/>
          <w:b/>
          <w:color w:val="000000"/>
          <w:spacing w:val="13"/>
          <w:sz w:val="23"/>
          <w:lang w:val="cs-CZ"/>
        </w:rPr>
        <w:t xml:space="preserve"> </w:t>
      </w:r>
      <w:proofErr w:type="spellStart"/>
      <w:r>
        <w:rPr>
          <w:rFonts w:eastAsia="Times New Roman"/>
          <w:b/>
          <w:i/>
          <w:color w:val="000000"/>
          <w:spacing w:val="13"/>
          <w:sz w:val="23"/>
          <w:lang w:val="cs-CZ"/>
        </w:rPr>
        <w:t>ce</w:t>
      </w:r>
      <w:proofErr w:type="spellEnd"/>
      <w:r>
        <w:rPr>
          <w:rFonts w:eastAsia="Times New Roman"/>
          <w:b/>
          <w:i/>
          <w:color w:val="000000"/>
          <w:spacing w:val="13"/>
          <w:sz w:val="23"/>
          <w:lang w:val="cs-CZ"/>
        </w:rPr>
        <w:t xml:space="preserve">") </w:t>
      </w:r>
      <w:r>
        <w:rPr>
          <w:rFonts w:eastAsia="Times New Roman"/>
          <w:color w:val="000000"/>
          <w:spacing w:val="13"/>
          <w:sz w:val="23"/>
          <w:lang w:val="cs-CZ"/>
        </w:rPr>
        <w:t>na straně druhé</w:t>
      </w:r>
    </w:p>
    <w:p w:rsidR="002505D3" w:rsidRDefault="00456A94">
      <w:pPr>
        <w:spacing w:before="677" w:line="275" w:lineRule="exact"/>
        <w:jc w:val="center"/>
        <w:textAlignment w:val="baseline"/>
        <w:rPr>
          <w:rFonts w:eastAsia="Times New Roman"/>
          <w:color w:val="000000"/>
          <w:spacing w:val="7"/>
          <w:sz w:val="23"/>
          <w:lang w:val="cs-CZ"/>
        </w:rPr>
      </w:pPr>
      <w:r>
        <w:rPr>
          <w:rFonts w:eastAsia="Times New Roman"/>
          <w:color w:val="000000"/>
          <w:spacing w:val="7"/>
          <w:sz w:val="23"/>
          <w:lang w:val="cs-CZ"/>
        </w:rPr>
        <w:t>Čl. 1. Předmět smlouvy</w:t>
      </w:r>
    </w:p>
    <w:p w:rsidR="002505D3" w:rsidRDefault="00456A94">
      <w:pPr>
        <w:spacing w:before="320" w:line="319" w:lineRule="exact"/>
        <w:ind w:left="288" w:hanging="288"/>
        <w:jc w:val="both"/>
        <w:textAlignment w:val="baseline"/>
        <w:rPr>
          <w:rFonts w:eastAsia="Times New Roman"/>
          <w:color w:val="000000"/>
          <w:spacing w:val="2"/>
          <w:sz w:val="23"/>
          <w:lang w:val="cs-CZ"/>
        </w:rPr>
      </w:pPr>
      <w:r>
        <w:rPr>
          <w:rFonts w:eastAsia="Times New Roman"/>
          <w:color w:val="000000"/>
          <w:spacing w:val="2"/>
          <w:sz w:val="23"/>
          <w:lang w:val="cs-CZ"/>
        </w:rPr>
        <w:t>1.1. Předmětem této smlouvy je stanovení podmínek pro realizaci grantového projektu „</w:t>
      </w:r>
      <w:proofErr w:type="spellStart"/>
      <w:r>
        <w:rPr>
          <w:rFonts w:eastAsia="Times New Roman"/>
          <w:color w:val="000000"/>
          <w:spacing w:val="2"/>
          <w:sz w:val="23"/>
          <w:lang w:val="cs-CZ"/>
        </w:rPr>
        <w:t>Alivio</w:t>
      </w:r>
      <w:proofErr w:type="spellEnd"/>
      <w:r>
        <w:rPr>
          <w:rFonts w:eastAsia="Times New Roman"/>
          <w:color w:val="000000"/>
          <w:spacing w:val="2"/>
          <w:sz w:val="23"/>
          <w:lang w:val="cs-CZ"/>
        </w:rPr>
        <w:t xml:space="preserve"> </w:t>
      </w:r>
      <w:r>
        <w:rPr>
          <w:rFonts w:eastAsia="Times New Roman"/>
          <w:color w:val="000000"/>
          <w:spacing w:val="2"/>
          <w:sz w:val="23"/>
          <w:lang w:val="cs-CZ"/>
        </w:rPr>
        <w:softHyphen/>
      </w:r>
      <w:r>
        <w:rPr>
          <w:rFonts w:eastAsia="Times New Roman"/>
          <w:color w:val="000000"/>
          <w:spacing w:val="2"/>
          <w:sz w:val="23"/>
          <w:lang w:val="cs-CZ"/>
        </w:rPr>
        <w:t>mobilní hra zmírňující příznaky OCD" (dále také jako „mobilní hra") č. projektu: TL03000637 (dále jen Projekt) poskytnutého Technologickou agenturou ČR (dále jen TAČR). Cílem uvedeného Projektu je spolupráce smluvních stran při získávání vědeckých a techni</w:t>
      </w:r>
      <w:r>
        <w:rPr>
          <w:rFonts w:eastAsia="Times New Roman"/>
          <w:color w:val="000000"/>
          <w:spacing w:val="2"/>
          <w:sz w:val="23"/>
          <w:lang w:val="cs-CZ"/>
        </w:rPr>
        <w:t xml:space="preserve">ckých </w:t>
      </w:r>
      <w:proofErr w:type="spellStart"/>
      <w:r>
        <w:rPr>
          <w:rFonts w:eastAsia="Times New Roman"/>
          <w:color w:val="000000"/>
          <w:spacing w:val="2"/>
          <w:sz w:val="23"/>
          <w:lang w:val="cs-CZ"/>
        </w:rPr>
        <w:t>poznatkú</w:t>
      </w:r>
      <w:proofErr w:type="spellEnd"/>
      <w:r>
        <w:rPr>
          <w:rFonts w:eastAsia="Times New Roman"/>
          <w:color w:val="000000"/>
          <w:spacing w:val="2"/>
          <w:sz w:val="23"/>
          <w:lang w:val="cs-CZ"/>
        </w:rPr>
        <w:t xml:space="preserve"> a podkladů.</w:t>
      </w:r>
    </w:p>
    <w:p w:rsidR="002505D3" w:rsidRDefault="00456A94">
      <w:pPr>
        <w:spacing w:line="317" w:lineRule="exact"/>
        <w:ind w:left="288" w:hanging="288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 xml:space="preserve">1.2. Finanční prostředky poskytuje příjemce </w:t>
      </w:r>
      <w:proofErr w:type="spellStart"/>
      <w:r>
        <w:rPr>
          <w:rFonts w:eastAsia="Times New Roman"/>
          <w:color w:val="000000"/>
          <w:sz w:val="23"/>
          <w:lang w:val="cs-CZ"/>
        </w:rPr>
        <w:t>spolupříjemci</w:t>
      </w:r>
      <w:proofErr w:type="spellEnd"/>
      <w:r>
        <w:rPr>
          <w:rFonts w:eastAsia="Times New Roman"/>
          <w:color w:val="000000"/>
          <w:sz w:val="23"/>
          <w:lang w:val="cs-CZ"/>
        </w:rPr>
        <w:t xml:space="preserve"> na základě této smlouvy výhradně za účelem jejich využití k dosažení cílů řešení části grantového Projektu v rozsahu, členění a za podmínek schválených poskytovatelem a v </w:t>
      </w:r>
      <w:r>
        <w:rPr>
          <w:rFonts w:eastAsia="Times New Roman"/>
          <w:color w:val="000000"/>
          <w:sz w:val="23"/>
          <w:lang w:val="cs-CZ"/>
        </w:rPr>
        <w:t xml:space="preserve">souladu se Závaznými parametry řešení projektu, které představují přílohu č. </w:t>
      </w:r>
      <w:r>
        <w:rPr>
          <w:rFonts w:eastAsia="Times New Roman"/>
          <w:b/>
          <w:color w:val="000000"/>
          <w:sz w:val="23"/>
          <w:lang w:val="cs-CZ"/>
        </w:rPr>
        <w:t xml:space="preserve">1 </w:t>
      </w:r>
      <w:r>
        <w:rPr>
          <w:rFonts w:eastAsia="Times New Roman"/>
          <w:color w:val="000000"/>
          <w:sz w:val="23"/>
          <w:lang w:val="cs-CZ"/>
        </w:rPr>
        <w:t>této smlouvy.</w:t>
      </w:r>
    </w:p>
    <w:p w:rsidR="002505D3" w:rsidRDefault="00456A94">
      <w:pPr>
        <w:spacing w:line="316" w:lineRule="exact"/>
        <w:ind w:left="288" w:hanging="288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1.3. Cíle grantového projektu, způsob řešení a předpokládané výsledky jsou uvedeny ve schváleném návrhu výše uvedeného grantového projektu č. TL03000637 (viz sekce</w:t>
      </w:r>
      <w:r>
        <w:rPr>
          <w:rFonts w:eastAsia="Times New Roman"/>
          <w:color w:val="000000"/>
          <w:sz w:val="23"/>
          <w:lang w:val="cs-CZ"/>
        </w:rPr>
        <w:t xml:space="preserve"> 5. VÝSTUPYNÝSLEDKY PROJEKTU), jehož originál je uložen u poskytovatele a jehož obsah a rozhodnutí poskytovatele o něm jsou pro smluvní strany závazné.</w:t>
      </w:r>
    </w:p>
    <w:p w:rsidR="002505D3" w:rsidRDefault="00456A94">
      <w:pPr>
        <w:spacing w:before="46" w:line="275" w:lineRule="exact"/>
        <w:jc w:val="both"/>
        <w:textAlignment w:val="baseline"/>
        <w:rPr>
          <w:rFonts w:eastAsia="Times New Roman"/>
          <w:color w:val="000000"/>
          <w:spacing w:val="4"/>
          <w:sz w:val="23"/>
          <w:lang w:val="cs-CZ"/>
        </w:rPr>
      </w:pPr>
      <w:r>
        <w:rPr>
          <w:rFonts w:eastAsia="Times New Roman"/>
          <w:color w:val="000000"/>
          <w:spacing w:val="4"/>
          <w:sz w:val="23"/>
          <w:lang w:val="cs-CZ"/>
        </w:rPr>
        <w:t>1.4. Příjemce dotace se na řešení projektu bude podílet zejména takto:</w:t>
      </w:r>
    </w:p>
    <w:p w:rsidR="002505D3" w:rsidRDefault="002505D3">
      <w:pPr>
        <w:sectPr w:rsidR="002505D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3" w:h="16843"/>
          <w:pgMar w:top="1700" w:right="1429" w:bottom="1007" w:left="1114" w:header="720" w:footer="720" w:gutter="0"/>
          <w:cols w:space="708"/>
        </w:sectPr>
      </w:pP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line="293" w:lineRule="exact"/>
        <w:ind w:left="1296" w:right="936" w:hanging="360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lastRenderedPageBreak/>
        <w:t>Je odpov</w:t>
      </w:r>
      <w:r>
        <w:rPr>
          <w:rFonts w:eastAsia="Times New Roman"/>
          <w:color w:val="000000"/>
          <w:sz w:val="23"/>
          <w:lang w:val="cs-CZ"/>
        </w:rPr>
        <w:t>ědný za vývoj hry určené pro lidi s příznaky obsedantně kompulzivní poruchy, a za tvorbu grafického designu hry a jeho funkční realizaci.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15" w:line="319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Odpovídá za technické řešení administrace dotazníků (např. odborné škály Y-BOCS) v rámci vyvíjené hry.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34" w:line="302" w:lineRule="exact"/>
        <w:ind w:left="1296" w:hanging="360"/>
        <w:jc w:val="both"/>
        <w:textAlignment w:val="baseline"/>
        <w:rPr>
          <w:rFonts w:eastAsia="Times New Roman"/>
          <w:color w:val="000000"/>
          <w:spacing w:val="3"/>
          <w:sz w:val="23"/>
          <w:lang w:val="cs-CZ"/>
        </w:rPr>
      </w:pPr>
      <w:r>
        <w:rPr>
          <w:rFonts w:eastAsia="Times New Roman"/>
          <w:color w:val="000000"/>
          <w:spacing w:val="3"/>
          <w:sz w:val="23"/>
          <w:lang w:val="cs-CZ"/>
        </w:rPr>
        <w:t>Odpovídá za úpr</w:t>
      </w:r>
      <w:r>
        <w:rPr>
          <w:rFonts w:eastAsia="Times New Roman"/>
          <w:color w:val="000000"/>
          <w:spacing w:val="3"/>
          <w:sz w:val="23"/>
          <w:lang w:val="cs-CZ"/>
        </w:rPr>
        <w:t>avu prototypu hry podle připomínek a návrhů spolu příjemce.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12" w:line="320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Odpovídá za technickou a softwarovou přípravu vyvíjené aplikace pro testování prováděné spolu příjemcem — NÚDZ.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15" w:line="318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Odpovídá za úpravu herní mechaniky a designu podle testování pilotní verze spolu pří</w:t>
      </w:r>
      <w:r>
        <w:rPr>
          <w:rFonts w:eastAsia="Times New Roman"/>
          <w:color w:val="000000"/>
          <w:sz w:val="23"/>
          <w:lang w:val="cs-CZ"/>
        </w:rPr>
        <w:t>jemcem — NÚDZ.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22" w:line="314" w:lineRule="exact"/>
        <w:ind w:left="1296" w:right="720" w:hanging="360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 xml:space="preserve">Odpovídá za administrativní činnost související s řešením projektu za příjemce — </w:t>
      </w:r>
      <w:proofErr w:type="spellStart"/>
      <w:r>
        <w:rPr>
          <w:rFonts w:eastAsia="Times New Roman"/>
          <w:color w:val="000000"/>
          <w:sz w:val="23"/>
          <w:lang w:val="cs-CZ"/>
        </w:rPr>
        <w:t>Pixelfield</w:t>
      </w:r>
      <w:proofErr w:type="spellEnd"/>
      <w:r>
        <w:rPr>
          <w:rFonts w:eastAsia="Times New Roman"/>
          <w:color w:val="000000"/>
          <w:sz w:val="23"/>
          <w:lang w:val="cs-CZ"/>
        </w:rPr>
        <w:t>.</w:t>
      </w:r>
    </w:p>
    <w:p w:rsidR="002505D3" w:rsidRDefault="00456A94">
      <w:pPr>
        <w:spacing w:before="321" w:line="319" w:lineRule="exact"/>
        <w:ind w:left="1296" w:right="144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přičemž výše uvedené povinnosti příjemce jsou blíže specifikovány v návrhu výše uvedeného grafitového projektu č. TL03000637.</w:t>
      </w:r>
    </w:p>
    <w:p w:rsidR="002505D3" w:rsidRDefault="00456A94">
      <w:pPr>
        <w:spacing w:before="357" w:line="276" w:lineRule="exact"/>
        <w:ind w:left="216"/>
        <w:textAlignment w:val="baseline"/>
        <w:rPr>
          <w:rFonts w:eastAsia="Times New Roman"/>
          <w:color w:val="000000"/>
          <w:spacing w:val="3"/>
          <w:sz w:val="23"/>
          <w:lang w:val="cs-CZ"/>
        </w:rPr>
      </w:pPr>
      <w:r>
        <w:rPr>
          <w:rFonts w:eastAsia="Times New Roman"/>
          <w:color w:val="000000"/>
          <w:spacing w:val="3"/>
          <w:sz w:val="23"/>
          <w:lang w:val="cs-CZ"/>
        </w:rPr>
        <w:t xml:space="preserve">L5. </w:t>
      </w:r>
      <w:proofErr w:type="spellStart"/>
      <w:r>
        <w:rPr>
          <w:rFonts w:eastAsia="Times New Roman"/>
          <w:color w:val="000000"/>
          <w:spacing w:val="3"/>
          <w:sz w:val="23"/>
          <w:lang w:val="cs-CZ"/>
        </w:rPr>
        <w:t>Spolup</w:t>
      </w:r>
      <w:r>
        <w:rPr>
          <w:rFonts w:eastAsia="Times New Roman"/>
          <w:color w:val="000000"/>
          <w:spacing w:val="3"/>
          <w:sz w:val="23"/>
          <w:lang w:val="cs-CZ"/>
        </w:rPr>
        <w:t>řijemce</w:t>
      </w:r>
      <w:proofErr w:type="spellEnd"/>
      <w:r>
        <w:rPr>
          <w:rFonts w:eastAsia="Times New Roman"/>
          <w:color w:val="000000"/>
          <w:spacing w:val="3"/>
          <w:sz w:val="23"/>
          <w:lang w:val="cs-CZ"/>
        </w:rPr>
        <w:t xml:space="preserve"> se na řešení projektu bude podílet takto: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20" w:line="317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Bude s příjemcem spolupracovat na tvorbě návrhů hry pro subjekty s obsedantně kompulzivními příznaky tak, aby hra byla postavena na principech kognitivně behaviorální terapie.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19" w:line="318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Odpovídá za testování prototypu hry a pilotních verzí her a na podkladě výsledků předběžného testování poskytuje spolu příjemci zpětnou vazbu pro další úpravy a vylepšení her.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14" w:line="319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Spolu s příjemcem odpovídá za nábor účastníků hry pro studii přínosnosti hry pro</w:t>
      </w:r>
      <w:r>
        <w:rPr>
          <w:rFonts w:eastAsia="Times New Roman"/>
          <w:color w:val="000000"/>
          <w:sz w:val="23"/>
          <w:lang w:val="cs-CZ"/>
        </w:rPr>
        <w:t xml:space="preserve"> subjekty s obsedantně kompulzivními příznaky.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33" w:line="302" w:lineRule="exact"/>
        <w:ind w:left="1296" w:hanging="360"/>
        <w:jc w:val="both"/>
        <w:textAlignment w:val="baseline"/>
        <w:rPr>
          <w:rFonts w:eastAsia="Times New Roman"/>
          <w:color w:val="000000"/>
          <w:spacing w:val="2"/>
          <w:sz w:val="23"/>
          <w:lang w:val="cs-CZ"/>
        </w:rPr>
      </w:pPr>
      <w:r>
        <w:rPr>
          <w:rFonts w:eastAsia="Times New Roman"/>
          <w:color w:val="000000"/>
          <w:spacing w:val="2"/>
          <w:sz w:val="23"/>
          <w:lang w:val="cs-CZ"/>
        </w:rPr>
        <w:t>Odpovídá za analýzu výsledků testování hry a jejich prezentaci.</w:t>
      </w:r>
    </w:p>
    <w:p w:rsidR="002505D3" w:rsidRDefault="00456A94">
      <w:pPr>
        <w:numPr>
          <w:ilvl w:val="0"/>
          <w:numId w:val="1"/>
        </w:numPr>
        <w:tabs>
          <w:tab w:val="clear" w:pos="360"/>
          <w:tab w:val="left" w:pos="1296"/>
        </w:tabs>
        <w:spacing w:before="11" w:line="323" w:lineRule="exact"/>
        <w:ind w:left="1296" w:right="144" w:hanging="360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 xml:space="preserve">Odpovídá za administrativní činnost související s řešením projektu za spolu </w:t>
      </w:r>
      <w:proofErr w:type="gramStart"/>
      <w:r>
        <w:rPr>
          <w:rFonts w:eastAsia="Times New Roman"/>
          <w:color w:val="000000"/>
          <w:sz w:val="23"/>
          <w:lang w:val="cs-CZ"/>
        </w:rPr>
        <w:t>příjemce</w:t>
      </w:r>
      <w:proofErr w:type="gramEnd"/>
      <w:r>
        <w:rPr>
          <w:rFonts w:eastAsia="Times New Roman"/>
          <w:color w:val="000000"/>
          <w:sz w:val="23"/>
          <w:lang w:val="cs-CZ"/>
        </w:rPr>
        <w:t xml:space="preserve"> —</w:t>
      </w:r>
      <w:proofErr w:type="gramStart"/>
      <w:r>
        <w:rPr>
          <w:rFonts w:eastAsia="Times New Roman"/>
          <w:color w:val="000000"/>
          <w:sz w:val="23"/>
          <w:lang w:val="cs-CZ"/>
        </w:rPr>
        <w:t>NÚDZ</w:t>
      </w:r>
      <w:proofErr w:type="gramEnd"/>
      <w:r>
        <w:rPr>
          <w:rFonts w:eastAsia="Times New Roman"/>
          <w:color w:val="000000"/>
          <w:sz w:val="23"/>
          <w:lang w:val="cs-CZ"/>
        </w:rPr>
        <w:t>.</w:t>
      </w:r>
    </w:p>
    <w:p w:rsidR="002505D3" w:rsidRDefault="00456A94">
      <w:pPr>
        <w:spacing w:before="311" w:line="321" w:lineRule="exact"/>
        <w:ind w:left="1296" w:right="144"/>
        <w:jc w:val="both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p</w:t>
      </w:r>
      <w:r>
        <w:rPr>
          <w:rFonts w:eastAsia="Times New Roman"/>
          <w:color w:val="000000"/>
          <w:sz w:val="23"/>
          <w:lang w:val="cs-CZ"/>
        </w:rPr>
        <w:t xml:space="preserve">řičemž výše uvedené povinnosti </w:t>
      </w:r>
      <w:proofErr w:type="spellStart"/>
      <w:r>
        <w:rPr>
          <w:rFonts w:eastAsia="Times New Roman"/>
          <w:color w:val="000000"/>
          <w:sz w:val="23"/>
          <w:lang w:val="cs-CZ"/>
        </w:rPr>
        <w:t>spolupříjemce</w:t>
      </w:r>
      <w:proofErr w:type="spellEnd"/>
      <w:r>
        <w:rPr>
          <w:rFonts w:eastAsia="Times New Roman"/>
          <w:color w:val="000000"/>
          <w:sz w:val="23"/>
          <w:lang w:val="cs-CZ"/>
        </w:rPr>
        <w:t xml:space="preserve"> jsou blíže specifikovány v návrhu výše uvedeného grantového projektu č. TL03000637.</w:t>
      </w:r>
    </w:p>
    <w:p w:rsidR="002505D3" w:rsidRDefault="00456A94">
      <w:pPr>
        <w:spacing w:before="995" w:line="276" w:lineRule="exact"/>
        <w:jc w:val="center"/>
        <w:textAlignment w:val="baseline"/>
        <w:rPr>
          <w:rFonts w:eastAsia="Times New Roman"/>
          <w:color w:val="000000"/>
          <w:spacing w:val="11"/>
          <w:sz w:val="23"/>
          <w:lang w:val="cs-CZ"/>
        </w:rPr>
      </w:pPr>
      <w:r>
        <w:rPr>
          <w:rFonts w:eastAsia="Times New Roman"/>
          <w:color w:val="000000"/>
          <w:spacing w:val="11"/>
          <w:sz w:val="23"/>
          <w:lang w:val="cs-CZ"/>
        </w:rPr>
        <w:t>Čl. 2. Určení doby uzavření smlouvy</w:t>
      </w:r>
    </w:p>
    <w:p w:rsidR="002505D3" w:rsidRDefault="00456A94">
      <w:pPr>
        <w:spacing w:before="321" w:line="314" w:lineRule="exact"/>
        <w:ind w:left="504" w:right="144" w:hanging="504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 xml:space="preserve">2. 1. Spolupráce mezi </w:t>
      </w:r>
      <w:proofErr w:type="spellStart"/>
      <w:r>
        <w:rPr>
          <w:rFonts w:eastAsia="Times New Roman"/>
          <w:color w:val="000000"/>
          <w:sz w:val="23"/>
          <w:lang w:val="cs-CZ"/>
        </w:rPr>
        <w:t>smlu‘ními</w:t>
      </w:r>
      <w:proofErr w:type="spellEnd"/>
      <w:r>
        <w:rPr>
          <w:rFonts w:eastAsia="Times New Roman"/>
          <w:color w:val="000000"/>
          <w:sz w:val="23"/>
          <w:lang w:val="cs-CZ"/>
        </w:rPr>
        <w:t xml:space="preserve"> stranami při realizaci projektu bude probíhat v období od 1</w:t>
      </w:r>
      <w:r>
        <w:rPr>
          <w:rFonts w:eastAsia="Times New Roman"/>
          <w:color w:val="000000"/>
          <w:sz w:val="23"/>
          <w:lang w:val="cs-CZ"/>
        </w:rPr>
        <w:t>. 4. 2020 do 31. 3. 9022.</w:t>
      </w:r>
    </w:p>
    <w:p w:rsidR="002505D3" w:rsidRDefault="00456A94">
      <w:pPr>
        <w:spacing w:before="362" w:line="276" w:lineRule="exact"/>
        <w:jc w:val="center"/>
        <w:textAlignment w:val="baseline"/>
        <w:rPr>
          <w:rFonts w:eastAsia="Times New Roman"/>
          <w:color w:val="000000"/>
          <w:spacing w:val="5"/>
          <w:sz w:val="23"/>
          <w:lang w:val="cs-CZ"/>
        </w:rPr>
      </w:pPr>
      <w:r>
        <w:rPr>
          <w:rFonts w:eastAsia="Times New Roman"/>
          <w:color w:val="000000"/>
          <w:spacing w:val="5"/>
          <w:sz w:val="23"/>
          <w:lang w:val="cs-CZ"/>
        </w:rPr>
        <w:t>Čl. 3. Finanční prostředky</w:t>
      </w:r>
    </w:p>
    <w:p w:rsidR="002505D3" w:rsidRDefault="00456A94">
      <w:pPr>
        <w:spacing w:before="317" w:line="317" w:lineRule="exact"/>
        <w:ind w:left="504" w:right="144" w:hanging="504"/>
        <w:jc w:val="both"/>
        <w:textAlignment w:val="baseline"/>
        <w:rPr>
          <w:rFonts w:eastAsia="Times New Roman"/>
          <w:color w:val="000000"/>
          <w:spacing w:val="3"/>
          <w:sz w:val="23"/>
          <w:lang w:val="cs-CZ"/>
        </w:rPr>
      </w:pPr>
      <w:r>
        <w:rPr>
          <w:rFonts w:eastAsia="Times New Roman"/>
          <w:color w:val="000000"/>
          <w:spacing w:val="3"/>
          <w:sz w:val="23"/>
          <w:lang w:val="cs-CZ"/>
        </w:rPr>
        <w:t xml:space="preserve">3.1. Financováni prací na projektu se řídí pravidly financování z účelových prostředku poskytnutých formou účelové podpory (dále dotace) podle zákona Č. 130/2002 Sb., o podpoře výzkumu. </w:t>
      </w:r>
      <w:proofErr w:type="gramStart"/>
      <w:r>
        <w:rPr>
          <w:rFonts w:eastAsia="Times New Roman"/>
          <w:color w:val="000000"/>
          <w:spacing w:val="3"/>
          <w:sz w:val="23"/>
          <w:lang w:val="cs-CZ"/>
        </w:rPr>
        <w:t>experimentálního</w:t>
      </w:r>
      <w:proofErr w:type="gramEnd"/>
      <w:r>
        <w:rPr>
          <w:rFonts w:eastAsia="Times New Roman"/>
          <w:color w:val="000000"/>
          <w:spacing w:val="3"/>
          <w:sz w:val="23"/>
          <w:lang w:val="cs-CZ"/>
        </w:rPr>
        <w:t xml:space="preserve"> </w:t>
      </w:r>
      <w:r>
        <w:rPr>
          <w:rFonts w:eastAsia="Times New Roman"/>
          <w:color w:val="000000"/>
          <w:spacing w:val="3"/>
          <w:sz w:val="23"/>
          <w:lang w:val="cs-CZ"/>
        </w:rPr>
        <w:t>vývoje a inovací z veřejných prostředku a dále zákonem o DPII č. 235/2004 Sb.</w:t>
      </w:r>
    </w:p>
    <w:p w:rsidR="002505D3" w:rsidRDefault="002505D3">
      <w:pPr>
        <w:sectPr w:rsidR="002505D3">
          <w:pgSz w:w="11923" w:h="16843"/>
          <w:pgMar w:top="1200" w:right="1329" w:bottom="1127" w:left="874" w:header="720" w:footer="720" w:gutter="0"/>
          <w:cols w:space="708"/>
        </w:sectPr>
      </w:pPr>
    </w:p>
    <w:p w:rsidR="002505D3" w:rsidRDefault="00456A94">
      <w:pPr>
        <w:spacing w:line="316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lastRenderedPageBreak/>
        <w:t xml:space="preserve">3.2. Převod finančních prostředků specifikovaných v projektové přihlášce se nepovažuje za úplatu za uskutečněné zdanitelné </w:t>
      </w:r>
      <w:proofErr w:type="spellStart"/>
      <w:r>
        <w:rPr>
          <w:rFonts w:eastAsia="Times New Roman"/>
          <w:color w:val="000000"/>
          <w:sz w:val="24"/>
          <w:lang w:val="cs-CZ"/>
        </w:rPr>
        <w:t>pinění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a není tedy předmětem DPH.</w:t>
      </w:r>
    </w:p>
    <w:p w:rsidR="002505D3" w:rsidRDefault="00456A94">
      <w:pPr>
        <w:spacing w:line="318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3.3. V případě, že ze strany poskytovatele TAČR dojde ke krácení výše poskytnuté dotace příjemci, bude celková č á </w:t>
      </w:r>
      <w:proofErr w:type="spellStart"/>
      <w:r>
        <w:rPr>
          <w:rFonts w:eastAsia="Times New Roman"/>
          <w:color w:val="000000"/>
          <w:sz w:val="24"/>
          <w:lang w:val="cs-CZ"/>
        </w:rPr>
        <w:t>stka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snížena ve stejném poměru. </w:t>
      </w:r>
      <w:proofErr w:type="gramStart"/>
      <w:r>
        <w:rPr>
          <w:rFonts w:eastAsia="Times New Roman"/>
          <w:color w:val="000000"/>
          <w:sz w:val="24"/>
          <w:lang w:val="cs-CZ"/>
        </w:rPr>
        <w:t>jako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činí krácení ze strany poskytovatele příjemci.</w:t>
      </w:r>
    </w:p>
    <w:p w:rsidR="002505D3" w:rsidRDefault="00456A94">
      <w:pPr>
        <w:spacing w:after="320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pacing w:val="-8"/>
          <w:sz w:val="24"/>
          <w:lang w:val="cs-CZ"/>
        </w:rPr>
      </w:pPr>
      <w:r>
        <w:rPr>
          <w:rFonts w:eastAsia="Times New Roman"/>
          <w:color w:val="000000"/>
          <w:spacing w:val="-8"/>
          <w:sz w:val="24"/>
          <w:lang w:val="cs-CZ"/>
        </w:rPr>
        <w:t xml:space="preserve">3.4. Na řešení </w:t>
      </w:r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věcné </w:t>
      </w:r>
      <w:proofErr w:type="spellStart"/>
      <w:r>
        <w:rPr>
          <w:rFonts w:eastAsia="Times New Roman"/>
          <w:b/>
          <w:color w:val="000000"/>
          <w:spacing w:val="-8"/>
          <w:sz w:val="24"/>
          <w:lang w:val="cs-CZ"/>
        </w:rPr>
        <w:t>nápině</w:t>
      </w:r>
      <w:proofErr w:type="spellEnd"/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 části grantového projektu bud</w:t>
      </w:r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ou příjemcem poskytnuty spolu příjemci finanční prostředky za roky 2020-2022 ve výši dle kapitoly 7 — Náklady, přílohy č. 1 Závazné parametry, v části Další účastník — Národní ústav duševního zdraví, řádek „Výše podpory" v jednotlivých letech. Zde uvedené </w:t>
      </w:r>
      <w:r>
        <w:rPr>
          <w:rFonts w:eastAsia="Times New Roman"/>
          <w:b/>
          <w:color w:val="000000"/>
          <w:spacing w:val="-8"/>
          <w:sz w:val="24"/>
          <w:lang w:val="cs-CZ"/>
        </w:rPr>
        <w:t>částky mohou být změněny na základě rozhodnutí poskytovatele dotace.</w:t>
      </w: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266"/>
        <w:gridCol w:w="2117"/>
        <w:gridCol w:w="2266"/>
      </w:tblGrid>
      <w:tr w:rsidR="002505D3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906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before="187" w:after="178" w:line="278" w:lineRule="exact"/>
              <w:ind w:left="1020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Rozloženi části dotace spolu příjemci v jednotlivých letech realizace</w:t>
            </w:r>
          </w:p>
        </w:tc>
      </w:tr>
      <w:tr w:rsidR="002505D3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27" w:line="27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color w:val="000000"/>
                <w:sz w:val="24"/>
                <w:lang w:val="cs-CZ"/>
              </w:rPr>
              <w:t>Výše podpory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27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2020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23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2021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26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2022</w:t>
            </w:r>
          </w:p>
        </w:tc>
      </w:tr>
      <w:tr w:rsidR="002505D3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3" w:line="278" w:lineRule="exact"/>
              <w:ind w:left="120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Aplikovaný výzkum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2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490.800,8 Kč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1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644.042,7 Kč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5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144.267,2 Kč</w:t>
            </w:r>
          </w:p>
        </w:tc>
      </w:tr>
      <w:tr w:rsidR="002505D3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4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2" w:line="278" w:lineRule="exact"/>
              <w:ind w:left="120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Experimentální vývoj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2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210.343,2 Kč</w:t>
            </w:r>
          </w:p>
        </w:tc>
        <w:tc>
          <w:tcPr>
            <w:tcW w:w="21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5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276.018,3 Kč</w:t>
            </w:r>
          </w:p>
        </w:tc>
        <w:tc>
          <w:tcPr>
            <w:tcW w:w="22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05D3" w:rsidRDefault="00456A94">
            <w:pPr>
              <w:spacing w:after="34" w:line="278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val="cs-CZ"/>
              </w:rPr>
            </w:pPr>
            <w:r>
              <w:rPr>
                <w:rFonts w:eastAsia="Times New Roman"/>
                <w:b/>
                <w:color w:val="000000"/>
                <w:sz w:val="24"/>
                <w:lang w:val="cs-CZ"/>
              </w:rPr>
              <w:t>61.828,8 Kč</w:t>
            </w:r>
          </w:p>
        </w:tc>
      </w:tr>
    </w:tbl>
    <w:p w:rsidR="002505D3" w:rsidRDefault="002505D3">
      <w:pPr>
        <w:spacing w:after="262" w:line="20" w:lineRule="exact"/>
      </w:pPr>
    </w:p>
    <w:p w:rsidR="002505D3" w:rsidRDefault="00456A94">
      <w:pPr>
        <w:spacing w:line="319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pacing w:val="-8"/>
          <w:sz w:val="24"/>
          <w:lang w:val="cs-CZ"/>
        </w:rPr>
      </w:pPr>
      <w:r>
        <w:rPr>
          <w:rFonts w:eastAsia="Times New Roman"/>
          <w:b/>
          <w:color w:val="000000"/>
          <w:spacing w:val="-8"/>
          <w:sz w:val="24"/>
          <w:lang w:val="cs-CZ"/>
        </w:rPr>
        <w:t>3.5. Grantové prost</w:t>
      </w:r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ředky na řešení části grantového projektu v každém roce jeho trvání budou příjemcem převedeny spolu příjemci do 30 dnů od okamžiku, kdy příjemce obdrží grantové prostředky na svůj bankovní účet. Příjemce si vyhrazuje právo neposkytnout finanční prostředky </w:t>
      </w:r>
      <w:r>
        <w:rPr>
          <w:rFonts w:eastAsia="Times New Roman"/>
          <w:b/>
          <w:color w:val="000000"/>
          <w:spacing w:val="-8"/>
          <w:sz w:val="24"/>
          <w:lang w:val="cs-CZ"/>
        </w:rPr>
        <w:t>ve lhůtě podle tohoto odstavce, a to v rozsahu odpovídajícím prokázanému porušení povinností spolu příjemce dle této smlouvy.</w:t>
      </w:r>
    </w:p>
    <w:p w:rsidR="002505D3" w:rsidRDefault="00456A94">
      <w:pPr>
        <w:spacing w:before="313" w:line="319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 xml:space="preserve">3.6. </w:t>
      </w:r>
      <w:proofErr w:type="spellStart"/>
      <w:r>
        <w:rPr>
          <w:rFonts w:eastAsia="Times New Roman"/>
          <w:b/>
          <w:color w:val="000000"/>
          <w:sz w:val="24"/>
          <w:lang w:val="cs-CZ"/>
        </w:rPr>
        <w:t>Spolupříjemce</w:t>
      </w:r>
      <w:proofErr w:type="spellEnd"/>
      <w:r>
        <w:rPr>
          <w:rFonts w:eastAsia="Times New Roman"/>
          <w:b/>
          <w:color w:val="000000"/>
          <w:sz w:val="24"/>
          <w:lang w:val="cs-CZ"/>
        </w:rPr>
        <w:t xml:space="preserve"> je při </w:t>
      </w:r>
      <w:proofErr w:type="spellStart"/>
      <w:r>
        <w:rPr>
          <w:rFonts w:eastAsia="Times New Roman"/>
          <w:b/>
          <w:color w:val="000000"/>
          <w:sz w:val="24"/>
          <w:lang w:val="cs-CZ"/>
        </w:rPr>
        <w:t>pinění</w:t>
      </w:r>
      <w:proofErr w:type="spellEnd"/>
      <w:r>
        <w:rPr>
          <w:rFonts w:eastAsia="Times New Roman"/>
          <w:b/>
          <w:color w:val="000000"/>
          <w:sz w:val="24"/>
          <w:lang w:val="cs-CZ"/>
        </w:rPr>
        <w:t xml:space="preserve"> svých povinností dle této smlouvy povinen postupovat v souladu se Všeobecnými podmínkami v aktuál</w:t>
      </w:r>
      <w:r>
        <w:rPr>
          <w:rFonts w:eastAsia="Times New Roman"/>
          <w:b/>
          <w:color w:val="000000"/>
          <w:sz w:val="24"/>
          <w:lang w:val="cs-CZ"/>
        </w:rPr>
        <w:t>ně platné verzi, které představuji přílohu č. 2 této smlouvy.</w:t>
      </w:r>
    </w:p>
    <w:p w:rsidR="002505D3" w:rsidRDefault="00456A94">
      <w:pPr>
        <w:spacing w:before="311" w:line="319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pacing w:val="-7"/>
          <w:sz w:val="24"/>
          <w:lang w:val="cs-CZ"/>
        </w:rPr>
      </w:pPr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3.7 </w:t>
      </w:r>
      <w:proofErr w:type="spellStart"/>
      <w:r>
        <w:rPr>
          <w:rFonts w:eastAsia="Times New Roman"/>
          <w:b/>
          <w:color w:val="000000"/>
          <w:spacing w:val="-7"/>
          <w:sz w:val="24"/>
          <w:lang w:val="cs-CZ"/>
        </w:rPr>
        <w:t>Spolupříjemce</w:t>
      </w:r>
      <w:proofErr w:type="spellEnd"/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 podpisem této smlouvy výslovně potvrzuje, že se seznámil s obsahem povinností příjemce vůči poskytovateli uvedených ve Smlouvě o poskytnutí podpory ze dne 1. 4. 2020 a že je be</w:t>
      </w:r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re na vědomí. V případě, že spolu příjemce svým jednáním způsobí, že příjemce nebude schopen </w:t>
      </w:r>
      <w:proofErr w:type="spellStart"/>
      <w:r>
        <w:rPr>
          <w:rFonts w:eastAsia="Times New Roman"/>
          <w:b/>
          <w:color w:val="000000"/>
          <w:spacing w:val="-7"/>
          <w:sz w:val="24"/>
          <w:lang w:val="cs-CZ"/>
        </w:rPr>
        <w:t>spinit</w:t>
      </w:r>
      <w:proofErr w:type="spellEnd"/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 veškeré své povinnosti vůči poskytovateli dle Všeobecných podmínek a dle Smlouvy o poskytnutí podpory ze dne 1. 4. 2020 uzavřené mezi příjemcem a poskytovat</w:t>
      </w:r>
      <w:r>
        <w:rPr>
          <w:rFonts w:eastAsia="Times New Roman"/>
          <w:b/>
          <w:color w:val="000000"/>
          <w:spacing w:val="-7"/>
          <w:sz w:val="24"/>
          <w:lang w:val="cs-CZ"/>
        </w:rPr>
        <w:t>elem, má vůči němu příjemce nárok na náhradu jakékoliv škody či újmy, která mu v důsledku takového pochybení spolu příjemce vznikne.</w:t>
      </w:r>
    </w:p>
    <w:p w:rsidR="002505D3" w:rsidRDefault="00456A94">
      <w:pPr>
        <w:spacing w:before="634" w:line="319" w:lineRule="exact"/>
        <w:jc w:val="center"/>
        <w:textAlignment w:val="baseline"/>
        <w:rPr>
          <w:rFonts w:eastAsia="Times New Roman"/>
          <w:b/>
          <w:color w:val="000000"/>
          <w:spacing w:val="-5"/>
          <w:sz w:val="20"/>
          <w:lang w:val="cs-CZ"/>
        </w:rPr>
      </w:pPr>
      <w:r>
        <w:rPr>
          <w:rFonts w:eastAsia="Times New Roman"/>
          <w:b/>
          <w:color w:val="000000"/>
          <w:spacing w:val="-5"/>
          <w:sz w:val="20"/>
          <w:lang w:val="cs-CZ"/>
        </w:rPr>
        <w:t xml:space="preserve">ČI. </w:t>
      </w:r>
      <w:r>
        <w:rPr>
          <w:rFonts w:eastAsia="Times New Roman"/>
          <w:b/>
          <w:color w:val="000000"/>
          <w:spacing w:val="-5"/>
          <w:sz w:val="24"/>
          <w:lang w:val="cs-CZ"/>
        </w:rPr>
        <w:t>4. Podmínky použití poskytnutých účelových finančních prostředků</w:t>
      </w:r>
    </w:p>
    <w:p w:rsidR="002505D3" w:rsidRDefault="00456A94">
      <w:pPr>
        <w:spacing w:before="316" w:line="319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4.1. Pro použití poskytnutých grantových prostředků ze</w:t>
      </w:r>
      <w:r>
        <w:rPr>
          <w:rFonts w:eastAsia="Times New Roman"/>
          <w:b/>
          <w:color w:val="000000"/>
          <w:sz w:val="24"/>
          <w:lang w:val="cs-CZ"/>
        </w:rPr>
        <w:t xml:space="preserve"> státního rozpočtu se stanoví tyto podmínky a spolu příjemce podpisem této smlouvy přejímá tyto povinnosti:</w:t>
      </w:r>
    </w:p>
    <w:p w:rsidR="002505D3" w:rsidRDefault="00456A94">
      <w:pPr>
        <w:spacing w:before="42" w:line="278" w:lineRule="exact"/>
        <w:ind w:left="144"/>
        <w:jc w:val="both"/>
        <w:textAlignment w:val="baseline"/>
        <w:rPr>
          <w:rFonts w:eastAsia="Times New Roman"/>
          <w:b/>
          <w:color w:val="000000"/>
          <w:spacing w:val="-5"/>
          <w:sz w:val="24"/>
          <w:lang w:val="cs-CZ"/>
        </w:rPr>
      </w:pPr>
      <w:r>
        <w:rPr>
          <w:rFonts w:eastAsia="Times New Roman"/>
          <w:b/>
          <w:color w:val="000000"/>
          <w:spacing w:val="-5"/>
          <w:sz w:val="24"/>
          <w:lang w:val="cs-CZ"/>
        </w:rPr>
        <w:t>4.2. Spolu příjemce je povinen:</w:t>
      </w:r>
    </w:p>
    <w:p w:rsidR="002505D3" w:rsidRDefault="00456A94">
      <w:pPr>
        <w:spacing w:line="316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pacing w:val="-8"/>
          <w:sz w:val="24"/>
          <w:lang w:val="cs-CZ"/>
        </w:rPr>
      </w:pPr>
      <w:r>
        <w:rPr>
          <w:rFonts w:eastAsia="Times New Roman"/>
          <w:b/>
          <w:color w:val="000000"/>
          <w:spacing w:val="-8"/>
          <w:sz w:val="24"/>
          <w:lang w:val="cs-CZ"/>
        </w:rPr>
        <w:t>4.2.1. Použít grantové prost</w:t>
      </w:r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ředky výhradně k úhradě prokazatelných, nezbytně nutných nákladů přímo souvisejících s </w:t>
      </w:r>
      <w:proofErr w:type="spellStart"/>
      <w:r>
        <w:rPr>
          <w:rFonts w:eastAsia="Times New Roman"/>
          <w:b/>
          <w:color w:val="000000"/>
          <w:spacing w:val="-8"/>
          <w:sz w:val="24"/>
          <w:lang w:val="cs-CZ"/>
        </w:rPr>
        <w:t>piněním</w:t>
      </w:r>
      <w:proofErr w:type="spellEnd"/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 cílů a parametrů řešené části grantového projektu a to v souladu s podmínkami stanovenými obecně závaznými právními předpisy, zásadami, pokyny a</w:t>
      </w:r>
    </w:p>
    <w:p w:rsidR="002505D3" w:rsidRDefault="002505D3">
      <w:pPr>
        <w:sectPr w:rsidR="002505D3">
          <w:pgSz w:w="11923" w:h="16843"/>
          <w:pgMar w:top="1140" w:right="1296" w:bottom="1267" w:left="907" w:header="720" w:footer="720" w:gutter="0"/>
          <w:cols w:space="708"/>
        </w:sectPr>
      </w:pPr>
    </w:p>
    <w:p w:rsidR="002505D3" w:rsidRDefault="00456A94">
      <w:pPr>
        <w:spacing w:before="13" w:line="317" w:lineRule="exact"/>
        <w:ind w:left="504" w:right="144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lastRenderedPageBreak/>
        <w:t>směrnicemi nebo jinými předpisy a zejména v souladu se Závaznými parametry řešení projektu, které představují přílohu č. 1 této smlouvy a v souladu se Všeobecnými podmínkami, které představují přílohu č. 2 této smlouvy.</w:t>
      </w:r>
    </w:p>
    <w:p w:rsidR="002505D3" w:rsidRDefault="00456A94">
      <w:pPr>
        <w:spacing w:before="8" w:line="317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pacing w:val="-9"/>
          <w:sz w:val="24"/>
          <w:lang w:val="cs-CZ"/>
        </w:rPr>
      </w:pPr>
      <w:r>
        <w:rPr>
          <w:rFonts w:eastAsia="Times New Roman"/>
          <w:b/>
          <w:color w:val="000000"/>
          <w:spacing w:val="-9"/>
          <w:sz w:val="24"/>
          <w:lang w:val="cs-CZ"/>
        </w:rPr>
        <w:t>4.2.2. Vést o čerpání a užití gran</w:t>
      </w:r>
      <w:r>
        <w:rPr>
          <w:rFonts w:eastAsia="Times New Roman"/>
          <w:b/>
          <w:color w:val="000000"/>
          <w:spacing w:val="-9"/>
          <w:sz w:val="24"/>
          <w:lang w:val="cs-CZ"/>
        </w:rPr>
        <w:t>tových prostředků poskytnutých na řešení projektu samostatnou účetní evidenci tak, aby tyto prostředky a nakládání s nimi bylo odděleno od ostatního majetku spolu příjemce, i od vlastních prostředků použitých na tentýž grantový projekt. Tuto evidenci uchov</w:t>
      </w:r>
      <w:r>
        <w:rPr>
          <w:rFonts w:eastAsia="Times New Roman"/>
          <w:b/>
          <w:color w:val="000000"/>
          <w:spacing w:val="-9"/>
          <w:sz w:val="24"/>
          <w:lang w:val="cs-CZ"/>
        </w:rPr>
        <w:t xml:space="preserve">ávat po dobu deseti let od poskytnutí grantových prostředků na </w:t>
      </w:r>
      <w:proofErr w:type="gramStart"/>
      <w:r>
        <w:rPr>
          <w:rFonts w:eastAsia="Times New Roman"/>
          <w:b/>
          <w:color w:val="000000"/>
          <w:spacing w:val="-9"/>
          <w:sz w:val="24"/>
          <w:lang w:val="cs-CZ"/>
        </w:rPr>
        <w:t>řešeni</w:t>
      </w:r>
      <w:proofErr w:type="gramEnd"/>
      <w:r>
        <w:rPr>
          <w:rFonts w:eastAsia="Times New Roman"/>
          <w:b/>
          <w:color w:val="000000"/>
          <w:spacing w:val="-9"/>
          <w:sz w:val="24"/>
          <w:lang w:val="cs-CZ"/>
        </w:rPr>
        <w:t xml:space="preserve"> části projektu. Při vedení této účetní evidence je spolu příjemce povinen dodržovat obecně závazné právní předpisy a dále Závazné parametry řešení projektu, které představují přílohu č. </w:t>
      </w:r>
      <w:r>
        <w:rPr>
          <w:rFonts w:eastAsia="Times New Roman"/>
          <w:b/>
          <w:color w:val="000000"/>
          <w:spacing w:val="-9"/>
          <w:sz w:val="24"/>
          <w:lang w:val="cs-CZ"/>
        </w:rPr>
        <w:t xml:space="preserve">1 této smlouvy a Všeobecné podmínky, které představují přílohu č. </w:t>
      </w:r>
      <w:r>
        <w:rPr>
          <w:rFonts w:eastAsia="Times New Roman"/>
          <w:color w:val="000000"/>
          <w:spacing w:val="-9"/>
          <w:sz w:val="24"/>
          <w:lang w:val="cs-CZ"/>
        </w:rPr>
        <w:t xml:space="preserve">2 </w:t>
      </w:r>
      <w:r>
        <w:rPr>
          <w:rFonts w:eastAsia="Times New Roman"/>
          <w:b/>
          <w:color w:val="000000"/>
          <w:spacing w:val="-9"/>
          <w:sz w:val="24"/>
          <w:lang w:val="cs-CZ"/>
        </w:rPr>
        <w:t>této smlouvy.</w:t>
      </w:r>
    </w:p>
    <w:p w:rsidR="002505D3" w:rsidRDefault="00456A94">
      <w:pPr>
        <w:spacing w:before="2" w:line="317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4.2.3. V rozsahu, v jakém je k tornu povinen dle této smlouvy, dosáhnout stanovených cílů a parametrů projektu (viz sekce 5. VÝSTUPY/VÝSLEDKY PROJEKTU grantového návrhu č. TL</w:t>
      </w:r>
      <w:r>
        <w:rPr>
          <w:rFonts w:eastAsia="Times New Roman"/>
          <w:b/>
          <w:color w:val="000000"/>
          <w:sz w:val="24"/>
          <w:lang w:val="cs-CZ"/>
        </w:rPr>
        <w:t>03000637).</w:t>
      </w:r>
    </w:p>
    <w:p w:rsidR="002505D3" w:rsidRDefault="00456A94">
      <w:pPr>
        <w:spacing w:before="6" w:line="317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pacing w:val="-8"/>
          <w:sz w:val="24"/>
          <w:lang w:val="cs-CZ"/>
        </w:rPr>
      </w:pPr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4.2.4. Předložit příjemci nejpozději do 5. ledna každého roku trvání projektu písemnou roční zprávu o realizaci části projektu </w:t>
      </w:r>
      <w:r>
        <w:rPr>
          <w:rFonts w:eastAsia="Times New Roman"/>
          <w:color w:val="000000"/>
          <w:spacing w:val="-8"/>
          <w:sz w:val="24"/>
          <w:lang w:val="cs-CZ"/>
        </w:rPr>
        <w:t xml:space="preserve">v </w:t>
      </w:r>
      <w:r>
        <w:rPr>
          <w:rFonts w:eastAsia="Times New Roman"/>
          <w:b/>
          <w:color w:val="000000"/>
          <w:spacing w:val="-8"/>
          <w:sz w:val="24"/>
          <w:lang w:val="cs-CZ"/>
        </w:rPr>
        <w:t>průběhu daného roku. Součástí roční (resp. závěrečné) zprávy musí být podrobné vyúčtování hospodaření s poskytnutými</w:t>
      </w:r>
      <w:r>
        <w:rPr>
          <w:rFonts w:eastAsia="Times New Roman"/>
          <w:b/>
          <w:color w:val="000000"/>
          <w:spacing w:val="-8"/>
          <w:sz w:val="24"/>
          <w:lang w:val="cs-CZ"/>
        </w:rPr>
        <w:t xml:space="preserve"> grantovými prostředky tj. výpis z oddělené evidence ve smyslu čl. 4.2.2. Současně je spolu příjemce povinen vrátit příjemci do 10. prosince příslušného roku grantové prostředky, které nebyly spolu příjemcem za příslušný kalendářní rok dočerpány s tím, že </w:t>
      </w:r>
      <w:r>
        <w:rPr>
          <w:rFonts w:eastAsia="Times New Roman"/>
          <w:b/>
          <w:color w:val="000000"/>
          <w:spacing w:val="-8"/>
          <w:sz w:val="24"/>
          <w:lang w:val="cs-CZ"/>
        </w:rPr>
        <w:t>vrácené finanční prostředky budou příjemci avizovány předem, a to nejpozději do 30. listopadu běžného roku, a ten je povinen tyto prostředky vrátit poskytovateli.</w:t>
      </w:r>
    </w:p>
    <w:p w:rsidR="002505D3" w:rsidRDefault="00456A94">
      <w:pPr>
        <w:spacing w:before="4" w:line="317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>4.2.5. V případě, že vznikne povinnost vrácení grantových prostředků z jiných důvodů než na p</w:t>
      </w:r>
      <w:r>
        <w:rPr>
          <w:rFonts w:eastAsia="Times New Roman"/>
          <w:b/>
          <w:color w:val="000000"/>
          <w:sz w:val="24"/>
          <w:lang w:val="cs-CZ"/>
        </w:rPr>
        <w:t>odkladě finančního vypořádání, je spolu příjemce povinen neprodleně písemně požádat příjemce o sdělení podmínek a způsobu vypořádání těchto prostředků.</w:t>
      </w:r>
    </w:p>
    <w:p w:rsidR="002505D3" w:rsidRDefault="00456A94">
      <w:pPr>
        <w:spacing w:before="2" w:line="317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rPr>
          <w:rFonts w:eastAsia="Times New Roman"/>
          <w:b/>
          <w:color w:val="000000"/>
          <w:sz w:val="24"/>
          <w:lang w:val="cs-CZ"/>
        </w:rPr>
        <w:t xml:space="preserve">4.2.6. Informovat příjemce o všech významných změnách případně své neschopnosti </w:t>
      </w:r>
      <w:proofErr w:type="spellStart"/>
      <w:r>
        <w:rPr>
          <w:rFonts w:eastAsia="Times New Roman"/>
          <w:b/>
          <w:color w:val="000000"/>
          <w:sz w:val="24"/>
          <w:lang w:val="cs-CZ"/>
        </w:rPr>
        <w:t>pinit</w:t>
      </w:r>
      <w:proofErr w:type="spellEnd"/>
      <w:r>
        <w:rPr>
          <w:rFonts w:eastAsia="Times New Roman"/>
          <w:b/>
          <w:color w:val="000000"/>
          <w:sz w:val="24"/>
          <w:lang w:val="cs-CZ"/>
        </w:rPr>
        <w:t xml:space="preserve"> řádně a včas povin</w:t>
      </w:r>
      <w:r>
        <w:rPr>
          <w:rFonts w:eastAsia="Times New Roman"/>
          <w:b/>
          <w:color w:val="000000"/>
          <w:sz w:val="24"/>
          <w:lang w:val="cs-CZ"/>
        </w:rPr>
        <w:t>nosti vyplývající pro něj ze smlouvy s příjemcem.</w:t>
      </w:r>
    </w:p>
    <w:p w:rsidR="002505D3" w:rsidRDefault="00456A94">
      <w:pPr>
        <w:spacing w:before="2" w:line="317" w:lineRule="exact"/>
        <w:ind w:left="504" w:right="144" w:hanging="360"/>
        <w:jc w:val="both"/>
        <w:textAlignment w:val="baseline"/>
        <w:rPr>
          <w:rFonts w:eastAsia="Times New Roman"/>
          <w:b/>
          <w:color w:val="000000"/>
          <w:spacing w:val="-7"/>
          <w:sz w:val="24"/>
          <w:lang w:val="cs-CZ"/>
        </w:rPr>
      </w:pPr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4.3. Spolu příjemce je odpovědný příjemci za odborné připomínkováni vyvíjené hry, za testování prototypu a pilotních verzí hry, za poskytování zpětné vazby pro další úpravy a vylepšení her a za hospodaření </w:t>
      </w:r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s přidělenou částí grantových prostředků v </w:t>
      </w:r>
      <w:proofErr w:type="spellStart"/>
      <w:r>
        <w:rPr>
          <w:rFonts w:eastAsia="Times New Roman"/>
          <w:b/>
          <w:color w:val="000000"/>
          <w:spacing w:val="-7"/>
          <w:sz w:val="24"/>
          <w:lang w:val="cs-CZ"/>
        </w:rPr>
        <w:t>piném</w:t>
      </w:r>
      <w:proofErr w:type="spellEnd"/>
      <w:r>
        <w:rPr>
          <w:rFonts w:eastAsia="Times New Roman"/>
          <w:b/>
          <w:color w:val="000000"/>
          <w:spacing w:val="-7"/>
          <w:sz w:val="24"/>
          <w:lang w:val="cs-CZ"/>
        </w:rPr>
        <w:t xml:space="preserve"> rozsahu.</w:t>
      </w:r>
    </w:p>
    <w:p w:rsidR="002505D3" w:rsidRDefault="00456A94">
      <w:pPr>
        <w:spacing w:before="357" w:line="278" w:lineRule="exact"/>
        <w:jc w:val="center"/>
        <w:textAlignment w:val="baseline"/>
        <w:rPr>
          <w:rFonts w:eastAsia="Times New Roman"/>
          <w:b/>
          <w:color w:val="000000"/>
          <w:spacing w:val="-5"/>
          <w:sz w:val="24"/>
          <w:lang w:val="cs-CZ"/>
        </w:rPr>
      </w:pPr>
      <w:r>
        <w:rPr>
          <w:rFonts w:eastAsia="Times New Roman"/>
          <w:b/>
          <w:color w:val="000000"/>
          <w:spacing w:val="-5"/>
          <w:sz w:val="24"/>
          <w:lang w:val="cs-CZ"/>
        </w:rPr>
        <w:t xml:space="preserve">Čl. 5. Ochrana obchodního tajemství a práva </w:t>
      </w:r>
      <w:r>
        <w:rPr>
          <w:rFonts w:eastAsia="Times New Roman"/>
          <w:color w:val="000000"/>
          <w:spacing w:val="-5"/>
          <w:sz w:val="24"/>
          <w:lang w:val="cs-CZ"/>
        </w:rPr>
        <w:t>k výsledkům projektu</w:t>
      </w:r>
    </w:p>
    <w:p w:rsidR="002505D3" w:rsidRDefault="00456A94">
      <w:pPr>
        <w:spacing w:before="325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5.1 Autory výsledk</w:t>
      </w:r>
      <w:r>
        <w:rPr>
          <w:rFonts w:eastAsia="Times New Roman"/>
          <w:color w:val="000000"/>
          <w:sz w:val="24"/>
          <w:lang w:val="cs-CZ"/>
        </w:rPr>
        <w:t xml:space="preserve">ů získaných na základě spolupráce dle smlouvy o spolupráci budou smluvní strany, a to rozsahu. v jakém se na získání příslušného výsledku budou ve skutečnosti podílet, a to vyjma dále uvedeného. Smluvní strany se výslovně dohodly, že veškerá vlastnická či </w:t>
      </w:r>
      <w:r>
        <w:rPr>
          <w:rFonts w:eastAsia="Times New Roman"/>
          <w:color w:val="000000"/>
          <w:sz w:val="24"/>
          <w:lang w:val="cs-CZ"/>
        </w:rPr>
        <w:t xml:space="preserve">jakákoliv jiná majetková </w:t>
      </w:r>
      <w:proofErr w:type="spellStart"/>
      <w:r>
        <w:rPr>
          <w:rFonts w:eastAsia="Times New Roman"/>
          <w:color w:val="000000"/>
          <w:sz w:val="24"/>
          <w:lang w:val="cs-CZ"/>
        </w:rPr>
        <w:t>przha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k mobilní hře náleží příjemci dotace. Vznikne-li výsledkem činnosti </w:t>
      </w:r>
      <w:proofErr w:type="spellStart"/>
      <w:r>
        <w:rPr>
          <w:rFonts w:eastAsia="Times New Roman"/>
          <w:color w:val="000000"/>
          <w:sz w:val="24"/>
          <w:lang w:val="cs-CZ"/>
        </w:rPr>
        <w:t>spolupříjeince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prováděné dle této smlouvy v souvislosti s mobilní hrou bud" samostatně. </w:t>
      </w:r>
      <w:proofErr w:type="gramStart"/>
      <w:r>
        <w:rPr>
          <w:rFonts w:eastAsia="Times New Roman"/>
          <w:color w:val="000000"/>
          <w:sz w:val="24"/>
          <w:lang w:val="cs-CZ"/>
        </w:rPr>
        <w:t>nebo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společně s příjemcem předmět požívající ochrany autorského díla </w:t>
      </w:r>
      <w:r>
        <w:rPr>
          <w:rFonts w:eastAsia="Times New Roman"/>
          <w:color w:val="000000"/>
          <w:sz w:val="24"/>
          <w:lang w:val="cs-CZ"/>
        </w:rPr>
        <w:t xml:space="preserve">podle zákona č. 1212.000 Sb.. autorský zákon. v platném znění, je příjemce dotace na základě této smlouvy oprávněn LIŽi1 toto autorské dílo všemi způsoby, k čemuž je mu </w:t>
      </w:r>
      <w:proofErr w:type="spellStart"/>
      <w:r>
        <w:rPr>
          <w:rFonts w:eastAsia="Times New Roman"/>
          <w:color w:val="000000"/>
          <w:sz w:val="24"/>
          <w:lang w:val="cs-CZ"/>
        </w:rPr>
        <w:t>spolupřijemcem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na Základě této smlouvy uděleno oprávnění k výkonu práva autorské dílo u</w:t>
      </w:r>
      <w:r>
        <w:rPr>
          <w:rFonts w:eastAsia="Times New Roman"/>
          <w:color w:val="000000"/>
          <w:sz w:val="24"/>
          <w:lang w:val="cs-CZ"/>
        </w:rPr>
        <w:t xml:space="preserve">žít (licence) všemi </w:t>
      </w:r>
      <w:proofErr w:type="spellStart"/>
      <w:r>
        <w:rPr>
          <w:rFonts w:eastAsia="Times New Roman"/>
          <w:color w:val="000000"/>
          <w:sz w:val="24"/>
          <w:lang w:val="cs-CZ"/>
        </w:rPr>
        <w:t>zpusoby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. a to </w:t>
      </w:r>
      <w:proofErr w:type="spellStart"/>
      <w:r>
        <w:rPr>
          <w:rFonts w:eastAsia="Times New Roman"/>
          <w:color w:val="000000"/>
          <w:sz w:val="24"/>
          <w:lang w:val="cs-CZ"/>
        </w:rPr>
        <w:t>beznplatně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. Tato licence je </w:t>
      </w:r>
      <w:proofErr w:type="spellStart"/>
      <w:r>
        <w:rPr>
          <w:rFonts w:eastAsia="Times New Roman"/>
          <w:color w:val="000000"/>
          <w:sz w:val="24"/>
          <w:lang w:val="cs-CZ"/>
        </w:rPr>
        <w:t>ýhradni</w:t>
      </w:r>
      <w:proofErr w:type="spellEnd"/>
      <w:r>
        <w:rPr>
          <w:rFonts w:eastAsia="Times New Roman"/>
          <w:color w:val="000000"/>
          <w:sz w:val="24"/>
          <w:lang w:val="cs-CZ"/>
        </w:rPr>
        <w:t>, územně neomezená, časově omezená pouze trváním majetkových autorských práv k autorskému dílu.</w:t>
      </w:r>
    </w:p>
    <w:p w:rsidR="002505D3" w:rsidRDefault="00456A94">
      <w:pPr>
        <w:spacing w:before="1" w:line="315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5.2 Vyhoří-li vynález, technické řešení, nebo jiný předmět ochrany práv duševního vlastnict</w:t>
      </w:r>
      <w:r>
        <w:rPr>
          <w:rFonts w:eastAsia="Times New Roman"/>
          <w:color w:val="000000"/>
          <w:sz w:val="24"/>
          <w:lang w:val="cs-CZ"/>
        </w:rPr>
        <w:t>ví (dále jen předmět ochrany duševního vlastnictví") zaměstnanec smluvní strany jako původce</w:t>
      </w:r>
    </w:p>
    <w:p w:rsidR="002505D3" w:rsidRDefault="002505D3">
      <w:pPr>
        <w:sectPr w:rsidR="002505D3">
          <w:pgSz w:w="11923" w:h="16843"/>
          <w:pgMar w:top="1100" w:right="1327" w:bottom="1027" w:left="876" w:header="720" w:footer="720" w:gutter="0"/>
          <w:cols w:space="708"/>
        </w:sectPr>
      </w:pPr>
    </w:p>
    <w:p w:rsidR="002505D3" w:rsidRDefault="00456A94">
      <w:pPr>
        <w:spacing w:line="316" w:lineRule="exact"/>
        <w:ind w:left="504" w:right="144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lastRenderedPageBreak/>
        <w:t xml:space="preserve">ke </w:t>
      </w:r>
      <w:proofErr w:type="spellStart"/>
      <w:r>
        <w:rPr>
          <w:rFonts w:eastAsia="Times New Roman"/>
          <w:color w:val="000000"/>
          <w:sz w:val="24"/>
          <w:lang w:val="cs-CZ"/>
        </w:rPr>
        <w:t>spinění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úkolu z pracovního poměru ke smluvní straně, přechází právo na předmět ochrany duševního vlastnictví na zaměstnavatele — smluvní stran</w:t>
      </w:r>
      <w:r>
        <w:rPr>
          <w:rFonts w:eastAsia="Times New Roman"/>
          <w:color w:val="000000"/>
          <w:sz w:val="24"/>
          <w:lang w:val="cs-CZ"/>
        </w:rPr>
        <w:t>u, tím nejsou dotčena práva příjemce k mobilní hře specifikovaná v článku 5.1 této smlouvy. Právo na původcovství tím není dotčeno.</w:t>
      </w:r>
    </w:p>
    <w:p w:rsidR="002505D3" w:rsidRDefault="00456A94">
      <w:pPr>
        <w:spacing w:before="4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5.3 Smluvní strany se zavazují zajistit. </w:t>
      </w:r>
      <w:proofErr w:type="gramStart"/>
      <w:r>
        <w:rPr>
          <w:rFonts w:eastAsia="Times New Roman"/>
          <w:color w:val="000000"/>
          <w:sz w:val="24"/>
          <w:lang w:val="cs-CZ"/>
        </w:rPr>
        <w:t>aby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původci předmětu ochrany duševního vlastnictví, které vytvoří ke </w:t>
      </w:r>
      <w:proofErr w:type="spellStart"/>
      <w:r>
        <w:rPr>
          <w:rFonts w:eastAsia="Times New Roman"/>
          <w:color w:val="000000"/>
          <w:sz w:val="24"/>
          <w:lang w:val="cs-CZ"/>
        </w:rPr>
        <w:t>spiněni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úkolu </w:t>
      </w:r>
      <w:r>
        <w:rPr>
          <w:rFonts w:eastAsia="Times New Roman"/>
          <w:color w:val="000000"/>
          <w:sz w:val="24"/>
          <w:lang w:val="cs-CZ"/>
        </w:rPr>
        <w:t xml:space="preserve">z pracovního poměru k zaměstnavateli při </w:t>
      </w:r>
      <w:proofErr w:type="spellStart"/>
      <w:r>
        <w:rPr>
          <w:rFonts w:eastAsia="Times New Roman"/>
          <w:color w:val="000000"/>
          <w:sz w:val="24"/>
          <w:lang w:val="cs-CZ"/>
        </w:rPr>
        <w:t>pinění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budoucí smlouvy, písemně vyrozuměli svého zaměstnavatele o jeho vytvoření a zároveň zaměstnavateli předali podklady potřebné k jeho posouzení, a to bez zbytečného odkladu, tak aby byla zajištěna dostatečná oc</w:t>
      </w:r>
      <w:r>
        <w:rPr>
          <w:rFonts w:eastAsia="Times New Roman"/>
          <w:color w:val="000000"/>
          <w:sz w:val="24"/>
          <w:lang w:val="cs-CZ"/>
        </w:rPr>
        <w:t>hrana duševního vlastnictví.</w:t>
      </w:r>
    </w:p>
    <w:p w:rsidR="002505D3" w:rsidRDefault="00456A94">
      <w:pPr>
        <w:spacing w:before="1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5.4 Obě smluvní strany jsou v případě vytvoření předmětu ochrany duševního vlastnictví při </w:t>
      </w:r>
      <w:proofErr w:type="spellStart"/>
      <w:r>
        <w:rPr>
          <w:rFonts w:eastAsia="Times New Roman"/>
          <w:color w:val="000000"/>
          <w:sz w:val="24"/>
          <w:lang w:val="cs-CZ"/>
        </w:rPr>
        <w:t>pinění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projektu povinny tuto skutečnost písemně oznámit druhé smluvní straně, a to před podáním přihlášky k příslušnému předmětu ochrany</w:t>
      </w:r>
      <w:r>
        <w:rPr>
          <w:rFonts w:eastAsia="Times New Roman"/>
          <w:color w:val="000000"/>
          <w:sz w:val="24"/>
          <w:lang w:val="cs-CZ"/>
        </w:rPr>
        <w:t xml:space="preserve"> duševního vlastnictví. Smluvní strany se zavazují zachovávat mlčenlivost o sděleném obsahu vynálezu nebo technického řešení.</w:t>
      </w:r>
    </w:p>
    <w:p w:rsidR="002505D3" w:rsidRDefault="00456A94">
      <w:pPr>
        <w:spacing w:before="7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5.5 Smluvní strany se zavazují vyvinout nutnou. </w:t>
      </w:r>
      <w:proofErr w:type="gramStart"/>
      <w:r>
        <w:rPr>
          <w:rFonts w:eastAsia="Times New Roman"/>
          <w:color w:val="000000"/>
          <w:sz w:val="24"/>
          <w:lang w:val="cs-CZ"/>
        </w:rPr>
        <w:t>součinnost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k zajištění ochrany předmětu duševního vlastnictví a případnému získání</w:t>
      </w:r>
      <w:r>
        <w:rPr>
          <w:rFonts w:eastAsia="Times New Roman"/>
          <w:color w:val="000000"/>
          <w:sz w:val="24"/>
          <w:lang w:val="cs-CZ"/>
        </w:rPr>
        <w:t xml:space="preserve"> konkrétních prvků ochrany dle příslušných právních předpisů, zejména ve formě </w:t>
      </w:r>
      <w:proofErr w:type="spellStart"/>
      <w:r>
        <w:rPr>
          <w:rFonts w:eastAsia="Times New Roman"/>
          <w:color w:val="000000"/>
          <w:sz w:val="24"/>
          <w:lang w:val="cs-CZ"/>
        </w:rPr>
        <w:t>vynáletti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, patentu a dalších. Náklady na získání takových ochranných prvků nese příjemce. </w:t>
      </w:r>
      <w:proofErr w:type="spellStart"/>
      <w:proofErr w:type="gramStart"/>
      <w:r>
        <w:rPr>
          <w:rFonts w:eastAsia="Times New Roman"/>
          <w:color w:val="000000"/>
          <w:sz w:val="24"/>
          <w:lang w:val="cs-CZ"/>
        </w:rPr>
        <w:t>Po</w:t>
      </w:r>
      <w:proofErr w:type="gramEnd"/>
      <w:r>
        <w:rPr>
          <w:rFonts w:eastAsia="Times New Roman"/>
          <w:color w:val="000000"/>
          <w:sz w:val="24"/>
          <w:lang w:val="cs-CZ"/>
        </w:rPr>
        <w:t>.</w:t>
      </w:r>
      <w:proofErr w:type="gramStart"/>
      <w:r>
        <w:rPr>
          <w:rFonts w:eastAsia="Times New Roman"/>
          <w:color w:val="000000"/>
          <w:sz w:val="24"/>
          <w:lang w:val="cs-CZ"/>
        </w:rPr>
        <w:t>tup</w:t>
      </w:r>
      <w:proofErr w:type="spellEnd"/>
      <w:proofErr w:type="gramEnd"/>
      <w:r>
        <w:rPr>
          <w:rFonts w:eastAsia="Times New Roman"/>
          <w:color w:val="000000"/>
          <w:sz w:val="24"/>
          <w:lang w:val="cs-CZ"/>
        </w:rPr>
        <w:t xml:space="preserve"> při zpracování a podání příslušné přihlášky bude stanoven na základě budoucí pís</w:t>
      </w:r>
      <w:r>
        <w:rPr>
          <w:rFonts w:eastAsia="Times New Roman"/>
          <w:color w:val="000000"/>
          <w:sz w:val="24"/>
          <w:lang w:val="cs-CZ"/>
        </w:rPr>
        <w:t>emné dohody smluvních stran.</w:t>
      </w:r>
    </w:p>
    <w:p w:rsidR="002505D3" w:rsidRDefault="00456A94">
      <w:pPr>
        <w:spacing w:before="3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5.6 Nebude-li jedna ze Smluvních stran mít zájem na podání přihlášky, může druhá Smluvní strana požádat o převedení práva na podání takové přihlášky na sebe. Smluvní strany před převodem projednají podmínky převedení práva poda</w:t>
      </w:r>
      <w:r>
        <w:rPr>
          <w:rFonts w:eastAsia="Times New Roman"/>
          <w:color w:val="000000"/>
          <w:sz w:val="24"/>
          <w:lang w:val="cs-CZ"/>
        </w:rPr>
        <w:t xml:space="preserve">t přihlášku. </w:t>
      </w:r>
      <w:proofErr w:type="gramStart"/>
      <w:r>
        <w:rPr>
          <w:rFonts w:eastAsia="Times New Roman"/>
          <w:color w:val="000000"/>
          <w:sz w:val="24"/>
          <w:lang w:val="cs-CZ"/>
        </w:rPr>
        <w:t>přičemž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bude respektován podíl smluvní strany na získání předmětu ochrany duševního vlastnictví za účelem, jehož ochrany má být taková přihláška podána.</w:t>
      </w:r>
    </w:p>
    <w:p w:rsidR="002505D3" w:rsidRDefault="00456A94">
      <w:pPr>
        <w:spacing w:before="4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5.7 P</w:t>
      </w:r>
      <w:r>
        <w:rPr>
          <w:rFonts w:eastAsia="Times New Roman"/>
          <w:color w:val="000000"/>
          <w:sz w:val="24"/>
          <w:lang w:val="cs-CZ"/>
        </w:rPr>
        <w:t xml:space="preserve">řípadný hmotný majetek. </w:t>
      </w:r>
      <w:proofErr w:type="gramStart"/>
      <w:r>
        <w:rPr>
          <w:rFonts w:eastAsia="Times New Roman"/>
          <w:color w:val="000000"/>
          <w:sz w:val="24"/>
          <w:lang w:val="cs-CZ"/>
        </w:rPr>
        <w:t>který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smluvní strana vytvoří či získá z vlastních finančních prostředků. bude ve vlastnictví příslušné smluvní strany. Pokud se na pořízení nebo vytvoření tohoto hmotného majetku budou finančně podílet smluvní strany společně, budou</w:t>
      </w:r>
      <w:r>
        <w:rPr>
          <w:rFonts w:eastAsia="Times New Roman"/>
          <w:color w:val="000000"/>
          <w:sz w:val="24"/>
          <w:lang w:val="cs-CZ"/>
        </w:rPr>
        <w:t xml:space="preserve"> spoluvlastníky v poměru, v jakém se na jeho získání budou podílet.</w:t>
      </w:r>
    </w:p>
    <w:p w:rsidR="002505D3" w:rsidRDefault="00456A94">
      <w:pPr>
        <w:spacing w:before="3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5.8 Předměty chráněné právy duševního vlastnictví, které jsou ve vlastnictví jednotlivých smluvních stran před uzavřením smlouvy a které jsou potřebné pro realizaci projektu nebo pro užití</w:t>
      </w:r>
      <w:r>
        <w:rPr>
          <w:rFonts w:eastAsia="Times New Roman"/>
          <w:color w:val="000000"/>
          <w:sz w:val="24"/>
          <w:lang w:val="cs-CZ"/>
        </w:rPr>
        <w:t xml:space="preserve"> jeho výsledků, zůstávají ve vlastnictví příslušné smluvní strany. Smluvní strany mohou na základě písemné dohody umožnit využití předmětu chráněného právy duševního vlastnictví druhé smluvní straně pro účely realizace projektu.</w:t>
      </w:r>
    </w:p>
    <w:p w:rsidR="002505D3" w:rsidRDefault="00456A94">
      <w:pPr>
        <w:spacing w:before="5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pacing w:val="1"/>
          <w:sz w:val="24"/>
          <w:lang w:val="cs-CZ"/>
        </w:rPr>
      </w:pPr>
      <w:r>
        <w:rPr>
          <w:rFonts w:eastAsia="Times New Roman"/>
          <w:color w:val="000000"/>
          <w:spacing w:val="1"/>
          <w:sz w:val="24"/>
          <w:lang w:val="cs-CZ"/>
        </w:rPr>
        <w:t xml:space="preserve">5.9 V případě. </w:t>
      </w:r>
      <w:proofErr w:type="gramStart"/>
      <w:r>
        <w:rPr>
          <w:rFonts w:eastAsia="Times New Roman"/>
          <w:color w:val="000000"/>
          <w:spacing w:val="1"/>
          <w:sz w:val="24"/>
          <w:lang w:val="cs-CZ"/>
        </w:rPr>
        <w:t>že</w:t>
      </w:r>
      <w:proofErr w:type="gramEnd"/>
      <w:r>
        <w:rPr>
          <w:rFonts w:eastAsia="Times New Roman"/>
          <w:color w:val="000000"/>
          <w:spacing w:val="1"/>
          <w:sz w:val="24"/>
          <w:lang w:val="cs-CZ"/>
        </w:rPr>
        <w:t xml:space="preserve"> výsledky </w:t>
      </w:r>
      <w:r>
        <w:rPr>
          <w:rFonts w:eastAsia="Times New Roman"/>
          <w:color w:val="000000"/>
          <w:spacing w:val="1"/>
          <w:sz w:val="24"/>
          <w:lang w:val="cs-CZ"/>
        </w:rPr>
        <w:t xml:space="preserve">spolupráce dle této smlouvy se v budoucnu stanou předmětem ochrany jako duševního vlastnictví, jsou smluvní strany oprávněny poskytnout k takovým právům licenci třetí straně. a to pouze na základě předchozí písemné dohody obou </w:t>
      </w:r>
      <w:proofErr w:type="spellStart"/>
      <w:r>
        <w:rPr>
          <w:rFonts w:eastAsia="Times New Roman"/>
          <w:color w:val="000000"/>
          <w:spacing w:val="1"/>
          <w:sz w:val="24"/>
          <w:lang w:val="cs-CZ"/>
        </w:rPr>
        <w:t>sm</w:t>
      </w:r>
      <w:proofErr w:type="spellEnd"/>
      <w:r>
        <w:rPr>
          <w:rFonts w:eastAsia="Times New Roman"/>
          <w:color w:val="000000"/>
          <w:spacing w:val="1"/>
          <w:sz w:val="24"/>
          <w:lang w:val="cs-CZ"/>
        </w:rPr>
        <w:t xml:space="preserve"> </w:t>
      </w:r>
      <w:proofErr w:type="spellStart"/>
      <w:r>
        <w:rPr>
          <w:rFonts w:eastAsia="Times New Roman"/>
          <w:color w:val="000000"/>
          <w:spacing w:val="1"/>
          <w:sz w:val="24"/>
          <w:lang w:val="cs-CZ"/>
        </w:rPr>
        <w:t>luvních</w:t>
      </w:r>
      <w:proofErr w:type="spellEnd"/>
      <w:r>
        <w:rPr>
          <w:rFonts w:eastAsia="Times New Roman"/>
          <w:color w:val="000000"/>
          <w:spacing w:val="1"/>
          <w:sz w:val="24"/>
          <w:lang w:val="cs-CZ"/>
        </w:rPr>
        <w:t xml:space="preserve"> stran. Tímto ujedn</w:t>
      </w:r>
      <w:r>
        <w:rPr>
          <w:rFonts w:eastAsia="Times New Roman"/>
          <w:color w:val="000000"/>
          <w:spacing w:val="1"/>
          <w:sz w:val="24"/>
          <w:lang w:val="cs-CZ"/>
        </w:rPr>
        <w:t>áním nejsou dotčena práva k mobilní hře specifikovaná v článku 5.1 této smlouvy.</w:t>
      </w:r>
    </w:p>
    <w:p w:rsidR="002505D3" w:rsidRDefault="00456A94">
      <w:pPr>
        <w:spacing w:before="646" w:line="317" w:lineRule="exact"/>
        <w:jc w:val="center"/>
        <w:textAlignment w:val="baseline"/>
        <w:rPr>
          <w:rFonts w:eastAsia="Times New Roman"/>
          <w:color w:val="000000"/>
          <w:spacing w:val="-2"/>
          <w:sz w:val="27"/>
          <w:lang w:val="cs-CZ"/>
        </w:rPr>
      </w:pPr>
      <w:proofErr w:type="gramStart"/>
      <w:r>
        <w:rPr>
          <w:rFonts w:eastAsia="Times New Roman"/>
          <w:color w:val="000000"/>
          <w:spacing w:val="-2"/>
          <w:sz w:val="27"/>
          <w:lang w:val="cs-CZ"/>
        </w:rPr>
        <w:t>ČI.6.</w:t>
      </w:r>
      <w:proofErr w:type="gramEnd"/>
      <w:r>
        <w:rPr>
          <w:rFonts w:eastAsia="Times New Roman"/>
          <w:color w:val="000000"/>
          <w:spacing w:val="-2"/>
          <w:sz w:val="27"/>
          <w:lang w:val="cs-CZ"/>
        </w:rPr>
        <w:t xml:space="preserve"> </w:t>
      </w:r>
      <w:r>
        <w:rPr>
          <w:rFonts w:eastAsia="Times New Roman"/>
          <w:color w:val="000000"/>
          <w:spacing w:val="-2"/>
          <w:sz w:val="24"/>
          <w:lang w:val="cs-CZ"/>
        </w:rPr>
        <w:t>Ukončení smlouvy</w:t>
      </w:r>
    </w:p>
    <w:p w:rsidR="002505D3" w:rsidRDefault="00456A94">
      <w:pPr>
        <w:spacing w:before="308" w:line="315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6.1. P</w:t>
      </w:r>
      <w:r>
        <w:rPr>
          <w:rFonts w:eastAsia="Times New Roman"/>
          <w:color w:val="000000"/>
          <w:sz w:val="24"/>
          <w:lang w:val="cs-CZ"/>
        </w:rPr>
        <w:t xml:space="preserve">říjemce i spolu příjemce jsou oprávněni tuto smlouvu vypovědět s okamžitou účinností v případě. </w:t>
      </w:r>
      <w:proofErr w:type="gramStart"/>
      <w:r>
        <w:rPr>
          <w:rFonts w:eastAsia="Times New Roman"/>
          <w:color w:val="000000"/>
          <w:sz w:val="24"/>
          <w:lang w:val="cs-CZ"/>
        </w:rPr>
        <w:t>že</w:t>
      </w:r>
      <w:proofErr w:type="gramEnd"/>
      <w:r>
        <w:rPr>
          <w:rFonts w:eastAsia="Times New Roman"/>
          <w:color w:val="000000"/>
          <w:sz w:val="24"/>
          <w:lang w:val="cs-CZ"/>
        </w:rPr>
        <w:t xml:space="preserve"> dojde z jakéhokoliv důvodu k ukončeni smlouvy o poskytnutí dotace ze dne 1. 4. 2020 mezi příjemcem a poskytovatelem. Za stejných podmínek jsou příjemce i spo</w:t>
      </w:r>
      <w:r>
        <w:rPr>
          <w:rFonts w:eastAsia="Times New Roman"/>
          <w:color w:val="000000"/>
          <w:sz w:val="24"/>
          <w:lang w:val="cs-CZ"/>
        </w:rPr>
        <w:t>lu příjemce oprávněni od této smlouvy odstoupit.</w:t>
      </w:r>
    </w:p>
    <w:p w:rsidR="002505D3" w:rsidRDefault="002505D3">
      <w:pPr>
        <w:sectPr w:rsidR="002505D3">
          <w:pgSz w:w="11923" w:h="16843"/>
          <w:pgMar w:top="1120" w:right="1296" w:bottom="1027" w:left="907" w:header="720" w:footer="720" w:gutter="0"/>
          <w:cols w:space="708"/>
        </w:sectPr>
      </w:pPr>
    </w:p>
    <w:p w:rsidR="002505D3" w:rsidRDefault="00456A94">
      <w:pPr>
        <w:spacing w:before="10" w:line="275" w:lineRule="exact"/>
        <w:jc w:val="center"/>
        <w:textAlignment w:val="baseline"/>
        <w:rPr>
          <w:rFonts w:eastAsia="Times New Roman"/>
          <w:color w:val="000000"/>
          <w:spacing w:val="-3"/>
          <w:sz w:val="24"/>
          <w:lang w:val="cs-CZ"/>
        </w:rPr>
      </w:pPr>
      <w:r>
        <w:rPr>
          <w:rFonts w:eastAsia="Times New Roman"/>
          <w:color w:val="000000"/>
          <w:spacing w:val="-3"/>
          <w:sz w:val="24"/>
          <w:lang w:val="cs-CZ"/>
        </w:rPr>
        <w:lastRenderedPageBreak/>
        <w:t>Č1.7. Všeobecná ustanovení</w:t>
      </w:r>
    </w:p>
    <w:p w:rsidR="002505D3" w:rsidRDefault="00456A94">
      <w:pPr>
        <w:spacing w:before="319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pacing w:val="5"/>
          <w:sz w:val="24"/>
          <w:lang w:val="cs-CZ"/>
        </w:rPr>
      </w:pPr>
      <w:r>
        <w:rPr>
          <w:rFonts w:eastAsia="Times New Roman"/>
          <w:color w:val="000000"/>
          <w:spacing w:val="5"/>
          <w:sz w:val="24"/>
          <w:lang w:val="cs-CZ"/>
        </w:rPr>
        <w:t>7.1 Pokud by došlo k porušení pravidel vymezených v této smlouvě některou ze smluvních stran, je strana, která porušení způsobila, povinna nahradit druhé straně p</w:t>
      </w:r>
      <w:r>
        <w:rPr>
          <w:rFonts w:eastAsia="Times New Roman"/>
          <w:color w:val="000000"/>
          <w:spacing w:val="5"/>
          <w:sz w:val="24"/>
          <w:lang w:val="cs-CZ"/>
        </w:rPr>
        <w:t>rokazatelnou škodu.</w:t>
      </w:r>
    </w:p>
    <w:p w:rsidR="002505D3" w:rsidRDefault="00456A94">
      <w:pPr>
        <w:spacing w:before="1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7.2 Veškeré spory mezi smluvními stranami vyplývající nebo související s ustanoveními této smlouvy se strany pokusí vyřešit smírně vzájemnou dohodou. Nebude-li smírného řešení dosaženo v přiměřené dobé, bude mít kterákoliv ze smluvních </w:t>
      </w:r>
      <w:r>
        <w:rPr>
          <w:rFonts w:eastAsia="Times New Roman"/>
          <w:color w:val="000000"/>
          <w:sz w:val="24"/>
          <w:lang w:val="cs-CZ"/>
        </w:rPr>
        <w:t>stran právo předložit spornou záležitost k rozhodnutí místně příslušnému soudu.</w:t>
      </w:r>
    </w:p>
    <w:p w:rsidR="002505D3" w:rsidRDefault="00456A94">
      <w:pPr>
        <w:spacing w:before="2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pacing w:val="4"/>
          <w:sz w:val="24"/>
          <w:lang w:val="cs-CZ"/>
        </w:rPr>
      </w:pPr>
      <w:r>
        <w:rPr>
          <w:rFonts w:eastAsia="Times New Roman"/>
          <w:color w:val="000000"/>
          <w:spacing w:val="4"/>
          <w:sz w:val="24"/>
          <w:lang w:val="cs-CZ"/>
        </w:rPr>
        <w:t xml:space="preserve">7.3 Smluvní strany souhlasí s uveřejněním </w:t>
      </w:r>
      <w:proofErr w:type="gramStart"/>
      <w:r>
        <w:rPr>
          <w:rFonts w:eastAsia="Times New Roman"/>
          <w:color w:val="000000"/>
          <w:spacing w:val="4"/>
          <w:sz w:val="24"/>
          <w:lang w:val="cs-CZ"/>
        </w:rPr>
        <w:t>této .</w:t>
      </w:r>
      <w:proofErr w:type="spellStart"/>
      <w:r>
        <w:rPr>
          <w:rFonts w:eastAsia="Times New Roman"/>
          <w:color w:val="000000"/>
          <w:spacing w:val="4"/>
          <w:sz w:val="24"/>
          <w:lang w:val="cs-CZ"/>
        </w:rPr>
        <w:t>mlouvy</w:t>
      </w:r>
      <w:proofErr w:type="spellEnd"/>
      <w:proofErr w:type="gramEnd"/>
      <w:r>
        <w:rPr>
          <w:rFonts w:eastAsia="Times New Roman"/>
          <w:color w:val="000000"/>
          <w:spacing w:val="4"/>
          <w:sz w:val="24"/>
          <w:lang w:val="cs-CZ"/>
        </w:rPr>
        <w:t xml:space="preserve"> v registru smluv vedeném Ministerstvem vnitra ČR </w:t>
      </w:r>
      <w:r>
        <w:rPr>
          <w:rFonts w:eastAsia="Times New Roman"/>
          <w:color w:val="000000"/>
          <w:spacing w:val="4"/>
          <w:sz w:val="24"/>
          <w:lang w:val="cs-CZ"/>
        </w:rPr>
        <w:t>v souladu se zákonem č. 340 2015 Sb., o zvláštních podmínkách účinnosti některých smluv, uveřejňovaní těchto smluv a o registru smluv (zákon o registru smluv). Uveřejnění smlouvy prostřednictvím registru smluv zajistí budoucí příjemce dotace.</w:t>
      </w:r>
    </w:p>
    <w:p w:rsidR="002505D3" w:rsidRDefault="00456A94">
      <w:pPr>
        <w:spacing w:before="1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7.4 Smlouva m</w:t>
      </w:r>
      <w:r>
        <w:rPr>
          <w:rFonts w:eastAsia="Times New Roman"/>
          <w:color w:val="000000"/>
          <w:sz w:val="24"/>
          <w:lang w:val="cs-CZ"/>
        </w:rPr>
        <w:t xml:space="preserve">ůže být měněna nebo </w:t>
      </w:r>
      <w:proofErr w:type="spellStart"/>
      <w:r>
        <w:rPr>
          <w:rFonts w:eastAsia="Times New Roman"/>
          <w:color w:val="000000"/>
          <w:sz w:val="24"/>
          <w:lang w:val="cs-CZ"/>
        </w:rPr>
        <w:t>dopiněna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pouze formou písemného dodatku podepsaného zástupci obou smluvních stran.</w:t>
      </w:r>
    </w:p>
    <w:p w:rsidR="002505D3" w:rsidRDefault="00456A94">
      <w:pPr>
        <w:spacing w:before="7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7.5 Vztahy mezi smluvními stranami výslovně neupravené touto smlouvou se řídí režimem občanského zákoníku a dalšími </w:t>
      </w:r>
      <w:proofErr w:type="spellStart"/>
      <w:r>
        <w:rPr>
          <w:rFonts w:eastAsia="Times New Roman"/>
          <w:color w:val="000000"/>
          <w:sz w:val="24"/>
          <w:lang w:val="cs-CZ"/>
        </w:rPr>
        <w:t>relevantnimi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platnými a </w:t>
      </w:r>
      <w:proofErr w:type="spellStart"/>
      <w:r>
        <w:rPr>
          <w:rFonts w:eastAsia="Times New Roman"/>
          <w:color w:val="000000"/>
          <w:sz w:val="24"/>
          <w:lang w:val="cs-CZ"/>
        </w:rPr>
        <w:t>nčinnými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práv</w:t>
      </w:r>
      <w:r>
        <w:rPr>
          <w:rFonts w:eastAsia="Times New Roman"/>
          <w:color w:val="000000"/>
          <w:sz w:val="24"/>
          <w:lang w:val="cs-CZ"/>
        </w:rPr>
        <w:t>ními předpisy České republiky.</w:t>
      </w:r>
    </w:p>
    <w:p w:rsidR="002505D3" w:rsidRDefault="00456A94">
      <w:pPr>
        <w:spacing w:before="1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7.6 Tato smlouva nabývá platnosti dnem podpisu obou smluvních stran a účinnosti okamžikem jejího uveřejněni v registru smluv.</w:t>
      </w:r>
    </w:p>
    <w:p w:rsidR="002505D3" w:rsidRDefault="00456A94">
      <w:pPr>
        <w:spacing w:before="3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7.7 Smluvní strany tímto prohlašují a stvrzují podpisy osob oprávněných k jednání smluvních stran, </w:t>
      </w:r>
      <w:r>
        <w:rPr>
          <w:rFonts w:eastAsia="Times New Roman"/>
          <w:color w:val="000000"/>
          <w:sz w:val="24"/>
          <w:lang w:val="cs-CZ"/>
        </w:rPr>
        <w:t>že si smlouvu řádně přečetly, je jim znám význam jednotlivých ustanovení této smlouvy a že tuto smlouvu uzavírají na základě své pravé a svobodné vůle. Dále prohlašují, že jim k datu podpisu této smlouvy nejsou známy žádné skutečnosti, které by jim mohly b</w:t>
      </w:r>
      <w:r>
        <w:rPr>
          <w:rFonts w:eastAsia="Times New Roman"/>
          <w:color w:val="000000"/>
          <w:sz w:val="24"/>
          <w:lang w:val="cs-CZ"/>
        </w:rPr>
        <w:t xml:space="preserve">ránit v </w:t>
      </w:r>
      <w:proofErr w:type="spellStart"/>
      <w:r>
        <w:rPr>
          <w:rFonts w:eastAsia="Times New Roman"/>
          <w:color w:val="000000"/>
          <w:sz w:val="24"/>
          <w:lang w:val="cs-CZ"/>
        </w:rPr>
        <w:t>pinění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závazku dle této smlouvy a učinit tuto smlouvu neplatnou nebo neúčinnou. Na důkaz toho připojují níže své podpisy.</w:t>
      </w:r>
    </w:p>
    <w:p w:rsidR="002505D3" w:rsidRDefault="00456A94">
      <w:pPr>
        <w:spacing w:before="4" w:line="317" w:lineRule="exact"/>
        <w:ind w:left="504" w:right="144" w:hanging="360"/>
        <w:jc w:val="both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7.8 Tato smlouva je vyhotovena ve dvou (2) stejnopisech, z nichž každá smluvní strana obdrží jeden (1) stejnopis.</w:t>
      </w:r>
    </w:p>
    <w:p w:rsidR="002505D3" w:rsidRDefault="00456A94">
      <w:pPr>
        <w:spacing w:before="131" w:line="329" w:lineRule="exact"/>
        <w:ind w:left="7560"/>
        <w:textAlignment w:val="baseline"/>
        <w:rPr>
          <w:rFonts w:eastAsia="Times New Roman"/>
          <w:color w:val="4285BD"/>
          <w:sz w:val="24"/>
          <w:lang w:val="cs-CZ"/>
        </w:rPr>
      </w:pPr>
      <w:r>
        <w:rPr>
          <w:rFonts w:eastAsia="Times New Roman"/>
          <w:color w:val="4285BD"/>
          <w:sz w:val="24"/>
          <w:lang w:val="cs-CZ"/>
        </w:rPr>
        <w:t>I</w:t>
      </w:r>
    </w:p>
    <w:p w:rsidR="002505D3" w:rsidRDefault="00456A94">
      <w:pPr>
        <w:tabs>
          <w:tab w:val="right" w:pos="7704"/>
        </w:tabs>
        <w:spacing w:before="241" w:line="348" w:lineRule="exact"/>
        <w:ind w:left="504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V Klecanec</w:t>
      </w:r>
      <w:r>
        <w:rPr>
          <w:rFonts w:eastAsia="Times New Roman"/>
          <w:color w:val="000000"/>
          <w:sz w:val="24"/>
          <w:lang w:val="cs-CZ"/>
        </w:rPr>
        <w:t>h</w:t>
      </w:r>
      <w:bookmarkStart w:id="0" w:name="_GoBack"/>
      <w:bookmarkEnd w:id="0"/>
      <w:r>
        <w:rPr>
          <w:rFonts w:ascii="Verdana" w:eastAsia="Verdana" w:hAnsi="Verdana"/>
          <w:b/>
          <w:color w:val="000000"/>
          <w:sz w:val="21"/>
          <w:lang w:val="cs-CZ"/>
        </w:rPr>
        <w:tab/>
      </w:r>
      <w:proofErr w:type="spellStart"/>
      <w:r>
        <w:rPr>
          <w:rFonts w:eastAsia="Times New Roman"/>
          <w:color w:val="000000"/>
          <w:sz w:val="24"/>
          <w:lang w:val="cs-CZ"/>
        </w:rPr>
        <w:t>Pr_aze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 dne</w:t>
      </w:r>
      <w:r>
        <w:rPr>
          <w:rFonts w:eastAsia="Times New Roman"/>
          <w:color w:val="4285BD"/>
          <w:sz w:val="24"/>
          <w:vertAlign w:val="subscript"/>
          <w:lang w:val="cs-CZ"/>
        </w:rPr>
        <w:t xml:space="preserve"> y</w:t>
      </w:r>
    </w:p>
    <w:p w:rsidR="002505D3" w:rsidRDefault="002505D3">
      <w:pPr>
        <w:tabs>
          <w:tab w:val="right" w:pos="7704"/>
        </w:tabs>
        <w:spacing w:line="298" w:lineRule="exact"/>
        <w:ind w:left="4032"/>
        <w:textAlignment w:val="baseline"/>
        <w:rPr>
          <w:rFonts w:ascii="Verdana" w:eastAsia="Verdana" w:hAnsi="Verdana"/>
          <w:color w:val="0371BF"/>
          <w:spacing w:val="-1"/>
          <w:sz w:val="18"/>
          <w:lang w:val="cs-CZ"/>
        </w:rPr>
      </w:pPr>
    </w:p>
    <w:p w:rsidR="002505D3" w:rsidRDefault="00456A94">
      <w:pPr>
        <w:spacing w:before="157" w:line="317" w:lineRule="exact"/>
        <w:ind w:left="504"/>
        <w:textAlignment w:val="baseline"/>
        <w:rPr>
          <w:rFonts w:eastAsia="Times New Roman"/>
          <w:b/>
          <w:color w:val="000000"/>
          <w:sz w:val="24"/>
          <w:lang w:val="cs-CZ"/>
        </w:rPr>
      </w:pPr>
      <w:r>
        <w:pict>
          <v:line id="_x0000_s1026" style="position:absolute;left:0;text-align:left;z-index:251657728;mso-position-horizontal-relative:page;mso-position-vertical-relative:page" from="447.6pt,619.45pt" to="491.8pt,619.45pt" strokecolor="#6b6c6e" strokeweight=".95pt">
            <w10:wrap anchorx="page" anchory="page"/>
          </v:line>
        </w:pict>
      </w:r>
      <w:r>
        <w:rPr>
          <w:rFonts w:eastAsia="Times New Roman"/>
          <w:b/>
          <w:color w:val="000000"/>
          <w:sz w:val="24"/>
          <w:lang w:val="cs-CZ"/>
        </w:rPr>
        <w:t xml:space="preserve">NÁRODNÍ ÚSTAV DUŠEVNÍHO ZDRAVÍ, </w:t>
      </w:r>
      <w:proofErr w:type="spellStart"/>
      <w:proofErr w:type="gramStart"/>
      <w:r>
        <w:rPr>
          <w:rFonts w:eastAsia="Times New Roman"/>
          <w:color w:val="000000"/>
          <w:sz w:val="24"/>
          <w:lang w:val="cs-CZ"/>
        </w:rPr>
        <w:t>p.o</w:t>
      </w:r>
      <w:proofErr w:type="spellEnd"/>
      <w:r>
        <w:rPr>
          <w:rFonts w:eastAsia="Times New Roman"/>
          <w:color w:val="000000"/>
          <w:sz w:val="24"/>
          <w:lang w:val="cs-CZ"/>
        </w:rPr>
        <w:t>.</w:t>
      </w:r>
      <w:proofErr w:type="gramEnd"/>
    </w:p>
    <w:p w:rsidR="002505D3" w:rsidRDefault="00456A94">
      <w:pPr>
        <w:tabs>
          <w:tab w:val="left" w:pos="6192"/>
        </w:tabs>
        <w:spacing w:before="46" w:line="267" w:lineRule="exact"/>
        <w:ind w:left="504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prof. MUDr. Cyril </w:t>
      </w:r>
      <w:proofErr w:type="spellStart"/>
      <w:r>
        <w:rPr>
          <w:rFonts w:eastAsia="Times New Roman"/>
          <w:color w:val="000000"/>
          <w:sz w:val="24"/>
          <w:lang w:val="cs-CZ"/>
        </w:rPr>
        <w:t>Hiischl</w:t>
      </w:r>
      <w:proofErr w:type="spellEnd"/>
      <w:r>
        <w:rPr>
          <w:rFonts w:eastAsia="Times New Roman"/>
          <w:color w:val="000000"/>
          <w:sz w:val="24"/>
          <w:lang w:val="cs-CZ"/>
        </w:rPr>
        <w:t xml:space="preserve">, DrSc. </w:t>
      </w:r>
      <w:proofErr w:type="spellStart"/>
      <w:r>
        <w:rPr>
          <w:rFonts w:eastAsia="Times New Roman"/>
          <w:color w:val="000000"/>
          <w:sz w:val="24"/>
          <w:lang w:val="cs-CZ"/>
        </w:rPr>
        <w:t>FRCPsych</w:t>
      </w:r>
      <w:proofErr w:type="spellEnd"/>
      <w:r>
        <w:rPr>
          <w:rFonts w:eastAsia="Times New Roman"/>
          <w:color w:val="000000"/>
          <w:sz w:val="24"/>
          <w:lang w:val="cs-CZ"/>
        </w:rPr>
        <w:t>, ředitel</w:t>
      </w:r>
      <w:r>
        <w:rPr>
          <w:rFonts w:eastAsia="Times New Roman"/>
          <w:color w:val="000000"/>
          <w:sz w:val="24"/>
          <w:lang w:val="cs-CZ"/>
        </w:rPr>
        <w:tab/>
        <w:t xml:space="preserve">Filip </w:t>
      </w:r>
      <w:proofErr w:type="spellStart"/>
      <w:r>
        <w:rPr>
          <w:rFonts w:eastAsia="Times New Roman"/>
          <w:color w:val="000000"/>
          <w:sz w:val="24"/>
          <w:lang w:val="cs-CZ"/>
        </w:rPr>
        <w:t>Háa</w:t>
      </w:r>
      <w:proofErr w:type="spellEnd"/>
      <w:r>
        <w:rPr>
          <w:rFonts w:eastAsia="Times New Roman"/>
          <w:color w:val="000000"/>
          <w:sz w:val="24"/>
          <w:lang w:val="cs-CZ"/>
        </w:rPr>
        <w:t>, jednatel</w:t>
      </w:r>
    </w:p>
    <w:sectPr w:rsidR="002505D3">
      <w:pgSz w:w="11923" w:h="16843"/>
      <w:pgMar w:top="1440" w:right="1322" w:bottom="3387" w:left="88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94" w:rsidRDefault="00456A94" w:rsidP="00456A94">
      <w:r>
        <w:separator/>
      </w:r>
    </w:p>
  </w:endnote>
  <w:endnote w:type="continuationSeparator" w:id="0">
    <w:p w:rsidR="00456A94" w:rsidRDefault="00456A94" w:rsidP="0045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 Narrow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94" w:rsidRDefault="00456A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94" w:rsidRDefault="00456A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94" w:rsidRDefault="00456A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94" w:rsidRDefault="00456A94" w:rsidP="00456A94">
      <w:r>
        <w:separator/>
      </w:r>
    </w:p>
  </w:footnote>
  <w:footnote w:type="continuationSeparator" w:id="0">
    <w:p w:rsidR="00456A94" w:rsidRDefault="00456A94" w:rsidP="00456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94" w:rsidRDefault="00456A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94" w:rsidRDefault="00456A9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94" w:rsidRDefault="00456A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0431E"/>
    <w:multiLevelType w:val="multilevel"/>
    <w:tmpl w:val="43CA090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2505D3"/>
    <w:rsid w:val="002505D3"/>
    <w:rsid w:val="0041031C"/>
    <w:rsid w:val="00456A94"/>
    <w:rsid w:val="007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6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6A94"/>
  </w:style>
  <w:style w:type="paragraph" w:styleId="Zpat">
    <w:name w:val="footer"/>
    <w:basedOn w:val="Normln"/>
    <w:link w:val="ZpatChar"/>
    <w:uiPriority w:val="99"/>
    <w:unhideWhenUsed/>
    <w:rsid w:val="00456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2217</Words>
  <Characters>13086</Characters>
  <Application>Microsoft Office Word</Application>
  <DocSecurity>0</DocSecurity>
  <Lines>109</Lines>
  <Paragraphs>30</Paragraphs>
  <ScaleCrop>false</ScaleCrop>
  <Company/>
  <LinksUpToDate>false</LinksUpToDate>
  <CharactersWithSpaces>15273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2020-06-23T06:48:00Z</dcterms:created>
  <dcterms:modified xsi:type="dcterms:W3CDTF">2020-06-23T06:48:00Z</dcterms:modified>
</cp:coreProperties>
</file>