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2656BC3C"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920BBF" w:rsidRPr="00920BBF">
        <w:rPr>
          <w:rStyle w:val="Siln"/>
          <w:rFonts w:ascii="Arial" w:hAnsi="Arial" w:cs="Arial"/>
          <w:sz w:val="32"/>
          <w:szCs w:val="32"/>
        </w:rPr>
        <w:t>Den seniorů</w:t>
      </w:r>
      <w:r w:rsidR="00364592">
        <w:rPr>
          <w:rStyle w:val="Siln"/>
          <w:rFonts w:ascii="Arial" w:hAnsi="Arial" w:cs="Arial"/>
          <w:sz w:val="32"/>
          <w:szCs w:val="32"/>
        </w:rPr>
        <w:t>“</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24C60BDC" w14:textId="07C33188"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Pr="009045B0">
        <w:rPr>
          <w:rFonts w:ascii="Arial" w:hAnsi="Arial" w:cs="Arial"/>
          <w:sz w:val="20"/>
          <w:szCs w:val="20"/>
        </w:rPr>
        <w:t>CZ70891168</w:t>
      </w:r>
      <w:proofErr w:type="spellEnd"/>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CC2062">
        <w:rPr>
          <w:rFonts w:ascii="Arial" w:hAnsi="Arial" w:cs="Arial"/>
          <w:sz w:val="20"/>
          <w:szCs w:val="20"/>
        </w:rPr>
        <w:t>xxx</w:t>
      </w:r>
      <w:proofErr w:type="spellEnd"/>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proofErr w:type="spellStart"/>
      <w:r w:rsidR="00CC2062">
        <w:rPr>
          <w:rFonts w:ascii="Arial" w:hAnsi="Arial" w:cs="Arial"/>
          <w:sz w:val="20"/>
          <w:szCs w:val="20"/>
        </w:rPr>
        <w:t>xxx</w:t>
      </w:r>
      <w:proofErr w:type="spellEnd"/>
      <w:r w:rsidR="00262E12">
        <w:rPr>
          <w:rFonts w:ascii="Arial" w:hAnsi="Arial" w:cs="Arial"/>
          <w:sz w:val="20"/>
          <w:szCs w:val="20"/>
        </w:rPr>
        <w:t xml:space="preserve"> </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4DA30ACB" w:rsidR="009045B0" w:rsidRPr="009045B0" w:rsidRDefault="00D04623" w:rsidP="009045B0">
      <w:pPr>
        <w:spacing w:line="276" w:lineRule="auto"/>
        <w:rPr>
          <w:rFonts w:ascii="Arial" w:hAnsi="Arial" w:cs="Arial"/>
          <w:b/>
          <w:bCs/>
          <w:i/>
          <w:sz w:val="20"/>
          <w:szCs w:val="20"/>
        </w:rPr>
      </w:pPr>
      <w:r>
        <w:rPr>
          <w:rFonts w:ascii="Arial" w:hAnsi="Arial" w:cs="Arial"/>
          <w:b/>
          <w:bCs/>
          <w:i/>
          <w:sz w:val="20"/>
          <w:szCs w:val="20"/>
        </w:rPr>
        <w:t>Sun Drive Communications s.r.o.</w:t>
      </w:r>
    </w:p>
    <w:p w14:paraId="388C9C1D" w14:textId="02C2A7BD"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4F4EB5">
        <w:rPr>
          <w:rFonts w:ascii="Arial" w:hAnsi="Arial" w:cs="Arial"/>
          <w:sz w:val="20"/>
          <w:szCs w:val="20"/>
        </w:rPr>
        <w:t>Brno, Haraš</w:t>
      </w:r>
      <w:r w:rsidR="00D04623">
        <w:rPr>
          <w:rFonts w:ascii="Arial" w:hAnsi="Arial" w:cs="Arial"/>
          <w:sz w:val="20"/>
          <w:szCs w:val="20"/>
        </w:rPr>
        <w:t xml:space="preserve">tova </w:t>
      </w:r>
      <w:proofErr w:type="gramStart"/>
      <w:r w:rsidR="00AC6F79">
        <w:rPr>
          <w:rFonts w:ascii="Arial" w:hAnsi="Arial" w:cs="Arial"/>
          <w:sz w:val="20"/>
          <w:szCs w:val="20"/>
        </w:rPr>
        <w:t>č.p.</w:t>
      </w:r>
      <w:proofErr w:type="gramEnd"/>
      <w:r w:rsidR="00AC6F79">
        <w:rPr>
          <w:rFonts w:ascii="Arial" w:hAnsi="Arial" w:cs="Arial"/>
          <w:sz w:val="20"/>
          <w:szCs w:val="20"/>
        </w:rPr>
        <w:t xml:space="preserve"> </w:t>
      </w:r>
      <w:r w:rsidR="00D04623">
        <w:rPr>
          <w:rFonts w:ascii="Arial" w:hAnsi="Arial" w:cs="Arial"/>
          <w:sz w:val="20"/>
          <w:szCs w:val="20"/>
        </w:rPr>
        <w:t>370/22, PSČ 620 00</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054DCD4B" w14:textId="5D98ECB1"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D04623">
        <w:rPr>
          <w:rFonts w:ascii="Arial" w:hAnsi="Arial" w:cs="Arial"/>
          <w:sz w:val="20"/>
          <w:szCs w:val="20"/>
        </w:rPr>
        <w:t>26941007</w:t>
      </w:r>
      <w:r w:rsidRPr="009045B0">
        <w:rPr>
          <w:rFonts w:ascii="Arial" w:hAnsi="Arial" w:cs="Arial"/>
          <w:sz w:val="20"/>
          <w:szCs w:val="20"/>
        </w:rPr>
        <w:t xml:space="preserve">                                              </w:t>
      </w:r>
    </w:p>
    <w:p w14:paraId="14C97809" w14:textId="2B0096E8"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proofErr w:type="spellStart"/>
      <w:r w:rsidR="00D04623" w:rsidRPr="00D04623">
        <w:rPr>
          <w:rFonts w:ascii="Arial" w:hAnsi="Arial" w:cs="Arial"/>
          <w:sz w:val="20"/>
          <w:szCs w:val="20"/>
        </w:rPr>
        <w:t>CZ26941007</w:t>
      </w:r>
      <w:proofErr w:type="spellEnd"/>
    </w:p>
    <w:p w14:paraId="5E1FAAF1" w14:textId="4E33CADB"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proofErr w:type="spellStart"/>
      <w:r w:rsidR="00CC2062">
        <w:rPr>
          <w:rFonts w:ascii="Arial" w:hAnsi="Arial" w:cs="Arial"/>
          <w:sz w:val="20"/>
          <w:szCs w:val="20"/>
        </w:rPr>
        <w:t>xxx</w:t>
      </w:r>
      <w:proofErr w:type="spellEnd"/>
    </w:p>
    <w:p w14:paraId="0559AF9B" w14:textId="718103D4"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proofErr w:type="spellStart"/>
      <w:r w:rsidR="00CC2062">
        <w:rPr>
          <w:rFonts w:ascii="Arial" w:hAnsi="Arial" w:cs="Arial"/>
          <w:sz w:val="20"/>
          <w:szCs w:val="20"/>
        </w:rPr>
        <w:t>xxx</w:t>
      </w:r>
      <w:proofErr w:type="spellEnd"/>
    </w:p>
    <w:p w14:paraId="3DF8C774" w14:textId="6185CAE8"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00CC2062">
        <w:rPr>
          <w:rFonts w:ascii="Arial" w:hAnsi="Arial" w:cs="Arial"/>
          <w:sz w:val="20"/>
          <w:szCs w:val="20"/>
        </w:rPr>
        <w:t>xxx</w:t>
      </w:r>
      <w:proofErr w:type="spellEnd"/>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29254087"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F7100E">
        <w:rPr>
          <w:rFonts w:ascii="Arial" w:eastAsia="Times New Roman" w:hAnsi="Arial" w:cs="Arial"/>
          <w:b/>
          <w:sz w:val="20"/>
          <w:szCs w:val="20"/>
          <w:lang w:eastAsia="cs-CZ"/>
        </w:rPr>
        <w:t>„</w:t>
      </w:r>
      <w:r w:rsidR="00D13E68" w:rsidRPr="00D13E68">
        <w:rPr>
          <w:b/>
        </w:rPr>
        <w:t>Senior Pas 2020</w:t>
      </w:r>
      <w:r w:rsidR="00920BBF">
        <w:rPr>
          <w:b/>
        </w:rPr>
        <w:t xml:space="preserve"> </w:t>
      </w:r>
      <w:r w:rsidR="00920BBF" w:rsidRPr="00920BBF">
        <w:rPr>
          <w:rFonts w:ascii="Arial" w:hAnsi="Arial" w:cs="Arial"/>
          <w:b/>
          <w:sz w:val="20"/>
          <w:szCs w:val="20"/>
        </w:rPr>
        <w:t>– část č. 2 - Den seniorů</w:t>
      </w:r>
      <w:r w:rsidR="00315BA8" w:rsidRPr="00F7100E">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4D64E2">
        <w:rPr>
          <w:rFonts w:ascii="Arial" w:eastAsia="Times New Roman" w:hAnsi="Arial" w:cs="Arial"/>
          <w:sz w:val="20"/>
          <w:szCs w:val="20"/>
          <w:lang w:eastAsia="cs-CZ"/>
        </w:rPr>
        <w:t>14. 5. 2020</w:t>
      </w:r>
      <w:r w:rsidR="00315BA8" w:rsidRPr="00F7100E">
        <w:rPr>
          <w:rFonts w:ascii="Arial" w:eastAsia="Times New Roman" w:hAnsi="Arial" w:cs="Arial"/>
          <w:sz w:val="20"/>
          <w:szCs w:val="20"/>
          <w:lang w:eastAsia="cs-CZ"/>
        </w:rPr>
        <w:t xml:space="preserve"> objednatelem jako zadavatelem </w:t>
      </w:r>
      <w:r w:rsidR="00E22F03">
        <w:rPr>
          <w:rFonts w:ascii="Arial" w:eastAsia="Times New Roman" w:hAnsi="Arial" w:cs="Arial"/>
          <w:sz w:val="20"/>
          <w:szCs w:val="20"/>
          <w:lang w:eastAsia="cs-CZ"/>
        </w:rPr>
        <w:t>veřejné zakázky malého rozsahu</w:t>
      </w:r>
      <w:r w:rsidRPr="00F7100E">
        <w:rPr>
          <w:rFonts w:ascii="Arial" w:hAnsi="Arial" w:cs="Arial"/>
          <w:sz w:val="20"/>
          <w:szCs w:val="20"/>
        </w:rPr>
        <w:t>; a</w:t>
      </w:r>
    </w:p>
    <w:p w14:paraId="0739A820"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3C835F42" w14:textId="68AE0AFE" w:rsidR="00092E61"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5556E507" w14:textId="6D15822A" w:rsidR="00D13E68" w:rsidRDefault="00D13E68" w:rsidP="00A14ED3">
      <w:pPr>
        <w:jc w:val="center"/>
        <w:rPr>
          <w:rStyle w:val="Siln"/>
          <w:rFonts w:ascii="Arial" w:hAnsi="Arial" w:cs="Arial"/>
          <w:sz w:val="40"/>
          <w:szCs w:val="40"/>
        </w:rPr>
      </w:pPr>
    </w:p>
    <w:p w14:paraId="6D2F8622" w14:textId="40A3F6EB" w:rsidR="00CC2062" w:rsidRDefault="00CC2062" w:rsidP="00A14ED3">
      <w:pPr>
        <w:jc w:val="center"/>
        <w:rPr>
          <w:rStyle w:val="Siln"/>
          <w:rFonts w:ascii="Arial" w:hAnsi="Arial" w:cs="Arial"/>
          <w:sz w:val="40"/>
          <w:szCs w:val="40"/>
        </w:rPr>
      </w:pPr>
    </w:p>
    <w:p w14:paraId="6D447846" w14:textId="77777777" w:rsidR="00CC2062" w:rsidRDefault="00CC2062" w:rsidP="00A14ED3">
      <w:pPr>
        <w:jc w:val="center"/>
        <w:rPr>
          <w:rStyle w:val="Siln"/>
          <w:rFonts w:ascii="Arial" w:hAnsi="Arial" w:cs="Arial"/>
          <w:sz w:val="40"/>
          <w:szCs w:val="40"/>
        </w:rPr>
      </w:pPr>
    </w:p>
    <w:p w14:paraId="04C09CCA" w14:textId="66A14EBF"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2585AD9C"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Pr="00920BBF">
        <w:rPr>
          <w:rStyle w:val="Siln"/>
          <w:rFonts w:ascii="Arial" w:hAnsi="Arial" w:cs="Arial"/>
          <w:sz w:val="32"/>
          <w:szCs w:val="32"/>
        </w:rPr>
        <w:t>Den seniorů</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73B7CACA"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920BBF">
        <w:rPr>
          <w:rStyle w:val="FontStyle13"/>
          <w:b/>
          <w:i w:val="0"/>
        </w:rPr>
        <w:t>Senior pas 20</w:t>
      </w:r>
      <w:r w:rsidR="00D13E68">
        <w:rPr>
          <w:rStyle w:val="FontStyle13"/>
          <w:b/>
          <w:i w:val="0"/>
        </w:rPr>
        <w:t>20</w:t>
      </w:r>
      <w:r w:rsidR="00E22F03">
        <w:rPr>
          <w:rStyle w:val="FontStyle13"/>
        </w:rPr>
        <w:t xml:space="preserve">" </w:t>
      </w:r>
      <w:r w:rsidR="00E22F03">
        <w:rPr>
          <w:rStyle w:val="FontStyle15"/>
        </w:rPr>
        <w:t xml:space="preserve">za dále sjednaných podmínek zajistit realizaci </w:t>
      </w:r>
      <w:r w:rsidR="00920BBF">
        <w:rPr>
          <w:rStyle w:val="FontStyle15"/>
        </w:rPr>
        <w:t>akce Den seniorů</w:t>
      </w:r>
      <w:r w:rsidR="00E22F03" w:rsidRPr="00E22F03">
        <w:rPr>
          <w:rFonts w:ascii="Arial" w:hAnsi="Arial" w:cs="Arial"/>
          <w:bCs/>
          <w:sz w:val="20"/>
          <w:szCs w:val="20"/>
        </w:rPr>
        <w:t xml:space="preserv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336E3B5E" w:rsidR="0057671F" w:rsidRDefault="0057671F" w:rsidP="00F53858">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Součástí Služby je zejména, nikoliv však výlučně:</w:t>
      </w:r>
    </w:p>
    <w:p w14:paraId="26E84CDB" w14:textId="31751141" w:rsidR="0057671F" w:rsidRDefault="00931460"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propagace akce tak, aby byla zajištěna účast min. 100 seniorů na každém místě konání</w:t>
      </w:r>
    </w:p>
    <w:p w14:paraId="7323B191" w14:textId="46C58DA4" w:rsidR="00A94B61" w:rsidRDefault="00A94B61"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prostor pro konání akce</w:t>
      </w:r>
    </w:p>
    <w:p w14:paraId="58500B84" w14:textId="3DDC59BB" w:rsidR="00931460" w:rsidRDefault="00931460"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moderování akce</w:t>
      </w:r>
    </w:p>
    <w:p w14:paraId="496B20B1" w14:textId="1B17559D" w:rsidR="00931460" w:rsidRDefault="00931460"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3 kulturních vstupů (např. hudební či taneční vystoupení)</w:t>
      </w:r>
      <w:r w:rsidR="00D13E68">
        <w:rPr>
          <w:rFonts w:ascii="Arial" w:hAnsi="Arial" w:cs="Arial"/>
          <w:bCs/>
          <w:sz w:val="20"/>
          <w:szCs w:val="20"/>
        </w:rPr>
        <w:t xml:space="preserve"> v trvání cca 20 min.</w:t>
      </w:r>
    </w:p>
    <w:p w14:paraId="6BD1D729" w14:textId="00989F39" w:rsidR="00931460" w:rsidRDefault="00931460" w:rsidP="00931460">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3 doplňkových aktivit pro seniory (např. </w:t>
      </w:r>
      <w:r w:rsidRPr="00931460">
        <w:rPr>
          <w:rFonts w:ascii="Arial" w:hAnsi="Arial" w:cs="Arial"/>
          <w:bCs/>
          <w:sz w:val="20"/>
          <w:szCs w:val="20"/>
        </w:rPr>
        <w:t xml:space="preserve">např. měření tlaku krve, měření hladiny cukru v krvi, ukázka techniky </w:t>
      </w:r>
      <w:proofErr w:type="spellStart"/>
      <w:r w:rsidRPr="00931460">
        <w:rPr>
          <w:rFonts w:ascii="Arial" w:hAnsi="Arial" w:cs="Arial"/>
          <w:bCs/>
          <w:sz w:val="20"/>
          <w:szCs w:val="20"/>
        </w:rPr>
        <w:t>nordic</w:t>
      </w:r>
      <w:proofErr w:type="spellEnd"/>
      <w:r w:rsidRPr="00931460">
        <w:rPr>
          <w:rFonts w:ascii="Arial" w:hAnsi="Arial" w:cs="Arial"/>
          <w:bCs/>
          <w:sz w:val="20"/>
          <w:szCs w:val="20"/>
        </w:rPr>
        <w:t xml:space="preserve"> </w:t>
      </w:r>
      <w:proofErr w:type="spellStart"/>
      <w:r w:rsidRPr="00931460">
        <w:rPr>
          <w:rFonts w:ascii="Arial" w:hAnsi="Arial" w:cs="Arial"/>
          <w:bCs/>
          <w:sz w:val="20"/>
          <w:szCs w:val="20"/>
        </w:rPr>
        <w:t>walking</w:t>
      </w:r>
      <w:proofErr w:type="spellEnd"/>
      <w:r w:rsidRPr="00931460">
        <w:rPr>
          <w:rFonts w:ascii="Arial" w:hAnsi="Arial" w:cs="Arial"/>
          <w:bCs/>
          <w:sz w:val="20"/>
          <w:szCs w:val="20"/>
        </w:rPr>
        <w:t>, testy na motoriku, nebo procvičení paměti apod.)</w:t>
      </w:r>
    </w:p>
    <w:p w14:paraId="7A210201" w14:textId="5A0BC8F3" w:rsidR="00931460" w:rsidRDefault="00931460" w:rsidP="00931460">
      <w:pPr>
        <w:pStyle w:val="Odstavecseseznamem"/>
        <w:numPr>
          <w:ilvl w:val="0"/>
          <w:numId w:val="26"/>
        </w:numPr>
        <w:spacing w:before="120" w:after="120"/>
        <w:contextualSpacing w:val="0"/>
        <w:jc w:val="both"/>
        <w:rPr>
          <w:rFonts w:ascii="Arial" w:hAnsi="Arial" w:cs="Arial"/>
          <w:bCs/>
          <w:sz w:val="20"/>
          <w:szCs w:val="20"/>
        </w:rPr>
      </w:pPr>
      <w:r w:rsidRPr="00931460">
        <w:rPr>
          <w:rFonts w:ascii="Arial" w:hAnsi="Arial" w:cs="Arial"/>
          <w:bCs/>
          <w:sz w:val="20"/>
          <w:szCs w:val="20"/>
        </w:rPr>
        <w:t>zajištění možnosti registrace zájemců do projektu Senior Pas po celou dobu akce</w:t>
      </w:r>
    </w:p>
    <w:p w14:paraId="1128F7CF" w14:textId="0DFA05F5" w:rsidR="00931460" w:rsidRDefault="00931460" w:rsidP="00931460">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občerstvení v podobě vody, čaje, kávy nebo jiného </w:t>
      </w:r>
      <w:r w:rsidR="00857790">
        <w:rPr>
          <w:rFonts w:ascii="Arial" w:hAnsi="Arial" w:cs="Arial"/>
          <w:bCs/>
          <w:sz w:val="20"/>
          <w:szCs w:val="20"/>
        </w:rPr>
        <w:t>nealkoholického nápoje po celou dobu konání akce</w:t>
      </w:r>
    </w:p>
    <w:p w14:paraId="7B357B0E" w14:textId="1E005B07" w:rsidR="00066AF9" w:rsidRDefault="00066AF9" w:rsidP="00066AF9">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publicity</w:t>
      </w:r>
    </w:p>
    <w:p w14:paraId="0884C8FF" w14:textId="35487BF8" w:rsidR="00857790" w:rsidRDefault="00857790" w:rsidP="00931460">
      <w:pPr>
        <w:spacing w:before="120" w:after="120"/>
        <w:jc w:val="both"/>
        <w:rPr>
          <w:rFonts w:ascii="Arial" w:hAnsi="Arial" w:cs="Arial"/>
          <w:bCs/>
          <w:sz w:val="20"/>
          <w:szCs w:val="20"/>
        </w:rPr>
      </w:pPr>
    </w:p>
    <w:p w14:paraId="38C8AC44" w14:textId="77777777" w:rsidR="00D13E68" w:rsidRDefault="00D13E68" w:rsidP="00931460">
      <w:pPr>
        <w:spacing w:before="120" w:after="12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601C4253" w:rsidR="00985F9A" w:rsidRPr="00985F9A" w:rsidRDefault="00637B5D" w:rsidP="00F53858">
      <w:pPr>
        <w:pStyle w:val="Odstavecseseznamem"/>
        <w:numPr>
          <w:ilvl w:val="0"/>
          <w:numId w:val="17"/>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535C41">
        <w:rPr>
          <w:rFonts w:ascii="Arial" w:hAnsi="Arial" w:cs="Arial"/>
          <w:bCs/>
          <w:sz w:val="20"/>
          <w:szCs w:val="20"/>
        </w:rPr>
        <w:t xml:space="preserve"> termínu </w:t>
      </w:r>
      <w:r w:rsidR="00D13E68">
        <w:rPr>
          <w:rFonts w:ascii="Arial" w:hAnsi="Arial" w:cs="Arial"/>
          <w:bCs/>
          <w:sz w:val="20"/>
          <w:szCs w:val="20"/>
        </w:rPr>
        <w:t>1</w:t>
      </w:r>
      <w:r w:rsidR="00535C41">
        <w:rPr>
          <w:rFonts w:ascii="Arial" w:hAnsi="Arial" w:cs="Arial"/>
          <w:bCs/>
          <w:sz w:val="20"/>
          <w:szCs w:val="20"/>
        </w:rPr>
        <w:t xml:space="preserve">. </w:t>
      </w:r>
      <w:r w:rsidR="00D13E68">
        <w:rPr>
          <w:rFonts w:ascii="Arial" w:hAnsi="Arial" w:cs="Arial"/>
          <w:bCs/>
          <w:sz w:val="20"/>
          <w:szCs w:val="20"/>
        </w:rPr>
        <w:t>10</w:t>
      </w:r>
      <w:r w:rsidR="00535C41">
        <w:rPr>
          <w:rFonts w:ascii="Arial" w:hAnsi="Arial" w:cs="Arial"/>
          <w:bCs/>
          <w:sz w:val="20"/>
          <w:szCs w:val="20"/>
        </w:rPr>
        <w:t>. 20</w:t>
      </w:r>
      <w:r w:rsidR="00D13E68">
        <w:rPr>
          <w:rFonts w:ascii="Arial" w:hAnsi="Arial" w:cs="Arial"/>
          <w:bCs/>
          <w:sz w:val="20"/>
          <w:szCs w:val="20"/>
        </w:rPr>
        <w:t>20</w:t>
      </w:r>
      <w:r w:rsidR="00535C41">
        <w:rPr>
          <w:rFonts w:ascii="Arial" w:hAnsi="Arial" w:cs="Arial"/>
          <w:bCs/>
          <w:sz w:val="20"/>
          <w:szCs w:val="20"/>
        </w:rPr>
        <w:t xml:space="preserve"> na následujících místech:</w:t>
      </w:r>
    </w:p>
    <w:p w14:paraId="71C8FA84" w14:textId="322A8B0E" w:rsidR="00B061DD" w:rsidRDefault="00535C41" w:rsidP="00535C41">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 xml:space="preserve">město </w:t>
      </w:r>
      <w:r w:rsidR="00D13E68">
        <w:rPr>
          <w:rFonts w:ascii="Arial" w:hAnsi="Arial" w:cs="Arial"/>
          <w:bCs/>
          <w:sz w:val="20"/>
          <w:szCs w:val="20"/>
        </w:rPr>
        <w:t>Chodov</w:t>
      </w:r>
      <w:r>
        <w:rPr>
          <w:rFonts w:ascii="Arial" w:hAnsi="Arial" w:cs="Arial"/>
          <w:bCs/>
          <w:sz w:val="20"/>
          <w:szCs w:val="20"/>
        </w:rPr>
        <w:t xml:space="preserve"> v čase od 10,00 do 12,00 hod.</w:t>
      </w:r>
    </w:p>
    <w:p w14:paraId="54ECE90D" w14:textId="14DCAF08" w:rsidR="00535C41" w:rsidRPr="00535C41" w:rsidRDefault="00535C41" w:rsidP="00535C41">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 xml:space="preserve">město </w:t>
      </w:r>
      <w:r w:rsidR="00D13E68">
        <w:rPr>
          <w:rFonts w:ascii="Arial" w:hAnsi="Arial" w:cs="Arial"/>
          <w:bCs/>
          <w:sz w:val="20"/>
          <w:szCs w:val="20"/>
        </w:rPr>
        <w:t>Cheb</w:t>
      </w:r>
      <w:r>
        <w:rPr>
          <w:rFonts w:ascii="Arial" w:hAnsi="Arial" w:cs="Arial"/>
          <w:bCs/>
          <w:sz w:val="20"/>
          <w:szCs w:val="20"/>
        </w:rPr>
        <w:t xml:space="preserve"> v čase od 15,00 do 17,00 hod.</w:t>
      </w:r>
    </w:p>
    <w:p w14:paraId="33A066E3" w14:textId="299F21EE" w:rsidR="009A204B" w:rsidRDefault="009A204B" w:rsidP="00F42737">
      <w:pPr>
        <w:spacing w:before="120" w:after="120" w:line="276" w:lineRule="auto"/>
        <w:contextualSpacing/>
        <w:jc w:val="both"/>
        <w:rPr>
          <w:rFonts w:ascii="Arial" w:hAnsi="Arial" w:cs="Arial"/>
          <w:bCs/>
          <w:sz w:val="20"/>
          <w:szCs w:val="20"/>
        </w:rPr>
      </w:pPr>
    </w:p>
    <w:p w14:paraId="58E57B9B" w14:textId="77777777" w:rsidR="00D13E68" w:rsidRDefault="00D13E68"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72DD6FF6"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lastRenderedPageBreak/>
        <w:t xml:space="preserve">     Cena bez DPH </w:t>
      </w:r>
      <w:r w:rsidR="004D64E2">
        <w:rPr>
          <w:rFonts w:ascii="Arial" w:hAnsi="Arial" w:cs="Arial"/>
          <w:sz w:val="20"/>
          <w:szCs w:val="20"/>
        </w:rPr>
        <w:t xml:space="preserve">112.000,- </w:t>
      </w:r>
      <w:r w:rsidR="00A87712" w:rsidRPr="00F7100E">
        <w:rPr>
          <w:rFonts w:ascii="Arial" w:hAnsi="Arial" w:cs="Arial"/>
          <w:sz w:val="20"/>
          <w:szCs w:val="20"/>
        </w:rPr>
        <w:t>Kč</w:t>
      </w:r>
    </w:p>
    <w:p w14:paraId="0465753C" w14:textId="01372D13"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4D64E2">
        <w:rPr>
          <w:rFonts w:ascii="Arial" w:hAnsi="Arial" w:cs="Arial"/>
          <w:sz w:val="20"/>
          <w:szCs w:val="20"/>
        </w:rPr>
        <w:t>sto dvanáct</w:t>
      </w:r>
      <w:r w:rsidR="004F4EB5">
        <w:rPr>
          <w:rFonts w:ascii="Arial" w:hAnsi="Arial" w:cs="Arial"/>
          <w:sz w:val="20"/>
          <w:szCs w:val="20"/>
        </w:rPr>
        <w:t xml:space="preserve"> tisíc</w:t>
      </w:r>
      <w:r w:rsidR="004D64E2">
        <w:rPr>
          <w:rFonts w:ascii="Arial" w:hAnsi="Arial" w:cs="Arial"/>
          <w:sz w:val="20"/>
          <w:szCs w:val="20"/>
        </w:rPr>
        <w:t xml:space="preserve"> korun českých</w:t>
      </w:r>
      <w:r w:rsidRPr="00F7100E">
        <w:rPr>
          <w:rFonts w:ascii="Arial" w:hAnsi="Arial" w:cs="Arial"/>
          <w:sz w:val="20"/>
          <w:szCs w:val="20"/>
        </w:rPr>
        <w:t>)</w:t>
      </w:r>
    </w:p>
    <w:p w14:paraId="434F4142" w14:textId="31D6BB74"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004D64E2">
        <w:rPr>
          <w:rFonts w:ascii="Arial" w:hAnsi="Arial" w:cs="Arial"/>
          <w:sz w:val="20"/>
          <w:szCs w:val="20"/>
        </w:rPr>
        <w:t>23.520,-</w:t>
      </w:r>
      <w:r w:rsidRPr="00F7100E">
        <w:rPr>
          <w:rFonts w:ascii="Arial" w:hAnsi="Arial" w:cs="Arial"/>
          <w:sz w:val="20"/>
          <w:szCs w:val="20"/>
        </w:rPr>
        <w:t>Kč</w:t>
      </w:r>
    </w:p>
    <w:p w14:paraId="52875F3C" w14:textId="5F888FF8"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4D64E2">
        <w:rPr>
          <w:rFonts w:ascii="Arial" w:hAnsi="Arial" w:cs="Arial"/>
          <w:sz w:val="20"/>
          <w:szCs w:val="20"/>
        </w:rPr>
        <w:t>dvacet tři tisíc pět set dvacet korun českých</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1CE41538"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4D64E2">
        <w:rPr>
          <w:rFonts w:ascii="Arial" w:hAnsi="Arial" w:cs="Arial"/>
          <w:sz w:val="20"/>
          <w:szCs w:val="20"/>
        </w:rPr>
        <w:t xml:space="preserve">135.520,- </w:t>
      </w:r>
      <w:r w:rsidRPr="00F7100E">
        <w:rPr>
          <w:rFonts w:ascii="Arial" w:hAnsi="Arial" w:cs="Arial"/>
          <w:sz w:val="20"/>
          <w:szCs w:val="20"/>
        </w:rPr>
        <w:t>Kč</w:t>
      </w:r>
    </w:p>
    <w:p w14:paraId="1A9EC5A6" w14:textId="39BFDFD4"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00090114">
        <w:rPr>
          <w:rFonts w:cs="Arial"/>
          <w:sz w:val="20"/>
          <w:szCs w:val="20"/>
        </w:rPr>
        <w:t>sto třicet pět tisíc pět set dvacet korun českých</w:t>
      </w:r>
      <w:r w:rsidRPr="00F7100E">
        <w:rPr>
          <w:rFonts w:cs="Arial"/>
          <w:sz w:val="20"/>
          <w:szCs w:val="20"/>
        </w:rPr>
        <w:t>)</w:t>
      </w:r>
    </w:p>
    <w:p w14:paraId="79156CB7" w14:textId="77777777" w:rsidR="00F95369" w:rsidRDefault="00F95369"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44A2F78C" w:rsidR="0051140E" w:rsidRPr="002121D6"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AC6F79">
        <w:rPr>
          <w:rFonts w:ascii="Arial" w:hAnsi="Arial" w:cs="Arial"/>
          <w:bCs/>
          <w:sz w:val="20"/>
          <w:szCs w:val="20"/>
        </w:rPr>
        <w:t xml:space="preserve">Splatnost faktury – daňového dokladu je dohodou smluvních stran </w:t>
      </w:r>
      <w:r w:rsidR="00AC6F79" w:rsidRPr="00AC6F79">
        <w:rPr>
          <w:rFonts w:ascii="Arial" w:hAnsi="Arial" w:cs="Arial"/>
          <w:bCs/>
          <w:sz w:val="20"/>
          <w:szCs w:val="20"/>
        </w:rPr>
        <w:t xml:space="preserve">stanovena na 30 dní </w:t>
      </w:r>
      <w:r w:rsidR="00AC6F79">
        <w:rPr>
          <w:rFonts w:ascii="Arial" w:hAnsi="Arial" w:cs="Arial"/>
          <w:bCs/>
          <w:sz w:val="20"/>
          <w:szCs w:val="20"/>
        </w:rPr>
        <w:t>o</w:t>
      </w:r>
      <w:r w:rsidRPr="00AC6F79">
        <w:rPr>
          <w:rFonts w:ascii="Arial" w:hAnsi="Arial" w:cs="Arial"/>
          <w:bCs/>
          <w:sz w:val="20"/>
          <w:szCs w:val="20"/>
        </w:rPr>
        <w:t>de dne jejího prokazatelného doručení objednateli. Zaplacením se pro účely této smlouvy rozumí odepsání</w:t>
      </w:r>
      <w:r w:rsidRPr="002121D6">
        <w:rPr>
          <w:rFonts w:ascii="Arial" w:hAnsi="Arial" w:cs="Arial"/>
          <w:bCs/>
          <w:sz w:val="20"/>
          <w:szCs w:val="20"/>
        </w:rPr>
        <w:t xml:space="preserve">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61AA298"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w:t>
      </w:r>
      <w:proofErr w:type="spellStart"/>
      <w:r w:rsidRPr="00F7100E">
        <w:rPr>
          <w:rFonts w:ascii="Arial" w:hAnsi="Arial" w:cs="Arial"/>
          <w:bCs/>
          <w:sz w:val="20"/>
          <w:szCs w:val="20"/>
        </w:rPr>
        <w:t>106a</w:t>
      </w:r>
      <w:proofErr w:type="spellEnd"/>
      <w:r w:rsidRPr="00F7100E">
        <w:rPr>
          <w:rFonts w:ascii="Arial" w:hAnsi="Arial" w:cs="Arial"/>
          <w:bCs/>
          <w:sz w:val="20"/>
          <w:szCs w:val="20"/>
        </w:rPr>
        <w:t xml:space="preserve">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3BBDCD8F" w14:textId="0413090B" w:rsidR="004D25EE" w:rsidRDefault="004D25EE" w:rsidP="004D25EE">
      <w:pPr>
        <w:pStyle w:val="Style4"/>
        <w:widowControl/>
        <w:spacing w:before="24"/>
        <w:rPr>
          <w:rStyle w:val="FontStyle14"/>
        </w:rPr>
      </w:pPr>
    </w:p>
    <w:p w14:paraId="694EADFB" w14:textId="77777777" w:rsidR="00D13B86" w:rsidRDefault="00D13B86" w:rsidP="004D25EE">
      <w:pPr>
        <w:pStyle w:val="Style4"/>
        <w:widowControl/>
        <w:spacing w:before="24"/>
        <w:rPr>
          <w:rStyle w:val="FontStyle14"/>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2BB8E9FB" w14:textId="5EE0F253" w:rsidR="00857790" w:rsidRDefault="00857790" w:rsidP="004B7584">
      <w:pPr>
        <w:pStyle w:val="Style10"/>
        <w:widowControl/>
        <w:numPr>
          <w:ilvl w:val="0"/>
          <w:numId w:val="16"/>
        </w:numPr>
        <w:tabs>
          <w:tab w:val="left" w:pos="346"/>
        </w:tabs>
        <w:spacing w:before="254" w:line="250" w:lineRule="exact"/>
        <w:ind w:left="346" w:hanging="346"/>
        <w:rPr>
          <w:rStyle w:val="FontStyle15"/>
        </w:rPr>
      </w:pPr>
      <w:r>
        <w:rPr>
          <w:rStyle w:val="FontStyle15"/>
        </w:rPr>
        <w:t>Poskytovatel je povinen před započetím poskytování Služby požádat o udělení záštity hejtman</w:t>
      </w:r>
      <w:r w:rsidR="00A13487">
        <w:rPr>
          <w:rStyle w:val="FontStyle15"/>
        </w:rPr>
        <w:t>a</w:t>
      </w:r>
      <w:r>
        <w:rPr>
          <w:rStyle w:val="FontStyle15"/>
        </w:rPr>
        <w:t xml:space="preserve"> Karlovarského kraje nad touto akcí. </w:t>
      </w:r>
      <w:r w:rsidR="004B7584">
        <w:rPr>
          <w:rStyle w:val="FontStyle15"/>
        </w:rPr>
        <w:t xml:space="preserve">Formulář žádosti je ke stažení zde </w:t>
      </w:r>
      <w:hyperlink r:id="rId7" w:history="1">
        <w:r w:rsidR="004B7584" w:rsidRPr="000E2CE2">
          <w:rPr>
            <w:rStyle w:val="Hypertextovodkaz"/>
            <w:rFonts w:ascii="Arial" w:hAnsi="Arial" w:cs="Arial"/>
            <w:sz w:val="20"/>
            <w:szCs w:val="20"/>
          </w:rPr>
          <w:t>http://</w:t>
        </w:r>
        <w:proofErr w:type="gramStart"/>
        <w:r w:rsidR="004B7584" w:rsidRPr="000E2CE2">
          <w:rPr>
            <w:rStyle w:val="Hypertextovodkaz"/>
            <w:rFonts w:ascii="Arial" w:hAnsi="Arial" w:cs="Arial"/>
            <w:sz w:val="20"/>
            <w:szCs w:val="20"/>
          </w:rPr>
          <w:t>www.kr-karlovarsky</w:t>
        </w:r>
        <w:proofErr w:type="gramEnd"/>
        <w:r w:rsidR="004B7584" w:rsidRPr="000E2CE2">
          <w:rPr>
            <w:rStyle w:val="Hypertextovodkaz"/>
            <w:rFonts w:ascii="Arial" w:hAnsi="Arial" w:cs="Arial"/>
            <w:sz w:val="20"/>
            <w:szCs w:val="20"/>
          </w:rPr>
          <w:t>.cz/</w:t>
        </w:r>
        <w:proofErr w:type="spellStart"/>
        <w:r w:rsidR="004B7584" w:rsidRPr="000E2CE2">
          <w:rPr>
            <w:rStyle w:val="Hypertextovodkaz"/>
            <w:rFonts w:ascii="Arial" w:hAnsi="Arial" w:cs="Arial"/>
            <w:sz w:val="20"/>
            <w:szCs w:val="20"/>
          </w:rPr>
          <w:t>samosprava</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Stranky</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poskyt.aspx</w:t>
        </w:r>
        <w:proofErr w:type="spellEnd"/>
      </w:hyperlink>
      <w:r w:rsidR="004B7584">
        <w:rPr>
          <w:rStyle w:val="FontStyle15"/>
        </w:rPr>
        <w:t xml:space="preserve">.  </w:t>
      </w:r>
    </w:p>
    <w:p w14:paraId="76BD48F8" w14:textId="7E05FA8A" w:rsidR="00D13B86" w:rsidRDefault="00D13B86" w:rsidP="00D13B86">
      <w:pPr>
        <w:pStyle w:val="Style10"/>
        <w:widowControl/>
        <w:numPr>
          <w:ilvl w:val="0"/>
          <w:numId w:val="16"/>
        </w:numPr>
        <w:tabs>
          <w:tab w:val="left" w:pos="346"/>
        </w:tabs>
        <w:spacing w:before="254" w:line="250" w:lineRule="exact"/>
        <w:ind w:left="346" w:hanging="346"/>
        <w:rPr>
          <w:rStyle w:val="FontStyle15"/>
        </w:rPr>
      </w:pPr>
      <w:r>
        <w:rPr>
          <w:rStyle w:val="FontStyle15"/>
        </w:rPr>
        <w:t xml:space="preserve">Poskytovatel je povinen </w:t>
      </w:r>
      <w:r w:rsidRPr="00D13B86">
        <w:rPr>
          <w:rStyle w:val="FontStyle15"/>
        </w:rPr>
        <w:t xml:space="preserve">zaslat v el. </w:t>
      </w:r>
      <w:proofErr w:type="gramStart"/>
      <w:r w:rsidRPr="00D13B86">
        <w:rPr>
          <w:rStyle w:val="FontStyle15"/>
        </w:rPr>
        <w:t>podobě</w:t>
      </w:r>
      <w:proofErr w:type="gramEnd"/>
      <w:r w:rsidRPr="00D13B86">
        <w:rPr>
          <w:rStyle w:val="FontStyle15"/>
        </w:rPr>
        <w:t xml:space="preserve"> do 24 hod. od skončení akce minimálně 5 fotografií z každého místa konání, a to na </w:t>
      </w:r>
      <w:r>
        <w:rPr>
          <w:rStyle w:val="FontStyle15"/>
        </w:rPr>
        <w:t xml:space="preserve">mailovou </w:t>
      </w:r>
      <w:r w:rsidRPr="00D13B86">
        <w:rPr>
          <w:rStyle w:val="FontStyle15"/>
        </w:rPr>
        <w:t xml:space="preserve">adresu kontaktní osoby </w:t>
      </w:r>
      <w:r>
        <w:rPr>
          <w:rStyle w:val="FontStyle15"/>
        </w:rPr>
        <w:t>objednatele</w:t>
      </w:r>
      <w:r w:rsidRPr="00D13B86">
        <w:rPr>
          <w:rStyle w:val="FontStyle15"/>
        </w:rPr>
        <w:t>.</w:t>
      </w:r>
    </w:p>
    <w:p w14:paraId="0679CEBA" w14:textId="724A695C"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lastRenderedPageBreak/>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4CFB5ED2"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1E3FDD6" w14:textId="48C25B9D" w:rsidR="002121D6"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Default="00D13B86"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6A86D19" w14:textId="1D4B7251" w:rsidR="00FF0C48" w:rsidRDefault="007607A2"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sidR="006378E7" w:rsidRPr="000025D4">
        <w:rPr>
          <w:rStyle w:val="FontStyle15"/>
        </w:rPr>
        <w:t xml:space="preserve"> případě </w:t>
      </w:r>
      <w:r w:rsidR="00A76F9C" w:rsidRPr="000025D4">
        <w:rPr>
          <w:rStyle w:val="FontStyle15"/>
        </w:rPr>
        <w:t xml:space="preserve">prodlení poskytovatele s plněním předmětu smlouvy </w:t>
      </w:r>
      <w:r w:rsidR="00B061DD" w:rsidRPr="000025D4">
        <w:rPr>
          <w:rStyle w:val="FontStyle15"/>
        </w:rPr>
        <w:t>v termínech dle čl. III. odst. 1</w:t>
      </w:r>
      <w:r w:rsidR="0058113D">
        <w:rPr>
          <w:rStyle w:val="FontStyle15"/>
        </w:rPr>
        <w:t>.</w:t>
      </w:r>
      <w:r w:rsidR="00B061DD" w:rsidRPr="000025D4">
        <w:rPr>
          <w:rStyle w:val="FontStyle15"/>
        </w:rPr>
        <w:t xml:space="preserve"> smlouvy</w:t>
      </w:r>
      <w:r w:rsidR="00A76F9C" w:rsidRPr="000025D4">
        <w:rPr>
          <w:rStyle w:val="FontStyle15"/>
        </w:rPr>
        <w:t>, je objednatel vůči němu oprávněn uplatnit smluvní pokutu</w:t>
      </w:r>
      <w:r w:rsidR="006378E7" w:rsidRPr="000025D4">
        <w:rPr>
          <w:rStyle w:val="FontStyle15"/>
        </w:rPr>
        <w:t xml:space="preserve"> smluvní pokut</w:t>
      </w:r>
      <w:r w:rsidRPr="000025D4">
        <w:rPr>
          <w:rStyle w:val="FontStyle15"/>
        </w:rPr>
        <w:t>u</w:t>
      </w:r>
      <w:r w:rsidR="006378E7" w:rsidRPr="000025D4">
        <w:rPr>
          <w:rStyle w:val="FontStyle15"/>
        </w:rPr>
        <w:t xml:space="preserve"> ve výši </w:t>
      </w:r>
      <w:r w:rsidR="004B7584">
        <w:rPr>
          <w:rStyle w:val="FontStyle15"/>
        </w:rPr>
        <w:t>5</w:t>
      </w:r>
      <w:r w:rsidR="00B061DD" w:rsidRPr="000025D4">
        <w:rPr>
          <w:rStyle w:val="FontStyle15"/>
        </w:rPr>
        <w:t>00</w:t>
      </w:r>
      <w:r w:rsidR="006378E7" w:rsidRPr="000025D4">
        <w:rPr>
          <w:rStyle w:val="FontStyle15"/>
        </w:rPr>
        <w:t xml:space="preserve">,- Kč za </w:t>
      </w:r>
      <w:r w:rsidR="004B7584">
        <w:rPr>
          <w:rStyle w:val="FontStyle15"/>
        </w:rPr>
        <w:t>každou i započatou hodinu prodlení</w:t>
      </w:r>
      <w:r w:rsidR="006378E7" w:rsidRPr="000025D4">
        <w:rPr>
          <w:rStyle w:val="FontStyle15"/>
        </w:rPr>
        <w:t>.</w:t>
      </w:r>
    </w:p>
    <w:p w14:paraId="585F0889" w14:textId="59ADD384"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233353">
        <w:rPr>
          <w:rStyle w:val="FontStyle15"/>
        </w:rPr>
        <w:t>3</w:t>
      </w:r>
      <w:r w:rsidR="000025D4" w:rsidRPr="000025D4">
        <w:rPr>
          <w:rStyle w:val="FontStyle15"/>
        </w:rPr>
        <w:t>00</w:t>
      </w:r>
      <w:r w:rsidRPr="000025D4">
        <w:rPr>
          <w:rStyle w:val="FontStyle15"/>
        </w:rPr>
        <w:t>,- Kč za každé takovéto porušení.</w:t>
      </w:r>
    </w:p>
    <w:p w14:paraId="7B85DE31" w14:textId="55E96D2A"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1CCBCA4E" w14:textId="7ED60C2F"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5E95A6F8" w14:textId="41CF0097" w:rsidR="000025D4" w:rsidRDefault="000025D4" w:rsidP="009B532F">
      <w:pPr>
        <w:spacing w:before="120" w:after="120"/>
        <w:ind w:left="720"/>
        <w:jc w:val="both"/>
        <w:rPr>
          <w:rFonts w:ascii="Arial" w:hAnsi="Arial" w:cs="Arial"/>
          <w:bCs/>
          <w:sz w:val="20"/>
          <w:szCs w:val="20"/>
        </w:rPr>
      </w:pPr>
    </w:p>
    <w:p w14:paraId="3D566C29" w14:textId="77777777" w:rsidR="00D13B86" w:rsidRPr="00F7100E" w:rsidRDefault="00D13B86" w:rsidP="009B532F">
      <w:pPr>
        <w:spacing w:before="120" w:after="120"/>
        <w:ind w:left="720"/>
        <w:jc w:val="both"/>
        <w:rPr>
          <w:rFonts w:ascii="Arial" w:hAnsi="Arial" w:cs="Arial"/>
          <w:bCs/>
          <w:sz w:val="20"/>
          <w:szCs w:val="20"/>
        </w:rPr>
      </w:pPr>
    </w:p>
    <w:p w14:paraId="4C6B5B78" w14:textId="26143235"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t>Ukončení smlouvy</w:t>
      </w:r>
    </w:p>
    <w:p w14:paraId="3308E9BC"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7FBA570"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Kterákoliv ze smluvních stran může od této smlouvy odstoupit z důvodu podstatného porušení povinností vyplývajících z této smlouvy. Za podstatné porušení podmínek smlouvy smluvní strany považují:</w:t>
      </w:r>
    </w:p>
    <w:p w14:paraId="0C06B938" w14:textId="3A28140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termínů</w:t>
      </w:r>
      <w:r w:rsidR="00B55BAF">
        <w:rPr>
          <w:rFonts w:ascii="Arial" w:hAnsi="Arial" w:cs="Arial"/>
          <w:bCs/>
          <w:sz w:val="20"/>
          <w:szCs w:val="20"/>
        </w:rPr>
        <w:t xml:space="preserve"> dle </w:t>
      </w:r>
      <w:r w:rsidR="00FF0C48">
        <w:rPr>
          <w:rFonts w:ascii="Arial" w:hAnsi="Arial" w:cs="Arial"/>
          <w:bCs/>
          <w:sz w:val="20"/>
          <w:szCs w:val="20"/>
        </w:rPr>
        <w:t>čl. III.</w:t>
      </w:r>
      <w:r w:rsidR="00B55BAF">
        <w:rPr>
          <w:rFonts w:ascii="Arial" w:hAnsi="Arial" w:cs="Arial"/>
          <w:bCs/>
          <w:sz w:val="20"/>
          <w:szCs w:val="20"/>
        </w:rPr>
        <w:t xml:space="preserve"> o více než </w:t>
      </w:r>
      <w:r w:rsidR="00FF0C48">
        <w:rPr>
          <w:rFonts w:ascii="Arial" w:hAnsi="Arial" w:cs="Arial"/>
          <w:bCs/>
          <w:sz w:val="20"/>
          <w:szCs w:val="20"/>
        </w:rPr>
        <w:t>2 dny</w:t>
      </w:r>
      <w:r w:rsidRPr="00BB0F3D">
        <w:rPr>
          <w:rFonts w:ascii="Arial" w:hAnsi="Arial" w:cs="Arial"/>
          <w:bCs/>
          <w:sz w:val="20"/>
          <w:szCs w:val="20"/>
        </w:rPr>
        <w:t>,</w:t>
      </w:r>
    </w:p>
    <w:p w14:paraId="00139BAC" w14:textId="4747FCD0"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neuhrazení fakturované částky objednatelem do 30 dnů ode dne splatnosti příslušného řádně doručeného daňového dokladu.</w:t>
      </w:r>
    </w:p>
    <w:p w14:paraId="0B47BC87"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Odstoupení nabývá účinnosti dnem prokazatelného doručení jeho písemného vyhotovení druhé smluvní straně.</w:t>
      </w:r>
    </w:p>
    <w:p w14:paraId="2CE63729" w14:textId="7CC48D18" w:rsidR="00482282" w:rsidRDefault="00482282" w:rsidP="004B291E">
      <w:pPr>
        <w:spacing w:line="276" w:lineRule="auto"/>
        <w:rPr>
          <w:rFonts w:ascii="Arial" w:hAnsi="Arial" w:cs="Arial"/>
          <w:b/>
          <w:bCs/>
          <w:sz w:val="20"/>
          <w:szCs w:val="20"/>
        </w:rPr>
      </w:pPr>
    </w:p>
    <w:p w14:paraId="1B65DF90" w14:textId="77777777" w:rsidR="00E87B69" w:rsidRDefault="00E87B69" w:rsidP="004B291E">
      <w:pPr>
        <w:spacing w:line="276" w:lineRule="auto"/>
        <w:rPr>
          <w:rFonts w:ascii="Arial" w:hAnsi="Arial" w:cs="Arial"/>
          <w:b/>
          <w:bCs/>
          <w:sz w:val="20"/>
          <w:szCs w:val="20"/>
        </w:rPr>
      </w:pPr>
    </w:p>
    <w:p w14:paraId="2F6DFF7C" w14:textId="5C2FE528"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lastRenderedPageBreak/>
        <w:t>Kontaktní osoby</w:t>
      </w:r>
    </w:p>
    <w:p w14:paraId="34771369" w14:textId="77777777" w:rsidR="007E48A9" w:rsidRDefault="007E48A9" w:rsidP="007E48A9">
      <w:pPr>
        <w:pStyle w:val="Odstavecseseznamem"/>
        <w:spacing w:before="120" w:after="120"/>
        <w:ind w:left="426"/>
        <w:jc w:val="center"/>
        <w:rPr>
          <w:rFonts w:ascii="Arial" w:hAnsi="Arial" w:cs="Arial"/>
          <w:b/>
          <w:bCs/>
          <w:sz w:val="20"/>
          <w:szCs w:val="20"/>
        </w:rPr>
      </w:pPr>
    </w:p>
    <w:p w14:paraId="723C64D5" w14:textId="13AF6F60" w:rsidR="004B2192" w:rsidRDefault="00B96300"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4C508320" w14:textId="4486863D" w:rsidR="007E48A9" w:rsidRDefault="007E48A9" w:rsidP="007E48A9">
      <w:pPr>
        <w:pStyle w:val="Odstavecseseznamem"/>
        <w:spacing w:before="120" w:after="120"/>
        <w:ind w:left="360"/>
        <w:contextualSpacing w:val="0"/>
        <w:jc w:val="both"/>
        <w:rPr>
          <w:rFonts w:ascii="Arial" w:hAnsi="Arial" w:cs="Arial"/>
          <w:bCs/>
          <w:sz w:val="20"/>
          <w:szCs w:val="20"/>
        </w:rPr>
      </w:pPr>
      <w:r>
        <w:rPr>
          <w:rFonts w:ascii="Arial" w:hAnsi="Arial" w:cs="Arial"/>
          <w:bCs/>
          <w:sz w:val="20"/>
          <w:szCs w:val="20"/>
        </w:rPr>
        <w:tab/>
      </w:r>
      <w:proofErr w:type="spellStart"/>
      <w:r w:rsidR="00CC2062">
        <w:rPr>
          <w:rFonts w:ascii="Arial" w:hAnsi="Arial" w:cs="Arial"/>
          <w:bCs/>
          <w:sz w:val="20"/>
          <w:szCs w:val="20"/>
        </w:rPr>
        <w:t>xxx</w:t>
      </w:r>
      <w:proofErr w:type="spellEnd"/>
    </w:p>
    <w:p w14:paraId="2B378CB7" w14:textId="7F82F15C" w:rsidR="004B2192" w:rsidRPr="004B2192" w:rsidRDefault="004B2192"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0D1E00FB" w14:textId="6A76F9BA" w:rsidR="004B2192" w:rsidRPr="00865EDC" w:rsidRDefault="00CC2062" w:rsidP="00CC2062">
      <w:pPr>
        <w:pStyle w:val="Zkladntext2"/>
        <w:tabs>
          <w:tab w:val="left" w:pos="5387"/>
        </w:tabs>
        <w:spacing w:line="259" w:lineRule="exact"/>
        <w:ind w:left="709"/>
        <w:jc w:val="both"/>
        <w:rPr>
          <w:rFonts w:ascii="Arial" w:hAnsi="Arial" w:cs="Arial"/>
          <w:sz w:val="20"/>
          <w:szCs w:val="20"/>
        </w:rPr>
      </w:pPr>
      <w:proofErr w:type="spellStart"/>
      <w:r>
        <w:rPr>
          <w:rFonts w:ascii="Arial" w:hAnsi="Arial" w:cs="Arial"/>
          <w:sz w:val="20"/>
          <w:szCs w:val="20"/>
        </w:rPr>
        <w:t>xxx</w:t>
      </w:r>
      <w:proofErr w:type="spellEnd"/>
    </w:p>
    <w:p w14:paraId="5298C55F" w14:textId="521739A9" w:rsidR="004B2192" w:rsidRDefault="004B2192" w:rsidP="004B2192">
      <w:pPr>
        <w:pStyle w:val="Odstavecseseznamem"/>
        <w:spacing w:after="0"/>
        <w:ind w:left="3839"/>
        <w:contextualSpacing w:val="0"/>
        <w:rPr>
          <w:rFonts w:ascii="Arial" w:hAnsi="Arial" w:cs="Arial"/>
          <w:b/>
          <w:bCs/>
          <w:sz w:val="20"/>
          <w:szCs w:val="20"/>
        </w:rPr>
      </w:pPr>
    </w:p>
    <w:p w14:paraId="600BE47B" w14:textId="77777777" w:rsidR="00F95369" w:rsidRDefault="00F95369"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3FB19B3B" w14:textId="1B0B1603"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11D43D54" w14:textId="0DEEECFB"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je vyhotovena ve čtyřech stejnopisech, z nichž obě smluvní strany obdrží po dvou stejnopisech smlouvy.</w:t>
      </w:r>
    </w:p>
    <w:p w14:paraId="4718A76F" w14:textId="298C98F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171F7BAE" w14:textId="4556D013" w:rsidR="006069B5"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71E4A126" w:rsidR="005C1C70" w:rsidRDefault="005C1C70" w:rsidP="000627AB">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73A0AA62" w14:textId="34678E6D"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 xml:space="preserve">mlouvou výslovně neupravené se řídí obecně závaznými právními předpisy ČR, zejména zákonem č. 89/2012 </w:t>
      </w:r>
      <w:proofErr w:type="spellStart"/>
      <w:r w:rsidRPr="005C1C70">
        <w:rPr>
          <w:rStyle w:val="FontStyle15"/>
        </w:rPr>
        <w:t>Sb</w:t>
      </w:r>
      <w:proofErr w:type="spellEnd"/>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034BC2B6" w14:textId="1F9A07F5" w:rsidR="00482282" w:rsidRPr="00EE42FE" w:rsidRDefault="00482282" w:rsidP="00EE42FE">
      <w:pPr>
        <w:pStyle w:val="Style10"/>
        <w:widowControl/>
        <w:numPr>
          <w:ilvl w:val="0"/>
          <w:numId w:val="22"/>
        </w:numPr>
        <w:tabs>
          <w:tab w:val="left" w:pos="6804"/>
        </w:tabs>
        <w:spacing w:before="254" w:line="250" w:lineRule="exact"/>
        <w:ind w:left="426" w:hanging="426"/>
        <w:rPr>
          <w:rFonts w:ascii="Arial" w:hAnsi="Arial" w:cs="Arial"/>
          <w:sz w:val="20"/>
          <w:szCs w:val="20"/>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367C8C49"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7E48A9">
        <w:rPr>
          <w:rFonts w:ascii="Arial" w:eastAsia="Times New Roman" w:hAnsi="Arial" w:cs="Arial"/>
          <w:sz w:val="20"/>
          <w:szCs w:val="20"/>
          <w:lang w:eastAsia="cs-CZ"/>
        </w:rPr>
        <w:t>Brně</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7E48A9">
        <w:rPr>
          <w:rFonts w:ascii="Arial" w:eastAsia="Times New Roman" w:hAnsi="Arial" w:cs="Arial"/>
          <w:sz w:val="20"/>
          <w:szCs w:val="20"/>
          <w:lang w:eastAsia="cs-CZ"/>
        </w:rPr>
        <w:tab/>
      </w:r>
      <w:r w:rsidR="007E48A9">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2A483EDA" w14:textId="7EB663C7" w:rsidR="006069B5" w:rsidRPr="00F7100E" w:rsidRDefault="006069B5" w:rsidP="003B7B95">
      <w:pPr>
        <w:spacing w:before="120" w:after="120" w:line="276" w:lineRule="auto"/>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3BACA2C5"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0EE2E88C" w:rsidR="00985F9A" w:rsidRDefault="00E328A4"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Sun Drive Communications s.r.o.</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4B291E">
        <w:rPr>
          <w:rFonts w:ascii="Arial" w:eastAsia="Times New Roman" w:hAnsi="Arial" w:cs="Arial"/>
          <w:sz w:val="20"/>
          <w:szCs w:val="20"/>
          <w:lang w:eastAsia="cs-CZ"/>
        </w:rPr>
        <w:t>Karlovarský kraj</w:t>
      </w:r>
    </w:p>
    <w:p w14:paraId="2A9FE363" w14:textId="2C9CE597" w:rsidR="00EE42FE" w:rsidRDefault="00985F9A" w:rsidP="00CC2062">
      <w:pPr>
        <w:spacing w:before="120" w:after="120" w:line="276" w:lineRule="auto"/>
        <w:ind w:left="1276" w:firstLine="142"/>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sidR="00A94B61">
        <w:rPr>
          <w:rFonts w:ascii="Arial" w:eastAsia="Times New Roman" w:hAnsi="Arial" w:cs="Arial"/>
          <w:sz w:val="20"/>
          <w:szCs w:val="20"/>
          <w:lang w:eastAsia="cs-CZ"/>
        </w:rPr>
        <w:tab/>
      </w:r>
      <w:r w:rsidR="00D13B86">
        <w:rPr>
          <w:rFonts w:ascii="Arial" w:eastAsia="Times New Roman" w:hAnsi="Arial" w:cs="Arial"/>
          <w:sz w:val="20"/>
          <w:szCs w:val="20"/>
          <w:lang w:eastAsia="cs-CZ"/>
        </w:rPr>
        <w:t xml:space="preserve">          </w:t>
      </w:r>
      <w:r w:rsidR="00866746">
        <w:rPr>
          <w:rFonts w:ascii="Arial" w:eastAsia="Times New Roman" w:hAnsi="Arial" w:cs="Arial"/>
          <w:sz w:val="20"/>
          <w:szCs w:val="20"/>
          <w:lang w:eastAsia="cs-CZ"/>
        </w:rPr>
        <w:tab/>
      </w:r>
    </w:p>
    <w:p w14:paraId="1A208B8E" w14:textId="547EABAA" w:rsidR="00CC2062" w:rsidRDefault="00CC2062" w:rsidP="00CC2062">
      <w:pPr>
        <w:spacing w:before="120" w:after="120" w:line="276" w:lineRule="auto"/>
        <w:ind w:left="1276" w:firstLine="142"/>
        <w:contextualSpacing/>
        <w:jc w:val="both"/>
        <w:rPr>
          <w:rFonts w:ascii="Arial" w:eastAsia="Times New Roman" w:hAnsi="Arial" w:cs="Arial"/>
          <w:sz w:val="20"/>
          <w:szCs w:val="20"/>
          <w:lang w:eastAsia="cs-CZ"/>
        </w:rPr>
      </w:pPr>
    </w:p>
    <w:p w14:paraId="1A8C8D59" w14:textId="2421BB41" w:rsidR="00CC2062" w:rsidRDefault="00CC2062" w:rsidP="00CC2062">
      <w:pPr>
        <w:spacing w:before="120" w:after="120" w:line="276" w:lineRule="auto"/>
        <w:ind w:left="1276" w:firstLine="142"/>
        <w:contextualSpacing/>
        <w:jc w:val="both"/>
        <w:rPr>
          <w:rFonts w:ascii="Arial" w:eastAsia="Times New Roman" w:hAnsi="Arial" w:cs="Arial"/>
          <w:sz w:val="20"/>
          <w:szCs w:val="20"/>
          <w:lang w:eastAsia="cs-CZ"/>
        </w:rPr>
      </w:pPr>
    </w:p>
    <w:p w14:paraId="3D197405" w14:textId="1D6966C0" w:rsidR="00CC2062" w:rsidRDefault="00CC2062" w:rsidP="00CC2062">
      <w:pPr>
        <w:spacing w:before="120" w:after="120" w:line="276" w:lineRule="auto"/>
        <w:ind w:left="1276" w:firstLine="142"/>
        <w:contextualSpacing/>
        <w:jc w:val="both"/>
        <w:rPr>
          <w:rFonts w:ascii="Arial" w:eastAsia="Times New Roman" w:hAnsi="Arial" w:cs="Arial"/>
          <w:sz w:val="20"/>
          <w:szCs w:val="20"/>
          <w:lang w:eastAsia="cs-CZ"/>
        </w:rPr>
      </w:pPr>
    </w:p>
    <w:p w14:paraId="6F979635" w14:textId="77777777" w:rsidR="00CC2062" w:rsidRDefault="00CC2062" w:rsidP="00CC2062">
      <w:pPr>
        <w:spacing w:before="120" w:after="120" w:line="276" w:lineRule="auto"/>
        <w:ind w:left="1276" w:firstLine="142"/>
        <w:contextualSpacing/>
        <w:jc w:val="both"/>
        <w:rPr>
          <w:rFonts w:ascii="Arial" w:eastAsia="Times New Roman" w:hAnsi="Arial" w:cs="Arial"/>
          <w:sz w:val="20"/>
          <w:szCs w:val="20"/>
          <w:lang w:eastAsia="cs-CZ"/>
        </w:rPr>
      </w:pPr>
    </w:p>
    <w:p w14:paraId="0B3297E9" w14:textId="17CB1A03" w:rsidR="005A1888" w:rsidRDefault="005A1888" w:rsidP="0071037A">
      <w:pPr>
        <w:contextualSpacing/>
        <w:jc w:val="right"/>
        <w:rPr>
          <w:b/>
        </w:rPr>
      </w:pPr>
      <w:bookmarkStart w:id="0" w:name="_GoBack"/>
      <w:bookmarkEnd w:id="0"/>
    </w:p>
    <w:sectPr w:rsidR="005A18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409F" w14:textId="77777777" w:rsidR="00EF27E6" w:rsidRDefault="00EF27E6" w:rsidP="00C01816">
      <w:pPr>
        <w:spacing w:after="0"/>
      </w:pPr>
      <w:r>
        <w:separator/>
      </w:r>
    </w:p>
  </w:endnote>
  <w:endnote w:type="continuationSeparator" w:id="0">
    <w:p w14:paraId="18ACCDD3" w14:textId="77777777" w:rsidR="00EF27E6" w:rsidRDefault="00EF27E6"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14559CD7" w:rsidR="00F95369" w:rsidRDefault="00F95369" w:rsidP="00F95369">
    <w:pPr>
      <w:pStyle w:val="Zpat"/>
    </w:pPr>
    <w:r>
      <w:ptab w:relativeTo="margin" w:alignment="center" w:leader="none"/>
    </w:r>
    <w:r>
      <w:fldChar w:fldCharType="begin"/>
    </w:r>
    <w:r>
      <w:instrText>PAGE   \* MERGEFORMAT</w:instrText>
    </w:r>
    <w:r>
      <w:fldChar w:fldCharType="separate"/>
    </w:r>
    <w:r w:rsidR="00DB77CE">
      <w:rPr>
        <w:noProof/>
      </w:rPr>
      <w:t>5</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CFA0" w14:textId="77777777" w:rsidR="00EF27E6" w:rsidRDefault="00EF27E6" w:rsidP="00C01816">
      <w:pPr>
        <w:spacing w:after="0"/>
      </w:pPr>
      <w:r>
        <w:separator/>
      </w:r>
    </w:p>
  </w:footnote>
  <w:footnote w:type="continuationSeparator" w:id="0">
    <w:p w14:paraId="5D16FE49" w14:textId="77777777" w:rsidR="00EF27E6" w:rsidRDefault="00EF27E6"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7"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8"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9"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0"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3"/>
  </w:num>
  <w:num w:numId="7">
    <w:abstractNumId w:val="14"/>
  </w:num>
  <w:num w:numId="8">
    <w:abstractNumId w:val="20"/>
  </w:num>
  <w:num w:numId="9">
    <w:abstractNumId w:val="23"/>
  </w:num>
  <w:num w:numId="10">
    <w:abstractNumId w:val="22"/>
  </w:num>
  <w:num w:numId="11">
    <w:abstractNumId w:val="16"/>
  </w:num>
  <w:num w:numId="12">
    <w:abstractNumId w:val="4"/>
  </w:num>
  <w:num w:numId="13">
    <w:abstractNumId w:val="7"/>
  </w:num>
  <w:num w:numId="14">
    <w:abstractNumId w:val="0"/>
  </w:num>
  <w:num w:numId="15">
    <w:abstractNumId w:val="24"/>
  </w:num>
  <w:num w:numId="16">
    <w:abstractNumId w:val="8"/>
  </w:num>
  <w:num w:numId="17">
    <w:abstractNumId w:val="2"/>
  </w:num>
  <w:num w:numId="18">
    <w:abstractNumId w:val="21"/>
  </w:num>
  <w:num w:numId="19">
    <w:abstractNumId w:val="11"/>
  </w:num>
  <w:num w:numId="20">
    <w:abstractNumId w:val="3"/>
  </w:num>
  <w:num w:numId="21">
    <w:abstractNumId w:val="10"/>
  </w:num>
  <w:num w:numId="22">
    <w:abstractNumId w:val="6"/>
  </w:num>
  <w:num w:numId="23">
    <w:abstractNumId w:val="17"/>
  </w:num>
  <w:num w:numId="24">
    <w:abstractNumId w:val="19"/>
  </w:num>
  <w:num w:numId="25">
    <w:abstractNumId w:val="15"/>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35AC4"/>
    <w:rsid w:val="00046438"/>
    <w:rsid w:val="000627AB"/>
    <w:rsid w:val="00066AF9"/>
    <w:rsid w:val="00075855"/>
    <w:rsid w:val="0008428E"/>
    <w:rsid w:val="00090114"/>
    <w:rsid w:val="00092E61"/>
    <w:rsid w:val="000A169D"/>
    <w:rsid w:val="000C1DC0"/>
    <w:rsid w:val="000D3CC4"/>
    <w:rsid w:val="000E58ED"/>
    <w:rsid w:val="000E79F8"/>
    <w:rsid w:val="00131F6B"/>
    <w:rsid w:val="00145684"/>
    <w:rsid w:val="00162DC3"/>
    <w:rsid w:val="001A2744"/>
    <w:rsid w:val="001A6565"/>
    <w:rsid w:val="001B6E11"/>
    <w:rsid w:val="001E273A"/>
    <w:rsid w:val="001F2278"/>
    <w:rsid w:val="002016A4"/>
    <w:rsid w:val="002121D6"/>
    <w:rsid w:val="002128C3"/>
    <w:rsid w:val="00225079"/>
    <w:rsid w:val="00233353"/>
    <w:rsid w:val="00236A25"/>
    <w:rsid w:val="00262E12"/>
    <w:rsid w:val="002635A7"/>
    <w:rsid w:val="00273EA8"/>
    <w:rsid w:val="002861A8"/>
    <w:rsid w:val="002C63AE"/>
    <w:rsid w:val="002E1313"/>
    <w:rsid w:val="002E2A76"/>
    <w:rsid w:val="002E7181"/>
    <w:rsid w:val="002F014F"/>
    <w:rsid w:val="0030621B"/>
    <w:rsid w:val="0031249D"/>
    <w:rsid w:val="00314131"/>
    <w:rsid w:val="00315BA8"/>
    <w:rsid w:val="00325EFB"/>
    <w:rsid w:val="00325F5B"/>
    <w:rsid w:val="003340D1"/>
    <w:rsid w:val="00347B78"/>
    <w:rsid w:val="00364592"/>
    <w:rsid w:val="0036619E"/>
    <w:rsid w:val="00383D3A"/>
    <w:rsid w:val="00393662"/>
    <w:rsid w:val="003958F5"/>
    <w:rsid w:val="003B7B95"/>
    <w:rsid w:val="00402B08"/>
    <w:rsid w:val="0040569F"/>
    <w:rsid w:val="004069B0"/>
    <w:rsid w:val="00407451"/>
    <w:rsid w:val="0041045F"/>
    <w:rsid w:val="004343B4"/>
    <w:rsid w:val="00437EA6"/>
    <w:rsid w:val="00455355"/>
    <w:rsid w:val="004719D0"/>
    <w:rsid w:val="00481F49"/>
    <w:rsid w:val="00482282"/>
    <w:rsid w:val="00487008"/>
    <w:rsid w:val="00496B4D"/>
    <w:rsid w:val="004A0492"/>
    <w:rsid w:val="004B2192"/>
    <w:rsid w:val="004B291E"/>
    <w:rsid w:val="004B7584"/>
    <w:rsid w:val="004C04E7"/>
    <w:rsid w:val="004C2606"/>
    <w:rsid w:val="004C5FE9"/>
    <w:rsid w:val="004D25EE"/>
    <w:rsid w:val="004D64E2"/>
    <w:rsid w:val="004D6F09"/>
    <w:rsid w:val="004E0470"/>
    <w:rsid w:val="004E12DC"/>
    <w:rsid w:val="004F4EB5"/>
    <w:rsid w:val="00500F00"/>
    <w:rsid w:val="00506A24"/>
    <w:rsid w:val="00506DB0"/>
    <w:rsid w:val="00510375"/>
    <w:rsid w:val="0051140E"/>
    <w:rsid w:val="00535C41"/>
    <w:rsid w:val="00535FF5"/>
    <w:rsid w:val="005413C4"/>
    <w:rsid w:val="00547DB3"/>
    <w:rsid w:val="00551E8B"/>
    <w:rsid w:val="00555673"/>
    <w:rsid w:val="00570B6E"/>
    <w:rsid w:val="005724D4"/>
    <w:rsid w:val="00572750"/>
    <w:rsid w:val="0057671F"/>
    <w:rsid w:val="00577A96"/>
    <w:rsid w:val="00580EA1"/>
    <w:rsid w:val="0058113D"/>
    <w:rsid w:val="00597A42"/>
    <w:rsid w:val="005A1888"/>
    <w:rsid w:val="005A36F0"/>
    <w:rsid w:val="005C1C70"/>
    <w:rsid w:val="005E3640"/>
    <w:rsid w:val="00605D6D"/>
    <w:rsid w:val="00606666"/>
    <w:rsid w:val="006069B5"/>
    <w:rsid w:val="00631001"/>
    <w:rsid w:val="006378E7"/>
    <w:rsid w:val="00637B5D"/>
    <w:rsid w:val="0064054F"/>
    <w:rsid w:val="0067229E"/>
    <w:rsid w:val="00677778"/>
    <w:rsid w:val="00697923"/>
    <w:rsid w:val="006A0377"/>
    <w:rsid w:val="006A4FA2"/>
    <w:rsid w:val="006B29FE"/>
    <w:rsid w:val="006D668D"/>
    <w:rsid w:val="006E0479"/>
    <w:rsid w:val="0071037A"/>
    <w:rsid w:val="00720C39"/>
    <w:rsid w:val="007607A2"/>
    <w:rsid w:val="007646F0"/>
    <w:rsid w:val="0077079F"/>
    <w:rsid w:val="007740B3"/>
    <w:rsid w:val="0079765C"/>
    <w:rsid w:val="007B0E49"/>
    <w:rsid w:val="007C58AB"/>
    <w:rsid w:val="007E48A9"/>
    <w:rsid w:val="007F024C"/>
    <w:rsid w:val="007F3C6A"/>
    <w:rsid w:val="007F458C"/>
    <w:rsid w:val="00801A85"/>
    <w:rsid w:val="008173FF"/>
    <w:rsid w:val="00821A14"/>
    <w:rsid w:val="008318FF"/>
    <w:rsid w:val="00840106"/>
    <w:rsid w:val="008442C4"/>
    <w:rsid w:val="00857790"/>
    <w:rsid w:val="00866746"/>
    <w:rsid w:val="00896959"/>
    <w:rsid w:val="008A14D0"/>
    <w:rsid w:val="008B1D80"/>
    <w:rsid w:val="008C1161"/>
    <w:rsid w:val="008C5712"/>
    <w:rsid w:val="008C5F12"/>
    <w:rsid w:val="008C6742"/>
    <w:rsid w:val="008E2984"/>
    <w:rsid w:val="009045B0"/>
    <w:rsid w:val="00920BBF"/>
    <w:rsid w:val="00931460"/>
    <w:rsid w:val="00962093"/>
    <w:rsid w:val="00981AEA"/>
    <w:rsid w:val="009828C8"/>
    <w:rsid w:val="00985F9A"/>
    <w:rsid w:val="009A204B"/>
    <w:rsid w:val="009B532F"/>
    <w:rsid w:val="009C1D76"/>
    <w:rsid w:val="00A0286F"/>
    <w:rsid w:val="00A07438"/>
    <w:rsid w:val="00A11F69"/>
    <w:rsid w:val="00A13487"/>
    <w:rsid w:val="00A14ED3"/>
    <w:rsid w:val="00A26D80"/>
    <w:rsid w:val="00A367FD"/>
    <w:rsid w:val="00A40D62"/>
    <w:rsid w:val="00A76F9C"/>
    <w:rsid w:val="00A87712"/>
    <w:rsid w:val="00A94B61"/>
    <w:rsid w:val="00A96DA4"/>
    <w:rsid w:val="00AA1A73"/>
    <w:rsid w:val="00AA5193"/>
    <w:rsid w:val="00AC08DD"/>
    <w:rsid w:val="00AC6F79"/>
    <w:rsid w:val="00B061DD"/>
    <w:rsid w:val="00B07B2E"/>
    <w:rsid w:val="00B14725"/>
    <w:rsid w:val="00B153CC"/>
    <w:rsid w:val="00B37CD4"/>
    <w:rsid w:val="00B46D8F"/>
    <w:rsid w:val="00B55BAF"/>
    <w:rsid w:val="00B80588"/>
    <w:rsid w:val="00B83399"/>
    <w:rsid w:val="00B96300"/>
    <w:rsid w:val="00BB0F3D"/>
    <w:rsid w:val="00BE5551"/>
    <w:rsid w:val="00C01816"/>
    <w:rsid w:val="00C066E6"/>
    <w:rsid w:val="00C12BCA"/>
    <w:rsid w:val="00C21B46"/>
    <w:rsid w:val="00C56AE0"/>
    <w:rsid w:val="00C64D9B"/>
    <w:rsid w:val="00C701E3"/>
    <w:rsid w:val="00C8367E"/>
    <w:rsid w:val="00C9105F"/>
    <w:rsid w:val="00CA70FF"/>
    <w:rsid w:val="00CB7DB2"/>
    <w:rsid w:val="00CC2062"/>
    <w:rsid w:val="00CD61B0"/>
    <w:rsid w:val="00CE2FA5"/>
    <w:rsid w:val="00CF5204"/>
    <w:rsid w:val="00D04623"/>
    <w:rsid w:val="00D07610"/>
    <w:rsid w:val="00D13B86"/>
    <w:rsid w:val="00D13E68"/>
    <w:rsid w:val="00D351E5"/>
    <w:rsid w:val="00D422D2"/>
    <w:rsid w:val="00D54D7E"/>
    <w:rsid w:val="00D8594D"/>
    <w:rsid w:val="00D91DB8"/>
    <w:rsid w:val="00DA1A2B"/>
    <w:rsid w:val="00DB77CE"/>
    <w:rsid w:val="00DD3FC7"/>
    <w:rsid w:val="00DE27BF"/>
    <w:rsid w:val="00E22F03"/>
    <w:rsid w:val="00E2383A"/>
    <w:rsid w:val="00E328A4"/>
    <w:rsid w:val="00E602AA"/>
    <w:rsid w:val="00E8423E"/>
    <w:rsid w:val="00E87B69"/>
    <w:rsid w:val="00EA2D12"/>
    <w:rsid w:val="00EA4523"/>
    <w:rsid w:val="00ED095D"/>
    <w:rsid w:val="00EE42FE"/>
    <w:rsid w:val="00EE70B0"/>
    <w:rsid w:val="00EE7FEE"/>
    <w:rsid w:val="00EF275F"/>
    <w:rsid w:val="00EF27E6"/>
    <w:rsid w:val="00F21448"/>
    <w:rsid w:val="00F232AF"/>
    <w:rsid w:val="00F264B3"/>
    <w:rsid w:val="00F35DBF"/>
    <w:rsid w:val="00F42737"/>
    <w:rsid w:val="00F47884"/>
    <w:rsid w:val="00F53858"/>
    <w:rsid w:val="00F61994"/>
    <w:rsid w:val="00F638AD"/>
    <w:rsid w:val="00F7100E"/>
    <w:rsid w:val="00F74BE7"/>
    <w:rsid w:val="00F877A9"/>
    <w:rsid w:val="00F95369"/>
    <w:rsid w:val="00F95586"/>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karlovarsky.cz/samosprava/Stranky/posky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1426</Words>
  <Characters>8418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Rentková Kateřina</cp:lastModifiedBy>
  <cp:revision>13</cp:revision>
  <cp:lastPrinted>2020-06-08T06:09:00Z</cp:lastPrinted>
  <dcterms:created xsi:type="dcterms:W3CDTF">2020-06-04T06:34:00Z</dcterms:created>
  <dcterms:modified xsi:type="dcterms:W3CDTF">2020-06-12T08:17:00Z</dcterms:modified>
</cp:coreProperties>
</file>