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6A" w:rsidRDefault="008B4A6A" w:rsidP="008B4A6A">
      <w:pPr>
        <w:pStyle w:val="Nadpis2"/>
        <w:spacing w:before="0"/>
        <w:jc w:val="center"/>
        <w:rPr>
          <w:color w:val="auto"/>
        </w:rPr>
      </w:pPr>
      <w:bookmarkStart w:id="0" w:name="_GoBack"/>
      <w:bookmarkEnd w:id="0"/>
      <w:r>
        <w:rPr>
          <w:color w:val="auto"/>
        </w:rPr>
        <w:t>Mlčenlivost, ochrana informací a zákaz</w:t>
      </w:r>
      <w:r w:rsidRPr="001E29E4">
        <w:rPr>
          <w:color w:val="auto"/>
        </w:rPr>
        <w:t xml:space="preserve"> jejich zneužití</w:t>
      </w:r>
    </w:p>
    <w:p w:rsidR="008B4A6A" w:rsidRPr="00CB5A55" w:rsidRDefault="008B4A6A" w:rsidP="008B4A6A">
      <w:pPr>
        <w:rPr>
          <w:lang w:val="cs-CZ"/>
        </w:rPr>
      </w:pPr>
    </w:p>
    <w:p w:rsidR="008B4A6A" w:rsidRDefault="008B4A6A" w:rsidP="008B4A6A">
      <w:pPr>
        <w:numPr>
          <w:ilvl w:val="1"/>
          <w:numId w:val="1"/>
        </w:numPr>
        <w:tabs>
          <w:tab w:val="left" w:pos="426"/>
        </w:tabs>
        <w:spacing w:after="120"/>
        <w:ind w:left="426" w:hanging="426"/>
        <w:jc w:val="both"/>
        <w:rPr>
          <w:lang w:val="cs-CZ" w:eastAsia="ar-SA"/>
        </w:rPr>
      </w:pPr>
      <w:r>
        <w:rPr>
          <w:lang w:val="cs-CZ" w:eastAsia="ar-SA"/>
        </w:rPr>
        <w:t>Žádná se smluvních stran nezpřístupní ani nepoužije žádnou informaci, se kterou se seznámí v souvislosti se spoluprací s druhou Smluvní stranou nebo získanou od druhé smluvní strany (dále jen ,,Důvěrná informace“). Důvěrnými informacemi jsou zejména informace obchodní povahy, databáze zákazníků, cenová politika, způsob fungování společnosti, apod.</w:t>
      </w:r>
    </w:p>
    <w:p w:rsidR="008B4A6A" w:rsidRDefault="008B4A6A" w:rsidP="008B4A6A">
      <w:pPr>
        <w:numPr>
          <w:ilvl w:val="1"/>
          <w:numId w:val="1"/>
        </w:numPr>
        <w:tabs>
          <w:tab w:val="left" w:pos="426"/>
        </w:tabs>
        <w:spacing w:after="120"/>
        <w:ind w:left="426" w:hanging="426"/>
        <w:jc w:val="both"/>
        <w:rPr>
          <w:lang w:val="cs-CZ" w:eastAsia="ar-SA"/>
        </w:rPr>
      </w:pPr>
      <w:r>
        <w:rPr>
          <w:lang w:val="cs-CZ" w:eastAsia="ar-SA"/>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8B4A6A" w:rsidRDefault="008B4A6A" w:rsidP="008B4A6A">
      <w:pPr>
        <w:numPr>
          <w:ilvl w:val="1"/>
          <w:numId w:val="1"/>
        </w:numPr>
        <w:tabs>
          <w:tab w:val="left" w:pos="426"/>
        </w:tabs>
        <w:spacing w:after="120"/>
        <w:ind w:left="426" w:hanging="426"/>
        <w:jc w:val="both"/>
        <w:rPr>
          <w:lang w:val="cs-CZ" w:eastAsia="ar-SA"/>
        </w:rPr>
      </w:pPr>
      <w:r>
        <w:rPr>
          <w:lang w:val="cs-CZ" w:eastAsia="ar-SA"/>
        </w:rPr>
        <w:t>Mezi důvěrné informace nepatří informace, které jsou v době jejich zpřístupnění nebo použití běžně dostupné veřejnosti.</w:t>
      </w:r>
    </w:p>
    <w:p w:rsidR="008B4A6A" w:rsidRDefault="008B4A6A" w:rsidP="008B4A6A">
      <w:pPr>
        <w:numPr>
          <w:ilvl w:val="1"/>
          <w:numId w:val="1"/>
        </w:numPr>
        <w:tabs>
          <w:tab w:val="left" w:pos="426"/>
        </w:tabs>
        <w:spacing w:after="120"/>
        <w:ind w:left="426" w:hanging="426"/>
        <w:jc w:val="both"/>
        <w:rPr>
          <w:lang w:val="cs-CZ"/>
        </w:rPr>
      </w:pPr>
      <w:r w:rsidRPr="00E8212E">
        <w:rPr>
          <w:lang w:val="cs-CZ" w:eastAsia="ar-SA"/>
        </w:rPr>
        <w:t xml:space="preserve">Smluvní strany mají povinnosti všechny osoby, které Smluvní strany užívají při spolupráci s druhou Smluvní stranou informovat o povinnosti mlčenlivosti. </w:t>
      </w:r>
    </w:p>
    <w:p w:rsidR="008B4A6A" w:rsidRDefault="008B4A6A" w:rsidP="008B4A6A">
      <w:pPr>
        <w:numPr>
          <w:ilvl w:val="1"/>
          <w:numId w:val="1"/>
        </w:numPr>
        <w:tabs>
          <w:tab w:val="left" w:pos="426"/>
        </w:tabs>
        <w:spacing w:after="120"/>
        <w:ind w:left="426" w:hanging="426"/>
        <w:jc w:val="both"/>
        <w:rPr>
          <w:lang w:val="cs-CZ"/>
        </w:rPr>
      </w:pPr>
      <w:r>
        <w:rPr>
          <w:lang w:val="cs-CZ" w:eastAsia="ar-SA"/>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8B4A6A" w:rsidRDefault="008B4A6A" w:rsidP="008B4A6A">
      <w:pPr>
        <w:numPr>
          <w:ilvl w:val="1"/>
          <w:numId w:val="1"/>
        </w:numPr>
        <w:tabs>
          <w:tab w:val="left" w:pos="426"/>
        </w:tabs>
        <w:spacing w:after="120"/>
        <w:ind w:left="426" w:hanging="426"/>
        <w:jc w:val="both"/>
        <w:rPr>
          <w:lang w:val="cs-CZ"/>
        </w:rPr>
      </w:pPr>
      <w:r>
        <w:rPr>
          <w:lang w:val="cs-CZ" w:eastAsia="ar-SA"/>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 Objednatelem.</w:t>
      </w:r>
    </w:p>
    <w:p w:rsidR="008B4A6A" w:rsidRPr="003779B1" w:rsidRDefault="008B4A6A" w:rsidP="008B4A6A">
      <w:pPr>
        <w:numPr>
          <w:ilvl w:val="1"/>
          <w:numId w:val="1"/>
        </w:numPr>
        <w:tabs>
          <w:tab w:val="left" w:pos="426"/>
        </w:tabs>
        <w:spacing w:after="120"/>
        <w:ind w:left="426" w:hanging="426"/>
        <w:jc w:val="both"/>
        <w:rPr>
          <w:lang w:val="cs-CZ"/>
        </w:rPr>
      </w:pPr>
      <w:r>
        <w:rPr>
          <w:lang w:val="cs-CZ"/>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Při prozrazení nebo ztrátě Důvěrných informaci se také postupuje podle </w:t>
      </w:r>
      <w:proofErr w:type="spellStart"/>
      <w:r>
        <w:t>zákona</w:t>
      </w:r>
      <w:proofErr w:type="spellEnd"/>
      <w:r>
        <w:t xml:space="preserve"> č. 101/2000 sb, o ochraně osobních údajů a nařízením evropského parlamentu a rady (</w:t>
      </w:r>
      <w:r>
        <w:rPr>
          <w:u w:val="single"/>
        </w:rPr>
        <w:t>EU</w:t>
      </w:r>
      <w:r>
        <w:t>) 2016/679 ze dne 27. dubna 2016 o ochraně fyzických osob v souvislosti se zpracováním osobních údajů a o volném pohybu těchto údajů a o zrušení směrnice 95/46/es (obecné nařízení o ochraně osobních údajů) (GDPR).</w:t>
      </w:r>
    </w:p>
    <w:p w:rsidR="008B4A6A" w:rsidRPr="003779B1" w:rsidRDefault="008B4A6A" w:rsidP="008B4A6A">
      <w:pPr>
        <w:numPr>
          <w:ilvl w:val="1"/>
          <w:numId w:val="1"/>
        </w:numPr>
        <w:tabs>
          <w:tab w:val="left" w:pos="426"/>
        </w:tabs>
        <w:spacing w:after="120"/>
        <w:ind w:left="426" w:hanging="426"/>
        <w:jc w:val="both"/>
        <w:rPr>
          <w:lang w:val="cs-CZ"/>
        </w:rPr>
      </w:pPr>
      <w:r>
        <w:t>Za účelem ochrany Důvěrných informací je daná Smluvní strana povinna použít při přenosu Důvěrných informací přes prostředky komunikace na dálku (elektronická pošta, úložiště v síti Internet, apod.) šifrování nebo jinou vhodnou ochranu přenosu.</w:t>
      </w:r>
    </w:p>
    <w:p w:rsidR="008B4A6A" w:rsidRPr="00245233" w:rsidRDefault="008B4A6A" w:rsidP="008B4A6A">
      <w:pPr>
        <w:numPr>
          <w:ilvl w:val="1"/>
          <w:numId w:val="1"/>
        </w:numPr>
        <w:tabs>
          <w:tab w:val="left" w:pos="426"/>
        </w:tabs>
        <w:spacing w:after="120"/>
        <w:ind w:left="426" w:hanging="426"/>
        <w:jc w:val="both"/>
        <w:rPr>
          <w:lang w:val="cs-CZ"/>
        </w:rPr>
      </w:pPr>
      <w:r>
        <w:t>Každá smluvní strana je povinna zabezpečit počítačové systémy (včetně uložisť) tak, aby zabránila kybernetickým útokům, napadení počítačovým virem apod.</w:t>
      </w:r>
    </w:p>
    <w:p w:rsidR="00943C26" w:rsidRDefault="00943C26"/>
    <w:p w:rsidR="008B4A6A" w:rsidRDefault="008B4A6A"/>
    <w:p w:rsidR="008B4A6A" w:rsidRDefault="008B4A6A"/>
    <w:p w:rsidR="008B4A6A" w:rsidRDefault="008B4A6A"/>
    <w:p w:rsidR="008B4A6A" w:rsidRDefault="008B4A6A"/>
    <w:p w:rsidR="008B4A6A" w:rsidRDefault="008B4A6A"/>
    <w:p w:rsidR="008B4A6A" w:rsidRDefault="008B4A6A"/>
    <w:p w:rsidR="008B4A6A" w:rsidRDefault="008B4A6A"/>
    <w:p w:rsidR="008B4A6A" w:rsidRPr="00FB1B9A" w:rsidRDefault="00710EA9" w:rsidP="008B4A6A">
      <w:pPr>
        <w:rPr>
          <w:b/>
          <w:lang w:val="cs-CZ"/>
        </w:rPr>
      </w:pPr>
      <w:r>
        <w:rPr>
          <w:b/>
          <w:lang w:val="cs-CZ"/>
        </w:rPr>
        <w:t>Příloha č. 3</w:t>
      </w:r>
    </w:p>
    <w:p w:rsidR="008B4A6A" w:rsidRPr="00FB1B9A" w:rsidRDefault="008B4A6A" w:rsidP="008B4A6A">
      <w:pPr>
        <w:rPr>
          <w:b/>
          <w:lang w:val="cs-CZ"/>
        </w:rPr>
      </w:pPr>
    </w:p>
    <w:p w:rsidR="008B4A6A" w:rsidRPr="00FB1B9A" w:rsidRDefault="008B4A6A" w:rsidP="008B4A6A">
      <w:pPr>
        <w:rPr>
          <w:b/>
          <w:lang w:val="cs-CZ"/>
        </w:rPr>
      </w:pPr>
      <w:r w:rsidRPr="00FB1B9A">
        <w:rPr>
          <w:b/>
          <w:lang w:val="cs-CZ"/>
        </w:rPr>
        <w:t>DOLOŽKA VE SMYSLU USTANOVENÍ § 4 ODST. 2 ZÁKONA Č. 181/2014  SB., O KYBERNETICKÉ BEZPEČNOSTI, VE ZNĚNÍ POZDĚJŠÍCH PŘEDPISŮ</w:t>
      </w:r>
    </w:p>
    <w:p w:rsidR="008B4A6A" w:rsidRPr="00E66BA0" w:rsidRDefault="008B4A6A" w:rsidP="008B4A6A">
      <w:pPr>
        <w:rPr>
          <w:lang w:val="cs-CZ"/>
        </w:rPr>
      </w:pPr>
    </w:p>
    <w:p w:rsidR="008B4A6A" w:rsidRPr="00E66BA0" w:rsidRDefault="008B4A6A" w:rsidP="008B4A6A">
      <w:pPr>
        <w:pStyle w:val="Odstavecseseznamem"/>
        <w:numPr>
          <w:ilvl w:val="0"/>
          <w:numId w:val="2"/>
        </w:numPr>
        <w:spacing w:after="240"/>
        <w:jc w:val="both"/>
        <w:rPr>
          <w:lang w:val="cs-CZ"/>
        </w:rPr>
      </w:pPr>
      <w:r w:rsidRPr="00E66BA0">
        <w:rPr>
          <w:lang w:val="cs-CZ"/>
        </w:rPr>
        <w:t xml:space="preserve">Smluvní strany berou na vědomí, že informační systém poskytovatele informací ČHMÚ (dále jen „ČHMÚ“) podléhá zákonu č. 181/2014 Sb.,  o kybernetické bezpečnosti, v platném znění a s ním související vyhlášky, zejm. vyhláška č. </w:t>
      </w:r>
      <w:r w:rsidR="004A4286">
        <w:rPr>
          <w:lang w:val="cs-CZ"/>
        </w:rPr>
        <w:t>82</w:t>
      </w:r>
      <w:r w:rsidRPr="00E66BA0">
        <w:rPr>
          <w:lang w:val="cs-CZ"/>
        </w:rPr>
        <w:t>/201</w:t>
      </w:r>
      <w:r w:rsidR="004A4286">
        <w:rPr>
          <w:lang w:val="cs-CZ"/>
        </w:rPr>
        <w:t>8</w:t>
      </w:r>
      <w:r w:rsidRPr="00E66BA0">
        <w:rPr>
          <w:lang w:val="cs-CZ"/>
        </w:rPr>
        <w:t xml:space="preserve"> Sb., o kybernetické bezpečnosti, který je v předmětném smluvním vztahu jako Objednatel a  na základě  zákonných důvodů se stává osobou  povinnou dle ustanovení § 3 odst. c), dále </w:t>
      </w:r>
    </w:p>
    <w:p w:rsidR="008B4A6A" w:rsidRPr="00E66BA0" w:rsidRDefault="008B4A6A" w:rsidP="008B4A6A">
      <w:pPr>
        <w:pStyle w:val="Odstavecseseznamem"/>
        <w:numPr>
          <w:ilvl w:val="0"/>
          <w:numId w:val="2"/>
        </w:numPr>
        <w:spacing w:after="240"/>
        <w:jc w:val="both"/>
        <w:rPr>
          <w:lang w:val="cs-CZ"/>
        </w:rPr>
      </w:pPr>
      <w:r w:rsidRPr="00E66BA0">
        <w:rPr>
          <w:lang w:val="cs-CZ"/>
        </w:rPr>
        <w:t>Poskytovatel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p>
    <w:p w:rsidR="008B4A6A" w:rsidRPr="00E66BA0" w:rsidRDefault="008B4A6A" w:rsidP="008B4A6A">
      <w:pPr>
        <w:pStyle w:val="Odstavecseseznamem"/>
        <w:numPr>
          <w:ilvl w:val="0"/>
          <w:numId w:val="2"/>
        </w:numPr>
        <w:spacing w:after="240"/>
        <w:jc w:val="both"/>
        <w:rPr>
          <w:lang w:val="cs-CZ"/>
        </w:rPr>
      </w:pPr>
      <w:r w:rsidRPr="00E66BA0">
        <w:rPr>
          <w:lang w:val="cs-CZ"/>
        </w:rPr>
        <w:t>Poskytovatel bere na vědomí, že chráněné informace jsou součástí obchodního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p>
    <w:p w:rsidR="008B4A6A" w:rsidRPr="00DB3C27" w:rsidRDefault="008B4A6A" w:rsidP="008B4A6A">
      <w:pPr>
        <w:pStyle w:val="Odstavecseseznamem"/>
        <w:numPr>
          <w:ilvl w:val="0"/>
          <w:numId w:val="2"/>
        </w:numPr>
        <w:spacing w:after="240"/>
        <w:jc w:val="both"/>
        <w:rPr>
          <w:lang w:val="cs-CZ"/>
        </w:rPr>
      </w:pPr>
      <w:r w:rsidRPr="00C715F5">
        <w:rPr>
          <w:lang w:val="cs-CZ"/>
        </w:rPr>
        <w:t>Poskytovatel bere na vědomí, že zákonem určený Úřad, je oprávněn vykonávat kontrolu a dohled nad dodržováním ustanovení v oblasti kybernetické bezpečnosti a smluvní strany jsou povinny být sou</w:t>
      </w:r>
      <w:r w:rsidRPr="00DB3C27">
        <w:rPr>
          <w:lang w:val="cs-CZ"/>
        </w:rPr>
        <w:t xml:space="preserve">činné v případě provádění státního dohledu a při provádění auditů procesů, dále </w:t>
      </w:r>
    </w:p>
    <w:p w:rsidR="008B4A6A" w:rsidRPr="00DB3C27" w:rsidRDefault="008B4A6A" w:rsidP="008B4A6A">
      <w:pPr>
        <w:pStyle w:val="Odstavecseseznamem"/>
        <w:numPr>
          <w:ilvl w:val="0"/>
          <w:numId w:val="2"/>
        </w:numPr>
        <w:spacing w:after="240"/>
        <w:jc w:val="both"/>
        <w:rPr>
          <w:lang w:val="cs-CZ"/>
        </w:rPr>
      </w:pPr>
      <w:r w:rsidRPr="00DB3C27">
        <w:rPr>
          <w:lang w:val="cs-CZ"/>
        </w:rPr>
        <w:t>V případě porušení zákona v oblasti kybernetické bezpečnosti jednáním ze strany Poskytovatele, je Objednatel oprávněn požadovat finanční náhradu škody  ve výši správního deliktu za každé porušení dle zákona o kybernetické bezpečnosti, který bude pravomocně udělen dle příslušného zákona daného  Úřadu  dle odst. 4 a byl způsobem zaviněně Poskytovatelem a to i v případě, že třetí osoby jednají v jeho zastoupení.</w:t>
      </w:r>
    </w:p>
    <w:p w:rsidR="008B4A6A" w:rsidRDefault="008B4A6A"/>
    <w:sectPr w:rsidR="008B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9C00A8"/>
    <w:multiLevelType w:val="multilevel"/>
    <w:tmpl w:val="CB9CB5A2"/>
    <w:lvl w:ilvl="0">
      <w:start w:val="1"/>
      <w:numFmt w:val="decimal"/>
      <w:lvlText w:val="%1."/>
      <w:lvlJc w:val="left"/>
      <w:pPr>
        <w:ind w:left="357" w:hanging="357"/>
      </w:pPr>
      <w:rPr>
        <w:rFonts w:hint="default"/>
        <w:b/>
        <w:sz w:val="28"/>
        <w:szCs w:val="28"/>
      </w:rPr>
    </w:lvl>
    <w:lvl w:ilvl="1">
      <w:start w:val="1"/>
      <w:numFmt w:val="decimal"/>
      <w:lvlText w:val="%1.%2."/>
      <w:lvlJc w:val="left"/>
      <w:pPr>
        <w:ind w:left="357" w:hanging="357"/>
      </w:pPr>
      <w:rPr>
        <w:rFonts w:hint="default"/>
        <w:b w:val="0"/>
        <w:i w:val="0"/>
        <w:sz w:val="24"/>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
    <w:lvlOverride w:ilvl="0">
      <w:lvl w:ilvl="0">
        <w:start w:val="1"/>
        <w:numFmt w:val="decimal"/>
        <w:lvlText w:val="%1."/>
        <w:lvlJc w:val="left"/>
        <w:pPr>
          <w:ind w:left="357" w:hanging="357"/>
        </w:pPr>
        <w:rPr>
          <w:rFonts w:hint="default"/>
          <w:b/>
          <w:sz w:val="28"/>
          <w:szCs w:val="28"/>
        </w:rPr>
      </w:lvl>
    </w:lvlOverride>
    <w:lvlOverride w:ilvl="1">
      <w:lvl w:ilvl="1">
        <w:start w:val="1"/>
        <w:numFmt w:val="decimal"/>
        <w:lvlText w:val="%2."/>
        <w:lvlJc w:val="left"/>
        <w:pPr>
          <w:ind w:left="3902" w:hanging="357"/>
        </w:pPr>
        <w:rPr>
          <w:rFonts w:ascii="Times New Roman" w:eastAsia="Times New Roman" w:hAnsi="Times New Roman" w:cs="Times New Roman"/>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FFh5r9rZDbGFIv+ehvkj4SN4K0=" w:salt="MbHqD3xPO4t9OUdkLDlmE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A"/>
    <w:rsid w:val="003517C2"/>
    <w:rsid w:val="004A4286"/>
    <w:rsid w:val="00710EA9"/>
    <w:rsid w:val="008B4A6A"/>
    <w:rsid w:val="00943C26"/>
    <w:rsid w:val="009D791C"/>
    <w:rsid w:val="00B954D6"/>
    <w:rsid w:val="00E26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4A6A"/>
    <w:pPr>
      <w:spacing w:after="0" w:line="240" w:lineRule="auto"/>
    </w:pPr>
    <w:rPr>
      <w:rFonts w:ascii="Times New Roman" w:eastAsia="Times New Roman" w:hAnsi="Times New Roman" w:cs="Times New Roman"/>
      <w:sz w:val="24"/>
      <w:szCs w:val="24"/>
      <w:lang w:val="en-US"/>
    </w:rPr>
  </w:style>
  <w:style w:type="paragraph" w:styleId="Nadpis2">
    <w:name w:val="heading 2"/>
    <w:basedOn w:val="Normln"/>
    <w:next w:val="Normln"/>
    <w:link w:val="Nadpis2Char"/>
    <w:uiPriority w:val="9"/>
    <w:unhideWhenUsed/>
    <w:qFormat/>
    <w:rsid w:val="008B4A6A"/>
    <w:pPr>
      <w:keepNext/>
      <w:keepLines/>
      <w:spacing w:before="200" w:line="276" w:lineRule="auto"/>
      <w:outlineLvl w:val="1"/>
    </w:pPr>
    <w:rPr>
      <w:rFonts w:eastAsiaTheme="majorEastAsia" w:cstheme="majorBidi"/>
      <w:b/>
      <w:bCs/>
      <w:color w:val="000000" w:themeColor="text1"/>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4A6A"/>
    <w:rPr>
      <w:rFonts w:ascii="Times New Roman" w:eastAsiaTheme="majorEastAsia" w:hAnsi="Times New Roman" w:cstheme="majorBidi"/>
      <w:b/>
      <w:bCs/>
      <w:color w:val="000000" w:themeColor="text1"/>
      <w:sz w:val="24"/>
      <w:szCs w:val="26"/>
    </w:rPr>
  </w:style>
  <w:style w:type="paragraph" w:customStyle="1" w:styleId="Normln1">
    <w:name w:val="Normální1"/>
    <w:rsid w:val="008B4A6A"/>
    <w:pPr>
      <w:spacing w:after="0" w:line="240" w:lineRule="auto"/>
    </w:pPr>
    <w:rPr>
      <w:rFonts w:ascii="Times New Roman" w:eastAsia="ヒラギノ角ゴ Pro W3" w:hAnsi="Times New Roman" w:cs="Times New Roman"/>
      <w:color w:val="000000"/>
      <w:sz w:val="24"/>
      <w:szCs w:val="20"/>
      <w:lang w:eastAsia="cs-CZ"/>
    </w:rPr>
  </w:style>
  <w:style w:type="paragraph" w:styleId="Odstavecseseznamem">
    <w:name w:val="List Paragraph"/>
    <w:basedOn w:val="Normln"/>
    <w:link w:val="OdstavecseseznamemChar"/>
    <w:uiPriority w:val="99"/>
    <w:qFormat/>
    <w:rsid w:val="008B4A6A"/>
    <w:pPr>
      <w:ind w:left="708"/>
    </w:pPr>
  </w:style>
  <w:style w:type="character" w:customStyle="1" w:styleId="OdstavecseseznamemChar">
    <w:name w:val="Odstavec se seznamem Char"/>
    <w:link w:val="Odstavecseseznamem"/>
    <w:uiPriority w:val="99"/>
    <w:rsid w:val="008B4A6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4A6A"/>
    <w:pPr>
      <w:spacing w:after="0" w:line="240" w:lineRule="auto"/>
    </w:pPr>
    <w:rPr>
      <w:rFonts w:ascii="Times New Roman" w:eastAsia="Times New Roman" w:hAnsi="Times New Roman" w:cs="Times New Roman"/>
      <w:sz w:val="24"/>
      <w:szCs w:val="24"/>
      <w:lang w:val="en-US"/>
    </w:rPr>
  </w:style>
  <w:style w:type="paragraph" w:styleId="Nadpis2">
    <w:name w:val="heading 2"/>
    <w:basedOn w:val="Normln"/>
    <w:next w:val="Normln"/>
    <w:link w:val="Nadpis2Char"/>
    <w:uiPriority w:val="9"/>
    <w:unhideWhenUsed/>
    <w:qFormat/>
    <w:rsid w:val="008B4A6A"/>
    <w:pPr>
      <w:keepNext/>
      <w:keepLines/>
      <w:spacing w:before="200" w:line="276" w:lineRule="auto"/>
      <w:outlineLvl w:val="1"/>
    </w:pPr>
    <w:rPr>
      <w:rFonts w:eastAsiaTheme="majorEastAsia" w:cstheme="majorBidi"/>
      <w:b/>
      <w:bCs/>
      <w:color w:val="000000" w:themeColor="text1"/>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4A6A"/>
    <w:rPr>
      <w:rFonts w:ascii="Times New Roman" w:eastAsiaTheme="majorEastAsia" w:hAnsi="Times New Roman" w:cstheme="majorBidi"/>
      <w:b/>
      <w:bCs/>
      <w:color w:val="000000" w:themeColor="text1"/>
      <w:sz w:val="24"/>
      <w:szCs w:val="26"/>
    </w:rPr>
  </w:style>
  <w:style w:type="paragraph" w:customStyle="1" w:styleId="Normln1">
    <w:name w:val="Normální1"/>
    <w:rsid w:val="008B4A6A"/>
    <w:pPr>
      <w:spacing w:after="0" w:line="240" w:lineRule="auto"/>
    </w:pPr>
    <w:rPr>
      <w:rFonts w:ascii="Times New Roman" w:eastAsia="ヒラギノ角ゴ Pro W3" w:hAnsi="Times New Roman" w:cs="Times New Roman"/>
      <w:color w:val="000000"/>
      <w:sz w:val="24"/>
      <w:szCs w:val="20"/>
      <w:lang w:eastAsia="cs-CZ"/>
    </w:rPr>
  </w:style>
  <w:style w:type="paragraph" w:styleId="Odstavecseseznamem">
    <w:name w:val="List Paragraph"/>
    <w:basedOn w:val="Normln"/>
    <w:link w:val="OdstavecseseznamemChar"/>
    <w:uiPriority w:val="99"/>
    <w:qFormat/>
    <w:rsid w:val="008B4A6A"/>
    <w:pPr>
      <w:ind w:left="708"/>
    </w:pPr>
  </w:style>
  <w:style w:type="character" w:customStyle="1" w:styleId="OdstavecseseznamemChar">
    <w:name w:val="Odstavec se seznamem Char"/>
    <w:link w:val="Odstavecseseznamem"/>
    <w:uiPriority w:val="99"/>
    <w:rsid w:val="008B4A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4600</Characters>
  <Application>Microsoft Office Word</Application>
  <DocSecurity>8</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SERVIS</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BOUŠKA</dc:creator>
  <cp:lastModifiedBy>Tibitanzlova</cp:lastModifiedBy>
  <cp:revision>4</cp:revision>
  <dcterms:created xsi:type="dcterms:W3CDTF">2020-06-22T07:34:00Z</dcterms:created>
  <dcterms:modified xsi:type="dcterms:W3CDTF">2020-06-22T07:34:00Z</dcterms:modified>
</cp:coreProperties>
</file>