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5A81D" w14:textId="46266505" w:rsidR="00650CFF" w:rsidRDefault="003C2A1E" w:rsidP="00650CFF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Příloha č. 1 – P</w:t>
      </w:r>
      <w:r w:rsidR="00650CFF">
        <w:rPr>
          <w:rFonts w:cs="Arial"/>
          <w:b/>
          <w:sz w:val="32"/>
          <w:szCs w:val="32"/>
        </w:rPr>
        <w:t>odrobné vymezení plnění</w:t>
      </w:r>
      <w:r>
        <w:rPr>
          <w:rFonts w:cs="Arial"/>
          <w:b/>
          <w:sz w:val="32"/>
          <w:szCs w:val="32"/>
        </w:rPr>
        <w:t xml:space="preserve"> Dodavatele a vymezení ceny za plnění</w:t>
      </w:r>
    </w:p>
    <w:p w14:paraId="004F4F95" w14:textId="650613CF" w:rsidR="00650CFF" w:rsidRPr="00650CFF" w:rsidRDefault="00650CFF" w:rsidP="00650CFF">
      <w:pPr>
        <w:spacing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650CFF">
        <w:rPr>
          <w:rFonts w:asciiTheme="minorHAnsi" w:hAnsiTheme="minorHAnsi" w:cs="Calibri"/>
          <w:b/>
          <w:sz w:val="24"/>
          <w:szCs w:val="24"/>
          <w:lang w:eastAsia="cs-CZ"/>
        </w:rPr>
        <w:t>Prováděcí smlouv</w:t>
      </w:r>
      <w:r w:rsidRPr="001760A6">
        <w:rPr>
          <w:rFonts w:asciiTheme="minorHAnsi" w:hAnsiTheme="minorHAnsi" w:cs="Calibri"/>
          <w:b/>
          <w:sz w:val="24"/>
          <w:szCs w:val="24"/>
          <w:lang w:eastAsia="cs-CZ"/>
        </w:rPr>
        <w:t xml:space="preserve">a č. </w:t>
      </w:r>
      <w:proofErr w:type="gramStart"/>
      <w:r w:rsidRPr="001760A6">
        <w:rPr>
          <w:rFonts w:asciiTheme="minorHAnsi" w:hAnsiTheme="minorHAnsi" w:cs="Calibri"/>
          <w:b/>
          <w:sz w:val="24"/>
          <w:szCs w:val="24"/>
          <w:lang w:eastAsia="cs-CZ"/>
        </w:rPr>
        <w:t>20</w:t>
      </w:r>
      <w:r w:rsidR="00912766" w:rsidRPr="001760A6">
        <w:rPr>
          <w:rFonts w:asciiTheme="minorHAnsi" w:hAnsiTheme="minorHAnsi" w:cs="Calibri"/>
          <w:b/>
          <w:sz w:val="24"/>
          <w:szCs w:val="24"/>
          <w:lang w:eastAsia="cs-CZ"/>
        </w:rPr>
        <w:t>20</w:t>
      </w:r>
      <w:r w:rsidRPr="001760A6">
        <w:rPr>
          <w:rFonts w:asciiTheme="minorHAnsi" w:hAnsiTheme="minorHAnsi" w:cs="Calibri"/>
          <w:b/>
          <w:sz w:val="24"/>
          <w:szCs w:val="24"/>
          <w:lang w:eastAsia="cs-CZ"/>
        </w:rPr>
        <w:t xml:space="preserve"> – </w:t>
      </w:r>
      <w:r w:rsidR="001760A6" w:rsidRPr="001760A6">
        <w:rPr>
          <w:rFonts w:asciiTheme="minorHAnsi" w:hAnsiTheme="minorHAnsi" w:cs="Calibri"/>
          <w:b/>
          <w:sz w:val="24"/>
          <w:szCs w:val="24"/>
          <w:lang w:eastAsia="cs-CZ"/>
        </w:rPr>
        <w:t>015</w:t>
      </w:r>
      <w:proofErr w:type="gramEnd"/>
    </w:p>
    <w:p w14:paraId="7DACC218" w14:textId="30E5A8CA" w:rsidR="00650CFF" w:rsidRDefault="00650CFF" w:rsidP="00650CFF">
      <w:pPr>
        <w:pStyle w:val="CZNzevlnku"/>
        <w:rPr>
          <w:rFonts w:ascii="Calibri" w:hAnsi="Calibri" w:cs="Calibri"/>
          <w:sz w:val="24"/>
        </w:rPr>
      </w:pPr>
      <w:r w:rsidRPr="00EB4F62">
        <w:rPr>
          <w:rFonts w:asciiTheme="minorHAnsi" w:hAnsiTheme="minorHAnsi" w:cs="Calibri"/>
          <w:sz w:val="24"/>
        </w:rPr>
        <w:t>k Rá</w:t>
      </w:r>
      <w:r w:rsidR="0009016E">
        <w:rPr>
          <w:rFonts w:asciiTheme="minorHAnsi" w:hAnsiTheme="minorHAnsi" w:cs="Calibri"/>
          <w:sz w:val="24"/>
        </w:rPr>
        <w:t>m</w:t>
      </w:r>
      <w:r w:rsidRPr="00EB4F62">
        <w:rPr>
          <w:rFonts w:asciiTheme="minorHAnsi" w:hAnsiTheme="minorHAnsi" w:cs="Calibri"/>
          <w:sz w:val="24"/>
        </w:rPr>
        <w:t xml:space="preserve">cové dohodě na pořizování licencí a podpory k produktům Cisco Systems a souvisejících služeb </w:t>
      </w:r>
      <w:r w:rsidRPr="009E5162">
        <w:rPr>
          <w:rFonts w:ascii="Calibri" w:hAnsi="Calibri" w:cs="Calibri"/>
          <w:sz w:val="24"/>
        </w:rPr>
        <w:t xml:space="preserve">ze dne </w:t>
      </w:r>
      <w:r>
        <w:rPr>
          <w:rFonts w:ascii="Calibri" w:hAnsi="Calibri" w:cs="Calibri"/>
          <w:sz w:val="24"/>
        </w:rPr>
        <w:t>12. 1. 2018</w:t>
      </w:r>
      <w:r w:rsidR="00995C96">
        <w:rPr>
          <w:rFonts w:ascii="Calibri" w:hAnsi="Calibri" w:cs="Calibri"/>
          <w:sz w:val="24"/>
        </w:rPr>
        <w:t xml:space="preserve"> (dále jen „Prováděcí smlouva“)</w:t>
      </w:r>
    </w:p>
    <w:p w14:paraId="4B3E3579" w14:textId="434CDADD" w:rsidR="00AA05A0" w:rsidRDefault="008431E9" w:rsidP="00650CFF">
      <w:pPr>
        <w:pStyle w:val="CZNzevlnku"/>
        <w:rPr>
          <w:rFonts w:asciiTheme="minorHAnsi" w:eastAsia="Times New Roman" w:hAnsiTheme="minorHAnsi"/>
          <w:szCs w:val="20"/>
        </w:rPr>
      </w:pPr>
      <w:r w:rsidRPr="007A3482">
        <w:rPr>
          <w:rFonts w:asciiTheme="minorHAnsi" w:eastAsia="Times New Roman" w:hAnsiTheme="minorHAnsi" w:cs="Arial"/>
          <w:szCs w:val="20"/>
        </w:rPr>
        <w:t xml:space="preserve">evidence VZP ČR – ID VZ </w:t>
      </w:r>
      <w:r w:rsidRPr="007A3482">
        <w:rPr>
          <w:rFonts w:asciiTheme="minorHAnsi" w:eastAsia="Times New Roman" w:hAnsiTheme="minorHAnsi"/>
          <w:szCs w:val="20"/>
        </w:rPr>
        <w:t>2000</w:t>
      </w:r>
      <w:r w:rsidR="00824A5C">
        <w:rPr>
          <w:rFonts w:asciiTheme="minorHAnsi" w:eastAsia="Times New Roman" w:hAnsiTheme="minorHAnsi"/>
          <w:szCs w:val="20"/>
        </w:rPr>
        <w:t>215</w:t>
      </w:r>
    </w:p>
    <w:p w14:paraId="6CB75AFF" w14:textId="2782F8B2" w:rsidR="008D1C3D" w:rsidRPr="008D1C3D" w:rsidRDefault="008D1C3D" w:rsidP="008D1C3D">
      <w:pPr>
        <w:spacing w:after="120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  <w:r w:rsidRPr="008D1C3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Preambule</w:t>
      </w:r>
    </w:p>
    <w:p w14:paraId="3CE661D9" w14:textId="1AC5558A" w:rsidR="008D1C3D" w:rsidRDefault="008D1C3D" w:rsidP="008D1C3D">
      <w:pPr>
        <w:spacing w:after="0"/>
        <w:jc w:val="both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8D1C3D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VZP ČR je oprávněným uživatelem programového vybavení pro sjednocenou komunikaci (dále též jen „SW“), jehož 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„výrobcem“</w:t>
      </w:r>
      <w:r w:rsidRPr="008D1C3D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je společnost Cisco Systems, Inc., se sídlem San Jose, 95134, USA (dále jen „Výrobce“).</w:t>
      </w:r>
    </w:p>
    <w:p w14:paraId="4F2164E2" w14:textId="77777777" w:rsidR="008D1C3D" w:rsidRPr="008D1C3D" w:rsidRDefault="008D1C3D" w:rsidP="008D1C3D">
      <w:pPr>
        <w:spacing w:after="0"/>
        <w:rPr>
          <w:rFonts w:asciiTheme="minorHAnsi" w:eastAsia="Times New Roman" w:hAnsiTheme="minorHAnsi" w:cs="Arial"/>
          <w:sz w:val="20"/>
          <w:szCs w:val="20"/>
          <w:lang w:eastAsia="cs-CZ"/>
        </w:rPr>
      </w:pPr>
    </w:p>
    <w:p w14:paraId="29B13CBD" w14:textId="55676835" w:rsidR="00C3781F" w:rsidRPr="00C3781F" w:rsidRDefault="00C3781F" w:rsidP="006766F5">
      <w:pPr>
        <w:pStyle w:val="Prosttext"/>
        <w:numPr>
          <w:ilvl w:val="0"/>
          <w:numId w:val="6"/>
        </w:numPr>
        <w:ind w:left="284" w:hanging="284"/>
        <w:rPr>
          <w:rFonts w:asciiTheme="minorHAnsi" w:hAnsiTheme="minorHAnsi" w:cs="Arial"/>
          <w:b/>
        </w:rPr>
      </w:pPr>
      <w:r w:rsidRPr="00C3781F">
        <w:rPr>
          <w:rFonts w:asciiTheme="minorHAnsi" w:hAnsiTheme="minorHAnsi" w:cs="Arial"/>
          <w:b/>
        </w:rPr>
        <w:t>Předmět plnění</w:t>
      </w:r>
      <w:r>
        <w:rPr>
          <w:rFonts w:asciiTheme="minorHAnsi" w:hAnsiTheme="minorHAnsi" w:cs="Arial"/>
          <w:b/>
        </w:rPr>
        <w:t>:</w:t>
      </w:r>
    </w:p>
    <w:p w14:paraId="0B4F40B6" w14:textId="31E1A036" w:rsidR="006766F5" w:rsidRDefault="0007522A" w:rsidP="008D1C3D">
      <w:pPr>
        <w:spacing w:after="0"/>
        <w:jc w:val="both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261BB9">
        <w:rPr>
          <w:rFonts w:asciiTheme="minorHAnsi" w:eastAsia="Times New Roman" w:hAnsiTheme="minorHAnsi" w:cs="Arial"/>
          <w:sz w:val="20"/>
          <w:szCs w:val="20"/>
          <w:lang w:eastAsia="cs-CZ"/>
        </w:rPr>
        <w:t>Předmět</w:t>
      </w:r>
      <w:r w:rsidR="007065E5">
        <w:rPr>
          <w:rFonts w:asciiTheme="minorHAnsi" w:eastAsia="Times New Roman" w:hAnsiTheme="minorHAnsi" w:cs="Arial"/>
          <w:sz w:val="20"/>
          <w:szCs w:val="20"/>
          <w:lang w:eastAsia="cs-CZ"/>
        </w:rPr>
        <w:t>em</w:t>
      </w:r>
      <w:r w:rsidRPr="00261BB9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plnění Dodavatele</w:t>
      </w:r>
      <w:r w:rsidRPr="00C3781F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je </w:t>
      </w:r>
      <w:r w:rsidR="007065E5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poskytnutí/zajištění </w:t>
      </w:r>
      <w:r w:rsidR="007065E5" w:rsidRPr="00760D85">
        <w:rPr>
          <w:rFonts w:asciiTheme="minorHAnsi" w:eastAsia="Times New Roman" w:hAnsiTheme="minorHAnsi" w:cs="Arial"/>
          <w:sz w:val="20"/>
          <w:szCs w:val="20"/>
          <w:lang w:eastAsia="cs-CZ"/>
        </w:rPr>
        <w:t>(dále jen „</w:t>
      </w:r>
      <w:r w:rsidR="007065E5" w:rsidRPr="00062902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poskytnutí“) </w:t>
      </w:r>
      <w:r w:rsidR="002D5457">
        <w:rPr>
          <w:rFonts w:asciiTheme="minorHAnsi" w:eastAsia="Times New Roman" w:hAnsiTheme="minorHAnsi" w:cs="Arial"/>
          <w:sz w:val="20"/>
          <w:szCs w:val="20"/>
          <w:lang w:eastAsia="cs-CZ"/>
        </w:rPr>
        <w:t>nových licencí</w:t>
      </w:r>
      <w:r w:rsidR="002D5457" w:rsidRPr="002D5457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k produktům Cisco </w:t>
      </w:r>
      <w:r w:rsidR="00912766">
        <w:rPr>
          <w:rFonts w:asciiTheme="minorHAnsi" w:eastAsia="Times New Roman" w:hAnsiTheme="minorHAnsi" w:cs="Arial"/>
          <w:sz w:val="20"/>
          <w:szCs w:val="20"/>
          <w:lang w:eastAsia="cs-CZ"/>
        </w:rPr>
        <w:t>v </w:t>
      </w:r>
      <w:r w:rsidR="00ED7D6C" w:rsidRPr="00062902">
        <w:rPr>
          <w:rFonts w:asciiTheme="minorHAnsi" w:eastAsia="Times New Roman" w:hAnsiTheme="minorHAnsi" w:cs="Arial"/>
          <w:sz w:val="20"/>
          <w:szCs w:val="20"/>
          <w:lang w:eastAsia="cs-CZ"/>
        </w:rPr>
        <w:t>rozsahu, způsob</w:t>
      </w:r>
      <w:r w:rsidR="00EB549F" w:rsidRPr="00062902">
        <w:rPr>
          <w:rFonts w:asciiTheme="minorHAnsi" w:eastAsia="Times New Roman" w:hAnsiTheme="minorHAnsi" w:cs="Arial"/>
          <w:sz w:val="20"/>
          <w:szCs w:val="20"/>
          <w:lang w:eastAsia="cs-CZ"/>
        </w:rPr>
        <w:t>em a za</w:t>
      </w:r>
      <w:r w:rsidR="00ED7D6C" w:rsidRPr="00062902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ceny </w:t>
      </w:r>
      <w:r w:rsidR="00141BB2" w:rsidRPr="00062902">
        <w:rPr>
          <w:rFonts w:asciiTheme="minorHAnsi" w:eastAsia="Times New Roman" w:hAnsiTheme="minorHAnsi" w:cs="Arial"/>
          <w:sz w:val="20"/>
          <w:szCs w:val="20"/>
          <w:lang w:eastAsia="cs-CZ"/>
        </w:rPr>
        <w:t>plnění</w:t>
      </w:r>
      <w:r w:rsidR="007065E5" w:rsidRPr="00062902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dále uvedené.</w:t>
      </w:r>
      <w:r w:rsidR="00141BB2" w:rsidRPr="00062902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</w:t>
      </w:r>
    </w:p>
    <w:p w14:paraId="76CD236A" w14:textId="77777777" w:rsidR="008431E9" w:rsidRDefault="008431E9" w:rsidP="009433E4">
      <w:pPr>
        <w:spacing w:after="0"/>
        <w:rPr>
          <w:rFonts w:asciiTheme="minorHAnsi" w:eastAsia="Times New Roman" w:hAnsiTheme="minorHAnsi" w:cs="Arial"/>
          <w:sz w:val="20"/>
          <w:szCs w:val="20"/>
          <w:lang w:eastAsia="cs-CZ"/>
        </w:rPr>
      </w:pPr>
    </w:p>
    <w:p w14:paraId="36D48B1A" w14:textId="364B549E" w:rsidR="008431E9" w:rsidRPr="008431E9" w:rsidRDefault="008431E9" w:rsidP="008431E9">
      <w:pPr>
        <w:pStyle w:val="Prosttext"/>
        <w:numPr>
          <w:ilvl w:val="0"/>
          <w:numId w:val="6"/>
        </w:numPr>
        <w:ind w:left="284" w:hanging="284"/>
        <w:rPr>
          <w:rFonts w:asciiTheme="minorHAnsi" w:hAnsiTheme="minorHAnsi" w:cs="Arial"/>
          <w:b/>
        </w:rPr>
      </w:pPr>
      <w:r w:rsidRPr="007A3482">
        <w:rPr>
          <w:rFonts w:asciiTheme="minorHAnsi" w:hAnsiTheme="minorHAnsi" w:cs="Arial"/>
          <w:b/>
        </w:rPr>
        <w:t>Rozsah</w:t>
      </w:r>
      <w:r w:rsidRPr="008431E9">
        <w:rPr>
          <w:rFonts w:asciiTheme="minorHAnsi" w:hAnsiTheme="minorHAnsi" w:cs="Arial"/>
          <w:b/>
        </w:rPr>
        <w:t xml:space="preserve"> plnění a Ceny za plnění / Celková cena za plnění</w:t>
      </w:r>
    </w:p>
    <w:p w14:paraId="5886D8FD" w14:textId="26D5FAB4" w:rsidR="009433E4" w:rsidRDefault="009433E4" w:rsidP="00F87AFD">
      <w:pPr>
        <w:pStyle w:val="Prosttext"/>
        <w:ind w:left="284"/>
        <w:rPr>
          <w:rFonts w:ascii="Calibri" w:hAnsi="Calibri" w:cs="Arial"/>
          <w:b/>
        </w:rPr>
      </w:pPr>
    </w:p>
    <w:p w14:paraId="5CC678E2" w14:textId="77777777" w:rsidR="005F1056" w:rsidRDefault="005F1056" w:rsidP="005F1056">
      <w:pPr>
        <w:spacing w:after="0"/>
        <w:rPr>
          <w:sz w:val="20"/>
          <w:szCs w:val="20"/>
        </w:rPr>
      </w:pPr>
      <w:r w:rsidRPr="00C3781F">
        <w:rPr>
          <w:sz w:val="20"/>
          <w:szCs w:val="20"/>
        </w:rPr>
        <w:t xml:space="preserve">Ceny </w:t>
      </w:r>
      <w:r>
        <w:rPr>
          <w:sz w:val="20"/>
          <w:szCs w:val="20"/>
        </w:rPr>
        <w:t xml:space="preserve">za plnění </w:t>
      </w:r>
      <w:r w:rsidRPr="00C3781F">
        <w:rPr>
          <w:sz w:val="20"/>
          <w:szCs w:val="20"/>
        </w:rPr>
        <w:t>jsou uvedeny v Kč bez DPH</w:t>
      </w:r>
      <w:r>
        <w:rPr>
          <w:sz w:val="20"/>
          <w:szCs w:val="20"/>
        </w:rPr>
        <w:t>.</w:t>
      </w:r>
    </w:p>
    <w:p w14:paraId="79FF9365" w14:textId="77777777" w:rsidR="005F1056" w:rsidRPr="00062902" w:rsidRDefault="005F1056" w:rsidP="00F87AFD">
      <w:pPr>
        <w:pStyle w:val="Prosttext"/>
        <w:ind w:left="284"/>
        <w:rPr>
          <w:rFonts w:ascii="Calibri" w:hAnsi="Calibri" w:cs="Arial"/>
          <w:b/>
        </w:rPr>
      </w:pPr>
    </w:p>
    <w:p w14:paraId="0B60987E" w14:textId="77777777" w:rsidR="00237FD3" w:rsidRDefault="00237FD3" w:rsidP="00650CFF">
      <w:pPr>
        <w:spacing w:after="0"/>
        <w:rPr>
          <w:sz w:val="20"/>
          <w:szCs w:val="20"/>
        </w:rPr>
      </w:pPr>
    </w:p>
    <w:tbl>
      <w:tblPr>
        <w:tblW w:w="94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642"/>
        <w:gridCol w:w="634"/>
        <w:gridCol w:w="1134"/>
        <w:gridCol w:w="850"/>
        <w:gridCol w:w="1294"/>
        <w:gridCol w:w="265"/>
        <w:gridCol w:w="709"/>
        <w:gridCol w:w="1559"/>
        <w:gridCol w:w="1560"/>
      </w:tblGrid>
      <w:tr w:rsidR="007303CC" w:rsidRPr="004025D9" w14:paraId="412EB83C" w14:textId="77777777" w:rsidTr="003A0E77">
        <w:trPr>
          <w:trHeight w:val="730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1269" w14:textId="77777777" w:rsidR="007303CC" w:rsidRPr="004025D9" w:rsidRDefault="007303CC" w:rsidP="003A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Part Number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2993" w14:textId="77777777" w:rsidR="007303CC" w:rsidRPr="004025D9" w:rsidRDefault="007303CC" w:rsidP="003A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Cisco </w:t>
            </w:r>
            <w:proofErr w:type="spellStart"/>
            <w:r w:rsidRPr="004025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Description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C7AB" w14:textId="77777777" w:rsidR="007303CC" w:rsidRPr="004025D9" w:rsidRDefault="007303CC" w:rsidP="003A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Položka Rámcové dohody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A7BC" w14:textId="77777777" w:rsidR="007303CC" w:rsidRPr="004025D9" w:rsidRDefault="007303CC" w:rsidP="003A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D579" w14:textId="77777777" w:rsidR="007303CC" w:rsidRPr="004025D9" w:rsidRDefault="007303CC" w:rsidP="003A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Cena / 1k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07EA9" w14:textId="77777777" w:rsidR="007303CC" w:rsidRPr="004025D9" w:rsidRDefault="007303CC" w:rsidP="003A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Sleva [%]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81567" w14:textId="77777777" w:rsidR="007303CC" w:rsidRPr="004025D9" w:rsidRDefault="007303CC" w:rsidP="003A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Cena / 1 ks</w:t>
            </w:r>
          </w:p>
          <w:p w14:paraId="0019DB80" w14:textId="77777777" w:rsidR="007303CC" w:rsidRPr="004025D9" w:rsidRDefault="007303CC" w:rsidP="003A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 slevě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711F" w14:textId="77777777" w:rsidR="007303CC" w:rsidRPr="004025D9" w:rsidRDefault="007303CC" w:rsidP="003A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Cena za stanovený počet kusů</w:t>
            </w:r>
          </w:p>
        </w:tc>
      </w:tr>
      <w:tr w:rsidR="007303CC" w:rsidRPr="004025D9" w14:paraId="0B20CC31" w14:textId="77777777" w:rsidTr="003A0E77">
        <w:trPr>
          <w:trHeight w:val="9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B4BB" w14:textId="77777777" w:rsidR="007303CC" w:rsidRPr="004025D9" w:rsidRDefault="007303CC" w:rsidP="003A0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ACI-F16X=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4918" w14:textId="77777777" w:rsidR="007303CC" w:rsidRPr="004025D9" w:rsidRDefault="007303CC" w:rsidP="003A0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02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ACI</w:t>
            </w:r>
            <w:proofErr w:type="spellEnd"/>
            <w:r w:rsidRPr="00402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SW </w:t>
            </w:r>
            <w:proofErr w:type="spellStart"/>
            <w:r w:rsidRPr="00402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license</w:t>
            </w:r>
            <w:proofErr w:type="spellEnd"/>
            <w:r w:rsidRPr="00402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02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402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16p 1/10G Nexus 2K (B22)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EB6C" w14:textId="77777777" w:rsidR="007303CC" w:rsidRPr="004025D9" w:rsidRDefault="007303CC" w:rsidP="003A0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Nové licence k produktům Cisco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4F93" w14:textId="77777777" w:rsidR="007303CC" w:rsidRPr="004025D9" w:rsidRDefault="007303CC" w:rsidP="003A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EE57CDE" w14:textId="0757DB2B" w:rsidR="007303CC" w:rsidRPr="004025D9" w:rsidRDefault="007303CC" w:rsidP="003A0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  <w:r w:rsidR="001760A6">
              <w:rPr>
                <w:rFonts w:ascii="Arial" w:eastAsiaTheme="minorHAnsi" w:hAnsi="Arial" w:cs="Arial"/>
                <w:sz w:val="16"/>
                <w:szCs w:val="16"/>
              </w:rPr>
              <w:t>127 765,00</w:t>
            </w:r>
            <w:r w:rsidR="001760A6">
              <w:rPr>
                <w:rFonts w:ascii="Arial" w:eastAsiaTheme="minorHAnsi" w:hAnsi="Arial" w:cs="Arial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4F4088C" w14:textId="4D8BFBFF" w:rsidR="007303CC" w:rsidRPr="004025D9" w:rsidRDefault="007303CC" w:rsidP="003A0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  <w:r w:rsidR="00176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0F8A9AA" w14:textId="1148BCBD" w:rsidR="007303CC" w:rsidRPr="002F0D09" w:rsidRDefault="001760A6" w:rsidP="003A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68 993,10</w:t>
            </w:r>
            <w:r w:rsidR="007303CC" w:rsidRPr="002F0D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E91D18D" w14:textId="17776964" w:rsidR="007303CC" w:rsidRPr="004025D9" w:rsidRDefault="007303CC" w:rsidP="003A0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  <w:r w:rsidR="001760A6">
              <w:rPr>
                <w:rFonts w:ascii="Arial" w:eastAsiaTheme="minorHAnsi" w:hAnsi="Arial" w:cs="Arial"/>
                <w:sz w:val="16"/>
                <w:szCs w:val="16"/>
              </w:rPr>
              <w:t>827 917,20</w:t>
            </w:r>
          </w:p>
        </w:tc>
      </w:tr>
      <w:tr w:rsidR="007303CC" w:rsidRPr="004025D9" w14:paraId="03748EA9" w14:textId="77777777" w:rsidTr="003A0E77">
        <w:trPr>
          <w:trHeight w:val="509"/>
        </w:trPr>
        <w:tc>
          <w:tcPr>
            <w:tcW w:w="7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2F99" w14:textId="77777777" w:rsidR="007303CC" w:rsidRPr="004025D9" w:rsidRDefault="007303CC" w:rsidP="003A0E7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B21D" w14:textId="77777777" w:rsidR="007303CC" w:rsidRPr="004025D9" w:rsidRDefault="007303CC" w:rsidP="003A0E7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9B87B" w14:textId="77777777" w:rsidR="007303CC" w:rsidRPr="004025D9" w:rsidRDefault="007303CC" w:rsidP="003A0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73E7E" w14:textId="77777777" w:rsidR="007303CC" w:rsidRPr="004025D9" w:rsidRDefault="007303CC" w:rsidP="003A0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52B2" w14:textId="77777777" w:rsidR="007303CC" w:rsidRPr="004025D9" w:rsidRDefault="007303CC" w:rsidP="003A0E7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5838" w14:textId="77777777" w:rsidR="007303CC" w:rsidRPr="004025D9" w:rsidRDefault="007303CC" w:rsidP="003A0E7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495D" w14:textId="3E21DC0A" w:rsidR="007303CC" w:rsidRPr="004025D9" w:rsidRDefault="007303CC" w:rsidP="003A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Celková cena </w:t>
            </w:r>
            <w:r w:rsidRPr="004025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br/>
              <w:t>plnění</w:t>
            </w:r>
            <w:r w:rsidR="005F10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v Kč bez DPH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B6E59B6" w14:textId="7F0FD6C2" w:rsidR="007303CC" w:rsidRPr="004025D9" w:rsidRDefault="007303CC" w:rsidP="003A0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25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1760A6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827 917,20</w:t>
            </w:r>
          </w:p>
        </w:tc>
      </w:tr>
      <w:tr w:rsidR="007303CC" w:rsidRPr="004025D9" w14:paraId="0AECAAF8" w14:textId="77777777" w:rsidTr="003A0E77">
        <w:trPr>
          <w:trHeight w:val="509"/>
        </w:trPr>
        <w:tc>
          <w:tcPr>
            <w:tcW w:w="7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1A078" w14:textId="77777777" w:rsidR="007303CC" w:rsidRPr="004025D9" w:rsidRDefault="007303CC" w:rsidP="003A0E7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5E27A" w14:textId="77777777" w:rsidR="007303CC" w:rsidRPr="004025D9" w:rsidRDefault="007303CC" w:rsidP="003A0E7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7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E35B8" w14:textId="77777777" w:rsidR="007303CC" w:rsidRPr="004025D9" w:rsidRDefault="007303CC" w:rsidP="003A0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F8DB0" w14:textId="77777777" w:rsidR="007303CC" w:rsidRPr="004025D9" w:rsidRDefault="007303CC" w:rsidP="003A0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B7B78" w14:textId="77777777" w:rsidR="007303CC" w:rsidRPr="004025D9" w:rsidRDefault="007303CC" w:rsidP="003A0E7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C7EF7" w14:textId="77777777" w:rsidR="007303CC" w:rsidRPr="004025D9" w:rsidRDefault="007303CC" w:rsidP="003A0E7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F9170" w14:textId="77777777" w:rsidR="007303CC" w:rsidRPr="004025D9" w:rsidRDefault="007303CC" w:rsidP="003A0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B4901" w14:textId="77777777" w:rsidR="007303CC" w:rsidRPr="004025D9" w:rsidRDefault="007303CC" w:rsidP="003A0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21D13C88" w14:textId="77777777" w:rsidR="0090178F" w:rsidRDefault="0090178F" w:rsidP="00650CFF">
      <w:pPr>
        <w:spacing w:after="0"/>
        <w:rPr>
          <w:sz w:val="20"/>
          <w:szCs w:val="20"/>
        </w:rPr>
      </w:pPr>
    </w:p>
    <w:p w14:paraId="2EACF700" w14:textId="77777777" w:rsidR="0090178F" w:rsidRDefault="0090178F" w:rsidP="00650CFF">
      <w:pPr>
        <w:spacing w:after="0"/>
        <w:rPr>
          <w:sz w:val="20"/>
          <w:szCs w:val="20"/>
        </w:rPr>
      </w:pPr>
    </w:p>
    <w:p w14:paraId="67E5B9AA" w14:textId="77777777" w:rsidR="00650CFF" w:rsidRDefault="00650CFF" w:rsidP="00650CFF">
      <w:pPr>
        <w:spacing w:after="0"/>
        <w:rPr>
          <w:sz w:val="20"/>
          <w:szCs w:val="20"/>
        </w:rPr>
      </w:pPr>
    </w:p>
    <w:p w14:paraId="761430E2" w14:textId="77777777" w:rsidR="001760A6" w:rsidRPr="001760A6" w:rsidRDefault="001760A6" w:rsidP="001760A6">
      <w:pPr>
        <w:spacing w:after="0"/>
        <w:rPr>
          <w:sz w:val="20"/>
          <w:szCs w:val="20"/>
        </w:rPr>
      </w:pPr>
      <w:r w:rsidRPr="001760A6">
        <w:rPr>
          <w:sz w:val="20"/>
          <w:szCs w:val="20"/>
        </w:rPr>
        <w:t>Celková cena za plnění bez DPH činí 827 917,20 Kč (slovy: osm set dvacet sedm tisíc devět set sedmnáct korun</w:t>
      </w:r>
    </w:p>
    <w:p w14:paraId="7FA455CB" w14:textId="77777777" w:rsidR="001760A6" w:rsidRPr="001760A6" w:rsidRDefault="001760A6" w:rsidP="001760A6">
      <w:pPr>
        <w:spacing w:after="0"/>
        <w:rPr>
          <w:sz w:val="20"/>
          <w:szCs w:val="20"/>
        </w:rPr>
      </w:pPr>
      <w:r w:rsidRPr="001760A6">
        <w:rPr>
          <w:sz w:val="20"/>
          <w:szCs w:val="20"/>
        </w:rPr>
        <w:t>českých dvacet haléřů) bez DPH, tj. 1 001 779,81 Kč (slovy: jeden milion jeden tisíc sedm set sedmdesát devět korun</w:t>
      </w:r>
    </w:p>
    <w:p w14:paraId="1D32C1FE" w14:textId="5E7C4B26" w:rsidR="007D69C6" w:rsidRDefault="001760A6" w:rsidP="001760A6">
      <w:pPr>
        <w:spacing w:after="0"/>
        <w:rPr>
          <w:sz w:val="20"/>
          <w:szCs w:val="20"/>
        </w:rPr>
      </w:pPr>
      <w:r w:rsidRPr="001760A6">
        <w:rPr>
          <w:sz w:val="20"/>
          <w:szCs w:val="20"/>
        </w:rPr>
        <w:t>českých osmdesát jeden haléřů) včetně DPH.</w:t>
      </w:r>
      <w:r w:rsidR="005F1056">
        <w:rPr>
          <w:sz w:val="20"/>
          <w:szCs w:val="20"/>
        </w:rPr>
        <w:t xml:space="preserve"> </w:t>
      </w:r>
    </w:p>
    <w:p w14:paraId="6FBA2EAD" w14:textId="77777777" w:rsidR="007230F4" w:rsidRDefault="007230F4" w:rsidP="009433E4">
      <w:pPr>
        <w:spacing w:after="0"/>
        <w:rPr>
          <w:sz w:val="20"/>
          <w:szCs w:val="20"/>
        </w:rPr>
      </w:pPr>
    </w:p>
    <w:p w14:paraId="1DA00B94" w14:textId="7AB4C9E4" w:rsidR="002D455C" w:rsidRPr="00C3216B" w:rsidRDefault="002D455C" w:rsidP="0097164B">
      <w:pPr>
        <w:pStyle w:val="Prosttext"/>
        <w:numPr>
          <w:ilvl w:val="0"/>
          <w:numId w:val="6"/>
        </w:numPr>
        <w:ind w:left="284" w:hanging="284"/>
        <w:rPr>
          <w:rFonts w:asciiTheme="minorHAnsi" w:hAnsiTheme="minorHAnsi" w:cs="Arial"/>
          <w:b/>
        </w:rPr>
      </w:pPr>
      <w:r w:rsidRPr="00C3216B">
        <w:rPr>
          <w:rFonts w:asciiTheme="minorHAnsi" w:hAnsiTheme="minorHAnsi" w:cs="Arial"/>
          <w:b/>
        </w:rPr>
        <w:t>Poskytnutí</w:t>
      </w:r>
      <w:r w:rsidR="005C509F">
        <w:rPr>
          <w:rFonts w:asciiTheme="minorHAnsi" w:hAnsiTheme="minorHAnsi" w:cs="Arial"/>
          <w:b/>
        </w:rPr>
        <w:t xml:space="preserve"> </w:t>
      </w:r>
      <w:r w:rsidR="004025D9">
        <w:rPr>
          <w:rFonts w:asciiTheme="minorHAnsi" w:hAnsiTheme="minorHAnsi" w:cs="Arial"/>
          <w:b/>
        </w:rPr>
        <w:t xml:space="preserve">nových licencí k produktům Cisco </w:t>
      </w:r>
    </w:p>
    <w:p w14:paraId="70E09989" w14:textId="62E1A5EE" w:rsidR="00336B1A" w:rsidRDefault="0097164B" w:rsidP="002D455C">
      <w:pPr>
        <w:suppressAutoHyphens/>
        <w:spacing w:before="120" w:after="120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T</w:t>
      </w:r>
      <w:r w:rsidR="002D455C">
        <w:rPr>
          <w:rFonts w:asciiTheme="minorHAnsi" w:hAnsiTheme="minorHAnsi" w:cs="Arial"/>
          <w:sz w:val="20"/>
        </w:rPr>
        <w:t xml:space="preserve">outo Prováděcí smlouvou </w:t>
      </w:r>
      <w:r>
        <w:rPr>
          <w:rFonts w:asciiTheme="minorHAnsi" w:hAnsiTheme="minorHAnsi" w:cs="Arial"/>
          <w:sz w:val="20"/>
        </w:rPr>
        <w:t xml:space="preserve">jsou </w:t>
      </w:r>
      <w:r w:rsidR="002D455C">
        <w:rPr>
          <w:rFonts w:asciiTheme="minorHAnsi" w:hAnsiTheme="minorHAnsi" w:cs="Arial"/>
          <w:sz w:val="20"/>
        </w:rPr>
        <w:t xml:space="preserve">VZP ČR </w:t>
      </w:r>
      <w:r>
        <w:rPr>
          <w:rFonts w:asciiTheme="minorHAnsi" w:hAnsiTheme="minorHAnsi" w:cs="Arial"/>
          <w:sz w:val="20"/>
        </w:rPr>
        <w:t>poskyt</w:t>
      </w:r>
      <w:r w:rsidR="004025D9">
        <w:rPr>
          <w:rFonts w:asciiTheme="minorHAnsi" w:hAnsiTheme="minorHAnsi" w:cs="Arial"/>
          <w:sz w:val="20"/>
        </w:rPr>
        <w:t>nuty</w:t>
      </w:r>
      <w:r>
        <w:rPr>
          <w:rFonts w:asciiTheme="minorHAnsi" w:hAnsiTheme="minorHAnsi" w:cs="Arial"/>
          <w:sz w:val="20"/>
        </w:rPr>
        <w:t xml:space="preserve"> </w:t>
      </w:r>
      <w:r w:rsidR="002D5457">
        <w:rPr>
          <w:rFonts w:asciiTheme="minorHAnsi" w:hAnsiTheme="minorHAnsi" w:cs="Arial"/>
          <w:sz w:val="20"/>
        </w:rPr>
        <w:t xml:space="preserve">nové licence </w:t>
      </w:r>
      <w:r>
        <w:rPr>
          <w:rFonts w:asciiTheme="minorHAnsi" w:hAnsiTheme="minorHAnsi" w:cs="Arial"/>
          <w:sz w:val="20"/>
        </w:rPr>
        <w:t>k produktům Cisco</w:t>
      </w:r>
      <w:r w:rsidR="005C509F">
        <w:rPr>
          <w:rFonts w:asciiTheme="minorHAnsi" w:hAnsiTheme="minorHAnsi" w:cs="Arial"/>
          <w:sz w:val="20"/>
        </w:rPr>
        <w:t xml:space="preserve"> </w:t>
      </w:r>
      <w:r w:rsidR="002D455C">
        <w:rPr>
          <w:rFonts w:asciiTheme="minorHAnsi" w:hAnsiTheme="minorHAnsi" w:cs="Arial"/>
          <w:sz w:val="20"/>
        </w:rPr>
        <w:t>s </w:t>
      </w:r>
      <w:r w:rsidR="002D455C" w:rsidRPr="00E76CEA">
        <w:rPr>
          <w:rFonts w:asciiTheme="minorHAnsi" w:hAnsiTheme="minorHAnsi" w:cs="Arial"/>
          <w:sz w:val="20"/>
        </w:rPr>
        <w:t>označením (</w:t>
      </w:r>
      <w:r w:rsidR="002D455C" w:rsidRPr="003E2DA3">
        <w:rPr>
          <w:rFonts w:asciiTheme="minorHAnsi" w:hAnsiTheme="minorHAnsi" w:cs="Arial"/>
          <w:sz w:val="20"/>
        </w:rPr>
        <w:t xml:space="preserve">Part Number) </w:t>
      </w:r>
      <w:r w:rsidR="005B2293" w:rsidRPr="00AA05A0">
        <w:rPr>
          <w:rFonts w:asciiTheme="minorHAnsi" w:hAnsiTheme="minorHAnsi" w:cs="Arial"/>
          <w:sz w:val="20"/>
        </w:rPr>
        <w:t xml:space="preserve">uvedeném v tabulce </w:t>
      </w:r>
      <w:r w:rsidR="005C509F" w:rsidRPr="00AA05A0">
        <w:rPr>
          <w:rFonts w:asciiTheme="minorHAnsi" w:hAnsiTheme="minorHAnsi" w:cs="Arial"/>
          <w:sz w:val="20"/>
        </w:rPr>
        <w:t>v</w:t>
      </w:r>
      <w:r w:rsidR="0050548C">
        <w:rPr>
          <w:rFonts w:asciiTheme="minorHAnsi" w:hAnsiTheme="minorHAnsi" w:cs="Arial"/>
          <w:sz w:val="20"/>
        </w:rPr>
        <w:t> odst.</w:t>
      </w:r>
      <w:r w:rsidR="0050548C" w:rsidRPr="00AA05A0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2</w:t>
      </w:r>
      <w:r w:rsidRPr="00AA05A0">
        <w:rPr>
          <w:rFonts w:asciiTheme="minorHAnsi" w:hAnsiTheme="minorHAnsi" w:cs="Arial"/>
          <w:sz w:val="20"/>
        </w:rPr>
        <w:t xml:space="preserve"> </w:t>
      </w:r>
      <w:r w:rsidR="002D455C" w:rsidRPr="003E2DA3">
        <w:rPr>
          <w:rFonts w:asciiTheme="minorHAnsi" w:hAnsiTheme="minorHAnsi" w:cs="Arial"/>
          <w:sz w:val="20"/>
        </w:rPr>
        <w:t>v</w:t>
      </w:r>
      <w:r w:rsidR="004025D9">
        <w:rPr>
          <w:rFonts w:asciiTheme="minorHAnsi" w:hAnsiTheme="minorHAnsi" w:cs="Arial"/>
          <w:sz w:val="20"/>
        </w:rPr>
        <w:t> počtu 12 kusů</w:t>
      </w:r>
      <w:r w:rsidR="002D5457">
        <w:rPr>
          <w:rFonts w:asciiTheme="minorHAnsi" w:hAnsiTheme="minorHAnsi" w:cs="Arial"/>
          <w:sz w:val="20"/>
        </w:rPr>
        <w:t>.</w:t>
      </w:r>
    </w:p>
    <w:p w14:paraId="0EB186BC" w14:textId="77777777" w:rsidR="00865DEC" w:rsidRDefault="00865DEC" w:rsidP="009433E4">
      <w:pPr>
        <w:spacing w:after="0"/>
        <w:rPr>
          <w:rFonts w:asciiTheme="minorHAnsi" w:hAnsiTheme="minorHAnsi" w:cs="Arial"/>
          <w:sz w:val="20"/>
        </w:rPr>
      </w:pPr>
    </w:p>
    <w:p w14:paraId="3F48F581" w14:textId="7C60FA6E" w:rsidR="007D69C6" w:rsidRDefault="002D5457" w:rsidP="0097164B">
      <w:pPr>
        <w:pStyle w:val="Prosttext"/>
        <w:numPr>
          <w:ilvl w:val="0"/>
          <w:numId w:val="6"/>
        </w:numPr>
        <w:ind w:left="284" w:hanging="284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</w:t>
      </w:r>
      <w:r w:rsidR="001A4C14">
        <w:rPr>
          <w:rFonts w:asciiTheme="minorHAnsi" w:hAnsiTheme="minorHAnsi" w:cs="Arial"/>
          <w:b/>
        </w:rPr>
        <w:t>lnění</w:t>
      </w:r>
    </w:p>
    <w:p w14:paraId="4ACFA7CC" w14:textId="0EABC1D3" w:rsidR="00E70876" w:rsidRDefault="00E70876" w:rsidP="0097164B">
      <w:pPr>
        <w:spacing w:after="0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Dodavatel se zavazuje poskytnout předmětné plnění do </w:t>
      </w:r>
      <w:r w:rsidR="00CA1135">
        <w:rPr>
          <w:rFonts w:asciiTheme="minorHAnsi" w:hAnsiTheme="minorHAnsi" w:cs="Arial"/>
          <w:sz w:val="20"/>
        </w:rPr>
        <w:t>30</w:t>
      </w:r>
      <w:r>
        <w:rPr>
          <w:rFonts w:asciiTheme="minorHAnsi" w:hAnsiTheme="minorHAnsi" w:cs="Arial"/>
          <w:sz w:val="20"/>
        </w:rPr>
        <w:t xml:space="preserve"> dnů od nabytí účinnosti Prováděcí smlouvy. </w:t>
      </w:r>
    </w:p>
    <w:p w14:paraId="542ADD6E" w14:textId="63024422" w:rsidR="00E70876" w:rsidRPr="00E70876" w:rsidRDefault="00E70876" w:rsidP="00E70876">
      <w:pPr>
        <w:spacing w:after="0"/>
        <w:jc w:val="both"/>
        <w:rPr>
          <w:rFonts w:asciiTheme="minorHAnsi" w:hAnsiTheme="minorHAnsi" w:cs="Arial"/>
          <w:sz w:val="20"/>
        </w:rPr>
      </w:pPr>
      <w:r w:rsidRPr="00E70876">
        <w:rPr>
          <w:rFonts w:asciiTheme="minorHAnsi" w:hAnsiTheme="minorHAnsi" w:cs="Arial"/>
          <w:sz w:val="20"/>
        </w:rPr>
        <w:t>Poskytnutí nových licencí se Dodavatel zavazuje p</w:t>
      </w:r>
      <w:r w:rsidR="00CA1135">
        <w:rPr>
          <w:rFonts w:asciiTheme="minorHAnsi" w:hAnsiTheme="minorHAnsi" w:cs="Arial"/>
          <w:sz w:val="20"/>
        </w:rPr>
        <w:t>rovést</w:t>
      </w:r>
      <w:r w:rsidRPr="00E70876">
        <w:rPr>
          <w:rFonts w:asciiTheme="minorHAnsi" w:hAnsiTheme="minorHAnsi" w:cs="Arial"/>
          <w:sz w:val="20"/>
        </w:rPr>
        <w:t xml:space="preserve"> Objednateli </w:t>
      </w:r>
      <w:r w:rsidR="00CA1135" w:rsidRPr="00DE02B3">
        <w:rPr>
          <w:rFonts w:asciiTheme="minorHAnsi" w:hAnsiTheme="minorHAnsi" w:cs="Arial"/>
          <w:sz w:val="20"/>
        </w:rPr>
        <w:t xml:space="preserve">formou aktivace </w:t>
      </w:r>
      <w:r w:rsidR="00CA1135">
        <w:rPr>
          <w:rFonts w:asciiTheme="minorHAnsi" w:hAnsiTheme="minorHAnsi" w:cs="Arial"/>
          <w:sz w:val="20"/>
        </w:rPr>
        <w:t>licencí na Cisco</w:t>
      </w:r>
      <w:r w:rsidR="00CA1135" w:rsidRPr="00DE02B3">
        <w:rPr>
          <w:rFonts w:asciiTheme="minorHAnsi" w:hAnsiTheme="minorHAnsi" w:cs="Arial"/>
          <w:sz w:val="20"/>
        </w:rPr>
        <w:t xml:space="preserve"> Smart</w:t>
      </w:r>
      <w:r w:rsidR="00CA1135">
        <w:rPr>
          <w:rFonts w:asciiTheme="minorHAnsi" w:hAnsiTheme="minorHAnsi" w:cs="Arial"/>
          <w:sz w:val="20"/>
        </w:rPr>
        <w:t xml:space="preserve"> licenčním portálu pod Smart účtem</w:t>
      </w:r>
      <w:r w:rsidR="00CA1135" w:rsidRPr="00DE02B3">
        <w:rPr>
          <w:rFonts w:asciiTheme="minorHAnsi" w:hAnsiTheme="minorHAnsi" w:cs="Arial"/>
          <w:sz w:val="20"/>
        </w:rPr>
        <w:t xml:space="preserve"> </w:t>
      </w:r>
      <w:r w:rsidR="00CA1135">
        <w:rPr>
          <w:rFonts w:asciiTheme="minorHAnsi" w:hAnsiTheme="minorHAnsi" w:cs="Arial"/>
          <w:sz w:val="20"/>
        </w:rPr>
        <w:t xml:space="preserve">Objednatele </w:t>
      </w:r>
      <w:r w:rsidR="00CA1135" w:rsidRPr="00DE02B3">
        <w:rPr>
          <w:rFonts w:asciiTheme="minorHAnsi" w:hAnsiTheme="minorHAnsi" w:cs="Arial"/>
          <w:sz w:val="20"/>
        </w:rPr>
        <w:t>vzp.cz.</w:t>
      </w:r>
      <w:r w:rsidR="00CA1135" w:rsidRPr="00E70876">
        <w:rPr>
          <w:rFonts w:asciiTheme="minorHAnsi" w:hAnsiTheme="minorHAnsi" w:cs="Arial"/>
          <w:sz w:val="20"/>
        </w:rPr>
        <w:t xml:space="preserve"> </w:t>
      </w:r>
    </w:p>
    <w:p w14:paraId="0B7DA5B2" w14:textId="131717C7" w:rsidR="00E70876" w:rsidRPr="00E70876" w:rsidRDefault="00CA1135" w:rsidP="00E70876">
      <w:pPr>
        <w:spacing w:after="0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Po takto provedené aktivaci zašle Dodavatel zprávu</w:t>
      </w:r>
      <w:r w:rsidR="00E70876" w:rsidRPr="00E70876">
        <w:rPr>
          <w:rFonts w:asciiTheme="minorHAnsi" w:hAnsiTheme="minorHAnsi" w:cs="Arial"/>
          <w:sz w:val="20"/>
        </w:rPr>
        <w:t xml:space="preserve"> prostřednictvím e-mailu zaslaného na e-mailovou adresu Oprávněné osoby Objednatele </w:t>
      </w:r>
      <w:r>
        <w:rPr>
          <w:rFonts w:asciiTheme="minorHAnsi" w:hAnsiTheme="minorHAnsi" w:cs="Arial"/>
          <w:sz w:val="20"/>
        </w:rPr>
        <w:t>(</w:t>
      </w:r>
      <w:r w:rsidR="00E70876" w:rsidRPr="0097164B">
        <w:rPr>
          <w:rFonts w:asciiTheme="minorHAnsi" w:hAnsiTheme="minorHAnsi" w:cs="Arial"/>
          <w:sz w:val="20"/>
        </w:rPr>
        <w:t xml:space="preserve">dále jen „notifikační e-mail“), kterou je pro případ této Prováděcí smlouvy </w:t>
      </w:r>
      <w:r w:rsidR="001760A6">
        <w:rPr>
          <w:rFonts w:asciiTheme="minorHAnsi" w:hAnsiTheme="minorHAnsi" w:cs="Arial"/>
          <w:sz w:val="20"/>
        </w:rPr>
        <w:t>xxxxxx</w:t>
      </w:r>
      <w:bookmarkStart w:id="0" w:name="_GoBack"/>
      <w:bookmarkEnd w:id="0"/>
      <w:r w:rsidR="00E70876" w:rsidRPr="0097164B">
        <w:rPr>
          <w:rFonts w:asciiTheme="minorHAnsi" w:hAnsiTheme="minorHAnsi" w:cs="Arial"/>
          <w:sz w:val="20"/>
        </w:rPr>
        <w:t xml:space="preserve"> </w:t>
      </w:r>
      <w:proofErr w:type="spellStart"/>
      <w:r w:rsidR="00E70876" w:rsidRPr="0097164B">
        <w:rPr>
          <w:rFonts w:asciiTheme="minorHAnsi" w:hAnsiTheme="minorHAnsi" w:cs="Arial"/>
          <w:sz w:val="20"/>
        </w:rPr>
        <w:t>e-mail:</w:t>
      </w:r>
      <w:r w:rsidR="001760A6">
        <w:t>xxxxxxx</w:t>
      </w:r>
      <w:proofErr w:type="spellEnd"/>
      <w:r w:rsidR="00E70876">
        <w:rPr>
          <w:rFonts w:asciiTheme="minorHAnsi" w:hAnsiTheme="minorHAnsi" w:cs="Arial"/>
          <w:sz w:val="20"/>
        </w:rPr>
        <w:t xml:space="preserve"> </w:t>
      </w:r>
      <w:r w:rsidR="00E70876" w:rsidRPr="009955C5">
        <w:rPr>
          <w:rFonts w:cs="Arial"/>
          <w:sz w:val="20"/>
        </w:rPr>
        <w:t>(dále jen „Oprávněná osoba Objednatele“)</w:t>
      </w:r>
      <w:r>
        <w:rPr>
          <w:rFonts w:asciiTheme="minorHAnsi" w:hAnsiTheme="minorHAnsi" w:cs="Arial"/>
          <w:sz w:val="20"/>
        </w:rPr>
        <w:t>.</w:t>
      </w:r>
      <w:r w:rsidR="00E70876" w:rsidRPr="00E70876">
        <w:rPr>
          <w:rFonts w:asciiTheme="minorHAnsi" w:hAnsiTheme="minorHAnsi" w:cs="Arial"/>
          <w:sz w:val="20"/>
        </w:rPr>
        <w:t xml:space="preserve"> </w:t>
      </w:r>
    </w:p>
    <w:p w14:paraId="36F4A2C6" w14:textId="1F033D7D" w:rsidR="00E70876" w:rsidRPr="00E70876" w:rsidRDefault="005B74B0" w:rsidP="00CA1135">
      <w:pPr>
        <w:spacing w:after="0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lastRenderedPageBreak/>
        <w:t>Přílohou notifikačního e-mailu</w:t>
      </w:r>
      <w:r w:rsidR="00CA1135">
        <w:rPr>
          <w:rFonts w:asciiTheme="minorHAnsi" w:hAnsiTheme="minorHAnsi" w:cs="Arial"/>
          <w:sz w:val="20"/>
        </w:rPr>
        <w:t xml:space="preserve"> bude </w:t>
      </w:r>
      <w:r>
        <w:rPr>
          <w:rFonts w:asciiTheme="minorHAnsi" w:hAnsiTheme="minorHAnsi" w:cs="Arial"/>
          <w:sz w:val="20"/>
        </w:rPr>
        <w:t>též</w:t>
      </w:r>
      <w:r w:rsidR="00CA1135">
        <w:rPr>
          <w:rFonts w:asciiTheme="minorHAnsi" w:hAnsiTheme="minorHAnsi" w:cs="Arial"/>
          <w:sz w:val="20"/>
        </w:rPr>
        <w:t xml:space="preserve"> protokol o p</w:t>
      </w:r>
      <w:r>
        <w:rPr>
          <w:rFonts w:asciiTheme="minorHAnsi" w:hAnsiTheme="minorHAnsi" w:cs="Arial"/>
          <w:sz w:val="20"/>
        </w:rPr>
        <w:t>oskytnutí</w:t>
      </w:r>
      <w:r w:rsidR="00CA1135">
        <w:rPr>
          <w:rFonts w:asciiTheme="minorHAnsi" w:hAnsiTheme="minorHAnsi" w:cs="Arial"/>
          <w:sz w:val="20"/>
        </w:rPr>
        <w:t xml:space="preserve"> předmětu </w:t>
      </w:r>
      <w:r>
        <w:rPr>
          <w:rFonts w:asciiTheme="minorHAnsi" w:hAnsiTheme="minorHAnsi" w:cs="Arial"/>
          <w:sz w:val="20"/>
        </w:rPr>
        <w:t xml:space="preserve">plnění dle této Prováděcí </w:t>
      </w:r>
      <w:r w:rsidR="00CA1135">
        <w:rPr>
          <w:rFonts w:asciiTheme="minorHAnsi" w:hAnsiTheme="minorHAnsi" w:cs="Arial"/>
          <w:sz w:val="20"/>
        </w:rPr>
        <w:t>smlouvy</w:t>
      </w:r>
      <w:r>
        <w:rPr>
          <w:rFonts w:asciiTheme="minorHAnsi" w:hAnsiTheme="minorHAnsi" w:cs="Arial"/>
          <w:sz w:val="20"/>
        </w:rPr>
        <w:t xml:space="preserve"> (dále jen „protokol“). P</w:t>
      </w:r>
      <w:r w:rsidR="00CA1135">
        <w:rPr>
          <w:rFonts w:asciiTheme="minorHAnsi" w:hAnsiTheme="minorHAnsi" w:cs="Arial"/>
          <w:sz w:val="20"/>
        </w:rPr>
        <w:t xml:space="preserve">o kontrole </w:t>
      </w:r>
      <w:r w:rsidR="00CA1135" w:rsidRPr="00DE02B3">
        <w:rPr>
          <w:rFonts w:asciiTheme="minorHAnsi" w:hAnsiTheme="minorHAnsi" w:cs="Arial"/>
          <w:sz w:val="20"/>
        </w:rPr>
        <w:t xml:space="preserve">aktivace </w:t>
      </w:r>
      <w:r w:rsidR="00CA1135">
        <w:rPr>
          <w:rFonts w:asciiTheme="minorHAnsi" w:hAnsiTheme="minorHAnsi" w:cs="Arial"/>
          <w:sz w:val="20"/>
        </w:rPr>
        <w:t>licencí na Cisco</w:t>
      </w:r>
      <w:r w:rsidR="00CA1135" w:rsidRPr="00DE02B3">
        <w:rPr>
          <w:rFonts w:asciiTheme="minorHAnsi" w:hAnsiTheme="minorHAnsi" w:cs="Arial"/>
          <w:sz w:val="20"/>
        </w:rPr>
        <w:t xml:space="preserve"> Smart </w:t>
      </w:r>
      <w:r w:rsidR="00CA1135">
        <w:rPr>
          <w:rFonts w:asciiTheme="minorHAnsi" w:hAnsiTheme="minorHAnsi" w:cs="Arial"/>
          <w:sz w:val="20"/>
        </w:rPr>
        <w:t xml:space="preserve">licenčním </w:t>
      </w:r>
      <w:r w:rsidR="00CA1135" w:rsidRPr="00DE02B3">
        <w:rPr>
          <w:rFonts w:asciiTheme="minorHAnsi" w:hAnsiTheme="minorHAnsi" w:cs="Arial"/>
          <w:sz w:val="20"/>
        </w:rPr>
        <w:t>portálu</w:t>
      </w:r>
      <w:r w:rsidR="00CA1135">
        <w:rPr>
          <w:rFonts w:asciiTheme="minorHAnsi" w:hAnsiTheme="minorHAnsi" w:cs="Arial"/>
          <w:sz w:val="20"/>
        </w:rPr>
        <w:t xml:space="preserve"> </w:t>
      </w:r>
      <w:r w:rsidR="00CA1135" w:rsidRPr="00E70876">
        <w:rPr>
          <w:rFonts w:asciiTheme="minorHAnsi" w:hAnsiTheme="minorHAnsi" w:cs="Arial"/>
          <w:sz w:val="20"/>
        </w:rPr>
        <w:t xml:space="preserve">Oprávněnou osobou Objednatele </w:t>
      </w:r>
      <w:r w:rsidR="00E70876" w:rsidRPr="00E70876">
        <w:rPr>
          <w:rFonts w:asciiTheme="minorHAnsi" w:hAnsiTheme="minorHAnsi" w:cs="Arial"/>
          <w:sz w:val="20"/>
        </w:rPr>
        <w:t>bude Dodavateli zaslán</w:t>
      </w:r>
      <w:r w:rsidR="00CA1135">
        <w:rPr>
          <w:rFonts w:asciiTheme="minorHAnsi" w:hAnsiTheme="minorHAnsi" w:cs="Arial"/>
          <w:sz w:val="20"/>
        </w:rPr>
        <w:t xml:space="preserve"> zpět</w:t>
      </w:r>
      <w:r w:rsidR="00E70876" w:rsidRPr="00E70876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t>tento</w:t>
      </w:r>
      <w:r w:rsidR="00E70876" w:rsidRPr="00E70876">
        <w:rPr>
          <w:rFonts w:asciiTheme="minorHAnsi" w:hAnsiTheme="minorHAnsi" w:cs="Arial"/>
          <w:sz w:val="20"/>
        </w:rPr>
        <w:t xml:space="preserve"> protokol, stvrzující řádné poskytnutí předmětu plnění, podepsaný Oprávněnou osobou Objednatele.  </w:t>
      </w:r>
    </w:p>
    <w:p w14:paraId="62155055" w14:textId="77777777" w:rsidR="00E70876" w:rsidRPr="00E70876" w:rsidRDefault="00E70876" w:rsidP="00E70876">
      <w:pPr>
        <w:spacing w:after="0"/>
        <w:jc w:val="both"/>
        <w:rPr>
          <w:rFonts w:asciiTheme="minorHAnsi" w:hAnsiTheme="minorHAnsi" w:cs="Arial"/>
          <w:sz w:val="20"/>
        </w:rPr>
      </w:pPr>
      <w:r w:rsidRPr="00E70876">
        <w:rPr>
          <w:rFonts w:asciiTheme="minorHAnsi" w:hAnsiTheme="minorHAnsi" w:cs="Arial"/>
          <w:sz w:val="20"/>
        </w:rPr>
        <w:t>Licence je touto Prováděcí smlouvou poskytována jako nevýhradní, nepřevoditelná, k užití v rámci VZP ČR podle jejích potřeb, a to po dobu trvání autorských majetkových práv k příslušnému SW.</w:t>
      </w:r>
    </w:p>
    <w:p w14:paraId="66B7B4E1" w14:textId="77777777" w:rsidR="00E70876" w:rsidRPr="00E70876" w:rsidRDefault="00E70876" w:rsidP="00E70876">
      <w:pPr>
        <w:spacing w:after="0"/>
        <w:jc w:val="both"/>
        <w:rPr>
          <w:rFonts w:asciiTheme="minorHAnsi" w:hAnsiTheme="minorHAnsi" w:cs="Arial"/>
          <w:sz w:val="20"/>
        </w:rPr>
      </w:pPr>
      <w:r w:rsidRPr="00E70876">
        <w:rPr>
          <w:rFonts w:asciiTheme="minorHAnsi" w:hAnsiTheme="minorHAnsi" w:cs="Arial"/>
          <w:sz w:val="20"/>
        </w:rPr>
        <w:t>Licence poskytnuté dle této Smlouvy nelze vypovědět, a tedy pro licenční ujednání podle této Prováděcí smlouvy se nepoužije ustanovení § 2370 občanského zákoníku.</w:t>
      </w:r>
    </w:p>
    <w:p w14:paraId="4B77F626" w14:textId="77777777" w:rsidR="00E70876" w:rsidRPr="0097164B" w:rsidRDefault="00E70876" w:rsidP="0097164B">
      <w:pPr>
        <w:spacing w:after="0"/>
        <w:jc w:val="both"/>
        <w:rPr>
          <w:rFonts w:asciiTheme="minorHAnsi" w:hAnsiTheme="minorHAnsi" w:cs="Arial"/>
          <w:sz w:val="20"/>
        </w:rPr>
      </w:pPr>
    </w:p>
    <w:p w14:paraId="70CB9E21" w14:textId="77777777" w:rsidR="00B137A6" w:rsidRDefault="00B137A6" w:rsidP="009433E4">
      <w:pPr>
        <w:spacing w:after="0"/>
        <w:rPr>
          <w:sz w:val="20"/>
          <w:szCs w:val="20"/>
        </w:rPr>
      </w:pPr>
    </w:p>
    <w:p w14:paraId="35512894" w14:textId="7BFB5B71" w:rsidR="00FC62DA" w:rsidRPr="0049059E" w:rsidRDefault="00FC62DA" w:rsidP="0097164B">
      <w:pPr>
        <w:pStyle w:val="Prosttext"/>
        <w:numPr>
          <w:ilvl w:val="0"/>
          <w:numId w:val="6"/>
        </w:numPr>
        <w:ind w:left="284" w:hanging="284"/>
        <w:rPr>
          <w:rFonts w:asciiTheme="minorHAnsi" w:hAnsiTheme="minorHAnsi" w:cs="Arial"/>
          <w:b/>
        </w:rPr>
      </w:pPr>
      <w:r w:rsidRPr="0049059E">
        <w:rPr>
          <w:rFonts w:asciiTheme="minorHAnsi" w:hAnsiTheme="minorHAnsi" w:cs="Arial"/>
          <w:b/>
        </w:rPr>
        <w:t>Fakturační a platební podmínky</w:t>
      </w:r>
    </w:p>
    <w:p w14:paraId="058E81F9" w14:textId="1065C861" w:rsidR="00FC62DA" w:rsidRPr="0064260E" w:rsidRDefault="00FC62DA" w:rsidP="0064260E">
      <w:pPr>
        <w:pStyle w:val="Odstavecseseznamem"/>
        <w:numPr>
          <w:ilvl w:val="0"/>
          <w:numId w:val="3"/>
        </w:numPr>
        <w:suppressAutoHyphens/>
        <w:spacing w:before="120" w:after="0"/>
        <w:jc w:val="both"/>
        <w:rPr>
          <w:rFonts w:asciiTheme="minorHAnsi" w:eastAsia="Times New Roman" w:hAnsiTheme="minorHAnsi" w:cs="Arial"/>
          <w:color w:val="00000A"/>
          <w:sz w:val="20"/>
          <w:szCs w:val="20"/>
        </w:rPr>
      </w:pPr>
      <w:r w:rsidRPr="0064260E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Smluvní strany se dohodly, že úhrada Celkové </w:t>
      </w:r>
      <w:r w:rsidR="00B57CCE" w:rsidRPr="0064260E">
        <w:rPr>
          <w:rFonts w:asciiTheme="minorHAnsi" w:eastAsia="Times New Roman" w:hAnsiTheme="minorHAnsi" w:cs="Arial"/>
          <w:color w:val="00000A"/>
          <w:sz w:val="20"/>
          <w:szCs w:val="20"/>
        </w:rPr>
        <w:t>ceny</w:t>
      </w:r>
      <w:r w:rsidRPr="0064260E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za plnění </w:t>
      </w:r>
      <w:r w:rsidR="007275BC" w:rsidRPr="00BC0D3D">
        <w:rPr>
          <w:rFonts w:asciiTheme="minorHAnsi" w:eastAsia="Times New Roman" w:hAnsiTheme="minorHAnsi" w:cs="Arial"/>
          <w:b/>
          <w:color w:val="00000A"/>
          <w:sz w:val="20"/>
          <w:szCs w:val="20"/>
        </w:rPr>
        <w:t xml:space="preserve">řádně </w:t>
      </w:r>
      <w:r w:rsidR="00BA3BD9" w:rsidRPr="0064260E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poskytnuté </w:t>
      </w:r>
      <w:r w:rsidRPr="0064260E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dle této Prováděcí smlouvy bude provedena najednou na základě jednoho daňového dokladu – faktury (dále jen „faktura“). </w:t>
      </w:r>
    </w:p>
    <w:p w14:paraId="471CD685" w14:textId="00BEA431" w:rsidR="00FC62DA" w:rsidRPr="00AA05A0" w:rsidRDefault="00FC62DA" w:rsidP="00FC62DA">
      <w:pPr>
        <w:numPr>
          <w:ilvl w:val="0"/>
          <w:numId w:val="3"/>
        </w:numPr>
        <w:suppressAutoHyphens/>
        <w:spacing w:before="120" w:after="120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Za den </w:t>
      </w:r>
      <w:r w:rsidR="0064260E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uskutečnění 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zdanitelného plnění se považuje </w:t>
      </w:r>
      <w:r w:rsidR="00B57CCE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den </w:t>
      </w:r>
      <w:r w:rsidR="001D747E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poskytnutí </w:t>
      </w:r>
      <w:r w:rsidR="002D5457">
        <w:rPr>
          <w:rFonts w:asciiTheme="minorHAnsi" w:eastAsia="Times New Roman" w:hAnsiTheme="minorHAnsi" w:cs="Arial"/>
          <w:color w:val="00000A"/>
          <w:sz w:val="20"/>
          <w:szCs w:val="20"/>
        </w:rPr>
        <w:t>licencí.</w:t>
      </w:r>
    </w:p>
    <w:p w14:paraId="385E7479" w14:textId="19655B22" w:rsidR="00FC62DA" w:rsidRPr="00FC62DA" w:rsidRDefault="00FC62DA" w:rsidP="00FC62DA">
      <w:pPr>
        <w:numPr>
          <w:ilvl w:val="0"/>
          <w:numId w:val="3"/>
        </w:numPr>
        <w:suppressAutoHyphens/>
        <w:spacing w:before="120" w:after="120"/>
        <w:jc w:val="both"/>
        <w:rPr>
          <w:rFonts w:asciiTheme="minorHAnsi" w:eastAsia="Times New Roman" w:hAnsiTheme="minorHAnsi" w:cs="Arial"/>
          <w:color w:val="00000A"/>
          <w:sz w:val="20"/>
          <w:szCs w:val="20"/>
        </w:rPr>
      </w:pP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Faktura bude vystavena </w:t>
      </w:r>
      <w:r w:rsidR="00BC7168">
        <w:rPr>
          <w:rFonts w:asciiTheme="minorHAnsi" w:eastAsia="Times New Roman" w:hAnsiTheme="minorHAnsi" w:cs="Arial"/>
          <w:color w:val="00000A"/>
          <w:sz w:val="20"/>
          <w:szCs w:val="20"/>
        </w:rPr>
        <w:t>nej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dříve v den </w:t>
      </w:r>
      <w:r w:rsidR="0064260E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uskutečnění 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zdanitelného plnění a nejpozději do 20 kalendářních dnů ode dne </w:t>
      </w:r>
      <w:r w:rsidR="0064260E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uskutečnění 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>zdanitelného plnění.</w:t>
      </w:r>
    </w:p>
    <w:p w14:paraId="1AA71CBA" w14:textId="778B0CD9" w:rsidR="00FC62DA" w:rsidRPr="00FC62DA" w:rsidRDefault="00FC62DA" w:rsidP="00FC62DA">
      <w:pPr>
        <w:numPr>
          <w:ilvl w:val="0"/>
          <w:numId w:val="3"/>
        </w:numPr>
        <w:suppressAutoHyphens/>
        <w:spacing w:before="120" w:after="120"/>
        <w:jc w:val="both"/>
        <w:rPr>
          <w:rFonts w:asciiTheme="minorHAnsi" w:eastAsia="Times New Roman" w:hAnsiTheme="minorHAnsi" w:cs="Arial"/>
          <w:color w:val="00000A"/>
          <w:sz w:val="20"/>
          <w:szCs w:val="20"/>
        </w:rPr>
      </w:pP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Faktura musí obsahovat </w:t>
      </w:r>
      <w:r w:rsidR="00B12904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všechny 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náležitosti </w:t>
      </w:r>
      <w:r w:rsidR="00B12904">
        <w:rPr>
          <w:rFonts w:asciiTheme="minorHAnsi" w:eastAsia="Times New Roman" w:hAnsiTheme="minorHAnsi" w:cs="Arial"/>
          <w:color w:val="00000A"/>
          <w:sz w:val="20"/>
          <w:szCs w:val="20"/>
        </w:rPr>
        <w:t>řádného účetního a daňového dokladu ve smyslu p</w:t>
      </w:r>
      <w:r w:rsidR="00786A0A">
        <w:rPr>
          <w:rFonts w:asciiTheme="minorHAnsi" w:eastAsia="Times New Roman" w:hAnsiTheme="minorHAnsi" w:cs="Arial"/>
          <w:color w:val="00000A"/>
          <w:sz w:val="20"/>
          <w:szCs w:val="20"/>
        </w:rPr>
        <w:t>říslušných zákonných ustanovení,</w:t>
      </w:r>
      <w:r w:rsidR="00B12904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zejména zákona č. 235/2004 Sb., o dani z přidané hodnoty ve znění pozdějších předpisů a 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>zákon</w:t>
      </w:r>
      <w:r w:rsidR="00B12904">
        <w:rPr>
          <w:rFonts w:asciiTheme="minorHAnsi" w:eastAsia="Times New Roman" w:hAnsiTheme="minorHAnsi" w:cs="Arial"/>
          <w:color w:val="00000A"/>
          <w:sz w:val="20"/>
          <w:szCs w:val="20"/>
        </w:rPr>
        <w:t>a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č. 563/1991 Sb., o účetnictví, ve znění pozdějších předpisů</w:t>
      </w:r>
      <w:r w:rsidR="00B12904">
        <w:rPr>
          <w:rFonts w:asciiTheme="minorHAnsi" w:eastAsia="Times New Roman" w:hAnsiTheme="minorHAnsi" w:cs="Arial"/>
          <w:color w:val="00000A"/>
          <w:sz w:val="20"/>
          <w:szCs w:val="20"/>
        </w:rPr>
        <w:t>,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a</w:t>
      </w:r>
      <w:r w:rsidR="00B12904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§435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občansk</w:t>
      </w:r>
      <w:r w:rsidR="00B12904">
        <w:rPr>
          <w:rFonts w:asciiTheme="minorHAnsi" w:eastAsia="Times New Roman" w:hAnsiTheme="minorHAnsi" w:cs="Arial"/>
          <w:color w:val="00000A"/>
          <w:sz w:val="20"/>
          <w:szCs w:val="20"/>
        </w:rPr>
        <w:t>ého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zákoník</w:t>
      </w:r>
      <w:r w:rsidR="00B12904">
        <w:rPr>
          <w:rFonts w:asciiTheme="minorHAnsi" w:eastAsia="Times New Roman" w:hAnsiTheme="minorHAnsi" w:cs="Arial"/>
          <w:color w:val="00000A"/>
          <w:sz w:val="20"/>
          <w:szCs w:val="20"/>
        </w:rPr>
        <w:t>u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. Na faktuře musí být uvedeno celé číslo této </w:t>
      </w:r>
      <w:r>
        <w:rPr>
          <w:rFonts w:asciiTheme="minorHAnsi" w:eastAsia="Times New Roman" w:hAnsiTheme="minorHAnsi" w:cs="Arial"/>
          <w:color w:val="00000A"/>
          <w:sz w:val="20"/>
          <w:szCs w:val="20"/>
        </w:rPr>
        <w:t>Prováděcí smlouvy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>.</w:t>
      </w:r>
    </w:p>
    <w:p w14:paraId="1805CC16" w14:textId="69E994C6" w:rsidR="00FC62DA" w:rsidRPr="00FC62DA" w:rsidRDefault="00FC62DA" w:rsidP="00FC62DA">
      <w:pPr>
        <w:numPr>
          <w:ilvl w:val="0"/>
          <w:numId w:val="3"/>
        </w:numPr>
        <w:suppressAutoHyphens/>
        <w:spacing w:before="120" w:after="120"/>
        <w:jc w:val="both"/>
        <w:rPr>
          <w:rFonts w:asciiTheme="minorHAnsi" w:eastAsia="Times New Roman" w:hAnsiTheme="minorHAnsi" w:cs="Arial"/>
          <w:color w:val="00000A"/>
          <w:sz w:val="20"/>
          <w:szCs w:val="20"/>
        </w:rPr>
      </w:pP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Nedílnou součástí faktury musí být </w:t>
      </w:r>
      <w:r w:rsidR="005B74B0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též kopie podepsaného protokolu Oprávněnou osobou Objednatele, </w:t>
      </w:r>
      <w:proofErr w:type="gramStart"/>
      <w:r w:rsidR="005B74B0">
        <w:rPr>
          <w:rFonts w:asciiTheme="minorHAnsi" w:eastAsia="Times New Roman" w:hAnsiTheme="minorHAnsi" w:cs="Arial"/>
          <w:color w:val="00000A"/>
          <w:sz w:val="20"/>
          <w:szCs w:val="20"/>
        </w:rPr>
        <w:t>stvrzující</w:t>
      </w:r>
      <w:r w:rsidR="00B57CCE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 </w:t>
      </w:r>
      <w:r w:rsidR="001D747E">
        <w:rPr>
          <w:rFonts w:asciiTheme="minorHAnsi" w:eastAsia="Times New Roman" w:hAnsiTheme="minorHAnsi" w:cs="Arial"/>
          <w:color w:val="00000A"/>
          <w:sz w:val="20"/>
          <w:szCs w:val="20"/>
        </w:rPr>
        <w:t>poskytnutí</w:t>
      </w:r>
      <w:proofErr w:type="gramEnd"/>
      <w:r w:rsidR="001D747E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</w:t>
      </w:r>
      <w:r w:rsidR="005B74B0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předmětných </w:t>
      </w:r>
      <w:r w:rsidR="002D5457">
        <w:rPr>
          <w:rFonts w:asciiTheme="minorHAnsi" w:eastAsia="Times New Roman" w:hAnsiTheme="minorHAnsi" w:cs="Arial"/>
          <w:color w:val="00000A"/>
          <w:sz w:val="20"/>
          <w:szCs w:val="20"/>
        </w:rPr>
        <w:t>licencí</w:t>
      </w:r>
      <w:r w:rsidR="00356147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</w:t>
      </w:r>
      <w:r w:rsidR="0049059E">
        <w:rPr>
          <w:rFonts w:asciiTheme="minorHAnsi" w:eastAsia="Times New Roman" w:hAnsiTheme="minorHAnsi" w:cs="Arial"/>
          <w:color w:val="00000A"/>
          <w:sz w:val="20"/>
          <w:szCs w:val="20"/>
        </w:rPr>
        <w:t>(</w:t>
      </w:r>
      <w:r w:rsidR="00D807F9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viz </w:t>
      </w:r>
      <w:r w:rsidR="0050548C">
        <w:rPr>
          <w:rFonts w:asciiTheme="minorHAnsi" w:eastAsia="Times New Roman" w:hAnsiTheme="minorHAnsi" w:cs="Arial"/>
          <w:color w:val="00000A"/>
          <w:sz w:val="20"/>
          <w:szCs w:val="20"/>
        </w:rPr>
        <w:t>odst.</w:t>
      </w:r>
      <w:r w:rsidR="00D807F9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</w:t>
      </w:r>
      <w:r w:rsidR="0050548C">
        <w:rPr>
          <w:rFonts w:asciiTheme="minorHAnsi" w:eastAsia="Times New Roman" w:hAnsiTheme="minorHAnsi" w:cs="Arial"/>
          <w:color w:val="00000A"/>
          <w:sz w:val="20"/>
          <w:szCs w:val="20"/>
        </w:rPr>
        <w:t>4</w:t>
      </w:r>
      <w:r w:rsidR="00D807F9">
        <w:rPr>
          <w:rFonts w:asciiTheme="minorHAnsi" w:eastAsia="Times New Roman" w:hAnsiTheme="minorHAnsi" w:cs="Arial"/>
          <w:color w:val="00000A"/>
          <w:sz w:val="20"/>
          <w:szCs w:val="20"/>
        </w:rPr>
        <w:t>)</w:t>
      </w:r>
      <w:r w:rsidR="00471D7C">
        <w:rPr>
          <w:rFonts w:asciiTheme="minorHAnsi" w:eastAsia="Times New Roman" w:hAnsiTheme="minorHAnsi" w:cs="Arial"/>
          <w:color w:val="00000A"/>
          <w:sz w:val="20"/>
          <w:szCs w:val="20"/>
        </w:rPr>
        <w:t>.</w:t>
      </w:r>
      <w:r w:rsidR="00D807F9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</w:t>
      </w:r>
    </w:p>
    <w:p w14:paraId="31732A88" w14:textId="0C1732F1" w:rsidR="00FC62DA" w:rsidRPr="00FC62DA" w:rsidRDefault="00FC62DA" w:rsidP="0097164B">
      <w:pPr>
        <w:spacing w:after="0"/>
        <w:ind w:left="360"/>
        <w:jc w:val="both"/>
        <w:rPr>
          <w:rFonts w:asciiTheme="minorHAnsi" w:eastAsia="Times New Roman" w:hAnsiTheme="minorHAnsi" w:cs="Arial"/>
          <w:color w:val="00000A"/>
          <w:sz w:val="20"/>
          <w:szCs w:val="20"/>
        </w:rPr>
      </w:pP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Faktura bude </w:t>
      </w:r>
      <w:r w:rsidR="006750E5">
        <w:rPr>
          <w:rFonts w:asciiTheme="minorHAnsi" w:eastAsia="Times New Roman" w:hAnsiTheme="minorHAnsi" w:cs="Arial"/>
          <w:color w:val="00000A"/>
          <w:sz w:val="20"/>
          <w:szCs w:val="20"/>
        </w:rPr>
        <w:t>Dodavatel</w:t>
      </w:r>
      <w:r w:rsidR="004D7346">
        <w:rPr>
          <w:rFonts w:asciiTheme="minorHAnsi" w:eastAsia="Times New Roman" w:hAnsiTheme="minorHAnsi" w:cs="Arial"/>
          <w:color w:val="00000A"/>
          <w:sz w:val="20"/>
          <w:szCs w:val="20"/>
        </w:rPr>
        <w:t>e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>m doručena VZP ČR jedním z následujících způsobů:</w:t>
      </w:r>
    </w:p>
    <w:p w14:paraId="2A336246" w14:textId="406D4E00" w:rsidR="00FC62DA" w:rsidRPr="00FC62DA" w:rsidRDefault="00FC62DA" w:rsidP="0097164B">
      <w:pPr>
        <w:numPr>
          <w:ilvl w:val="0"/>
          <w:numId w:val="4"/>
        </w:numPr>
        <w:suppressAutoHyphens/>
        <w:spacing w:after="0"/>
        <w:jc w:val="both"/>
        <w:rPr>
          <w:rFonts w:asciiTheme="minorHAnsi" w:eastAsia="Times New Roman" w:hAnsiTheme="minorHAnsi" w:cs="Arial"/>
          <w:color w:val="00000A"/>
          <w:sz w:val="20"/>
          <w:szCs w:val="20"/>
        </w:rPr>
      </w:pP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v listinné podobě na adresu sídla VZP ČR uvedenou v záhlaví </w:t>
      </w:r>
      <w:r>
        <w:rPr>
          <w:rFonts w:asciiTheme="minorHAnsi" w:eastAsia="Times New Roman" w:hAnsiTheme="minorHAnsi" w:cs="Arial"/>
          <w:color w:val="00000A"/>
          <w:sz w:val="20"/>
          <w:szCs w:val="20"/>
        </w:rPr>
        <w:t>Prováděcí smlouvy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nebo</w:t>
      </w:r>
    </w:p>
    <w:p w14:paraId="104DDA1E" w14:textId="40D066C4" w:rsidR="00FC62DA" w:rsidRPr="00FC62DA" w:rsidRDefault="00FC62DA" w:rsidP="0097164B">
      <w:pPr>
        <w:numPr>
          <w:ilvl w:val="0"/>
          <w:numId w:val="4"/>
        </w:numPr>
        <w:suppressAutoHyphens/>
        <w:spacing w:after="120"/>
        <w:ind w:left="1077" w:hanging="357"/>
        <w:jc w:val="both"/>
        <w:rPr>
          <w:rFonts w:asciiTheme="minorHAnsi" w:eastAsia="Times New Roman" w:hAnsiTheme="minorHAnsi" w:cs="Arial"/>
          <w:color w:val="00000A"/>
          <w:sz w:val="20"/>
          <w:szCs w:val="20"/>
        </w:rPr>
      </w:pP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>v elektronické podobě do datové schránky VZP ČR.</w:t>
      </w:r>
    </w:p>
    <w:p w14:paraId="15B57DB4" w14:textId="77777777" w:rsidR="00FC62DA" w:rsidRDefault="00FC62DA" w:rsidP="00FC62DA">
      <w:pPr>
        <w:numPr>
          <w:ilvl w:val="0"/>
          <w:numId w:val="3"/>
        </w:numPr>
        <w:suppressAutoHyphens/>
        <w:spacing w:before="120" w:after="120"/>
        <w:jc w:val="both"/>
        <w:rPr>
          <w:rFonts w:asciiTheme="minorHAnsi" w:eastAsia="Times New Roman" w:hAnsiTheme="minorHAnsi" w:cs="Arial"/>
          <w:color w:val="00000A"/>
          <w:sz w:val="20"/>
          <w:szCs w:val="20"/>
        </w:rPr>
      </w:pP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>Smluvní strany se dohodly na lhůtě splatnosti faktury 30 dnů od data jejího doručení do sídla VZP ČR nebo do datové schránky VZP ČR.</w:t>
      </w:r>
    </w:p>
    <w:p w14:paraId="17E439F7" w14:textId="3BED6169" w:rsidR="00B12904" w:rsidRPr="00FC62DA" w:rsidRDefault="00B12904" w:rsidP="00FC62DA">
      <w:pPr>
        <w:numPr>
          <w:ilvl w:val="0"/>
          <w:numId w:val="3"/>
        </w:numPr>
        <w:suppressAutoHyphens/>
        <w:spacing w:before="120" w:after="120"/>
        <w:jc w:val="both"/>
        <w:rPr>
          <w:rFonts w:asciiTheme="minorHAnsi" w:eastAsia="Times New Roman" w:hAnsiTheme="minorHAnsi" w:cs="Arial"/>
          <w:color w:val="00000A"/>
          <w:sz w:val="20"/>
          <w:szCs w:val="20"/>
        </w:rPr>
      </w:pPr>
      <w:r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VZP ČR bude hradit dohodnutou </w:t>
      </w:r>
      <w:r w:rsidR="007275BC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Celkovou </w:t>
      </w:r>
      <w:r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cenu </w:t>
      </w:r>
      <w:r w:rsidR="007275BC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za </w:t>
      </w:r>
      <w:r>
        <w:rPr>
          <w:rFonts w:asciiTheme="minorHAnsi" w:eastAsia="Times New Roman" w:hAnsiTheme="minorHAnsi" w:cs="Arial"/>
          <w:color w:val="00000A"/>
          <w:sz w:val="20"/>
          <w:szCs w:val="20"/>
        </w:rPr>
        <w:t>plnění pouze na základě řádně doručené faktury a na bankovní účet Dodavatele uvedený v záhlaví této Prováděcí smlouvy.</w:t>
      </w:r>
    </w:p>
    <w:p w14:paraId="6EA41CD5" w14:textId="47F95D13" w:rsidR="00FC62DA" w:rsidRPr="00FC62DA" w:rsidRDefault="006750E5" w:rsidP="00FC62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Dodavatel</w:t>
      </w:r>
      <w:r w:rsidR="00FC62DA" w:rsidRPr="00FC62DA">
        <w:rPr>
          <w:rFonts w:asciiTheme="minorHAnsi" w:hAnsiTheme="minorHAnsi" w:cs="Arial"/>
          <w:sz w:val="20"/>
          <w:szCs w:val="20"/>
        </w:rPr>
        <w:t xml:space="preserve"> prohlašuje, že účet uvedený v </w:t>
      </w:r>
      <w:r w:rsidR="00FC62DA">
        <w:rPr>
          <w:rFonts w:asciiTheme="minorHAnsi" w:hAnsiTheme="minorHAnsi" w:cs="Arial"/>
          <w:sz w:val="20"/>
          <w:szCs w:val="20"/>
        </w:rPr>
        <w:t>záhlaví Prováděcí s</w:t>
      </w:r>
      <w:r w:rsidR="00FC62DA" w:rsidRPr="00FC62DA">
        <w:rPr>
          <w:rFonts w:asciiTheme="minorHAnsi" w:hAnsiTheme="minorHAnsi" w:cs="Arial"/>
          <w:sz w:val="20"/>
          <w:szCs w:val="20"/>
        </w:rPr>
        <w:t xml:space="preserve">mlouvy je účtem zveřejněným správcem daně způsobem umožňujícím dálkový přístup ve smyslu § 96 odst. 2 zákona o DPH. V případě, že </w:t>
      </w:r>
      <w:r>
        <w:rPr>
          <w:rFonts w:asciiTheme="minorHAnsi" w:hAnsiTheme="minorHAnsi" w:cs="Arial"/>
          <w:sz w:val="20"/>
          <w:szCs w:val="20"/>
        </w:rPr>
        <w:t>Dodavatel</w:t>
      </w:r>
      <w:r w:rsidR="00FC62DA" w:rsidRPr="00FC62DA">
        <w:rPr>
          <w:rFonts w:asciiTheme="minorHAnsi" w:hAnsiTheme="minorHAnsi" w:cs="Arial"/>
          <w:sz w:val="20"/>
          <w:szCs w:val="20"/>
        </w:rPr>
        <w:t xml:space="preserve"> nebude mít v době uskutečnění zdanitelného plnění bankovní účet uvedený v záhlaví </w:t>
      </w:r>
      <w:r>
        <w:rPr>
          <w:rFonts w:asciiTheme="minorHAnsi" w:eastAsia="Times New Roman" w:hAnsiTheme="minorHAnsi" w:cs="Arial"/>
          <w:color w:val="00000A"/>
          <w:sz w:val="20"/>
          <w:szCs w:val="20"/>
        </w:rPr>
        <w:t>Prováděcí smlouvy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</w:t>
      </w:r>
      <w:r w:rsidR="00FC62DA" w:rsidRPr="00FC62DA">
        <w:rPr>
          <w:rFonts w:asciiTheme="minorHAnsi" w:hAnsiTheme="minorHAnsi" w:cs="Arial"/>
          <w:sz w:val="20"/>
          <w:szCs w:val="20"/>
        </w:rPr>
        <w:t xml:space="preserve">tímto způsobem zveřejněn, uhradí VZP ČR </w:t>
      </w:r>
      <w:r>
        <w:rPr>
          <w:rFonts w:asciiTheme="minorHAnsi" w:hAnsiTheme="minorHAnsi" w:cs="Arial"/>
          <w:sz w:val="20"/>
          <w:szCs w:val="20"/>
        </w:rPr>
        <w:t>Dodavateli</w:t>
      </w:r>
      <w:r w:rsidR="00FC62DA" w:rsidRPr="00FC62DA">
        <w:rPr>
          <w:rFonts w:asciiTheme="minorHAnsi" w:hAnsiTheme="minorHAnsi" w:cs="Arial"/>
          <w:sz w:val="20"/>
          <w:szCs w:val="20"/>
        </w:rPr>
        <w:t xml:space="preserve"> v dohodnutém termínu splatnosti příslušné faktury pouze částku představující dohodnutou Celkovou kupní cenu bez DPH. Částku rovnající se výši DPH z fakturované Celkové ceny </w:t>
      </w:r>
      <w:r w:rsidR="00752348">
        <w:rPr>
          <w:rFonts w:asciiTheme="minorHAnsi" w:hAnsiTheme="minorHAnsi" w:cs="Arial"/>
          <w:sz w:val="20"/>
          <w:szCs w:val="20"/>
        </w:rPr>
        <w:t xml:space="preserve">plnění </w:t>
      </w:r>
      <w:r w:rsidR="00FC62DA" w:rsidRPr="00FC62DA">
        <w:rPr>
          <w:rFonts w:asciiTheme="minorHAnsi" w:hAnsiTheme="minorHAnsi" w:cs="Arial"/>
          <w:sz w:val="20"/>
          <w:szCs w:val="20"/>
        </w:rPr>
        <w:t xml:space="preserve">uhradí VZP ČR, v souladu s § </w:t>
      </w:r>
      <w:proofErr w:type="gramStart"/>
      <w:r w:rsidR="00FC62DA" w:rsidRPr="00FC62DA">
        <w:rPr>
          <w:rFonts w:asciiTheme="minorHAnsi" w:hAnsiTheme="minorHAnsi" w:cs="Arial"/>
          <w:sz w:val="20"/>
          <w:szCs w:val="20"/>
        </w:rPr>
        <w:t>109a</w:t>
      </w:r>
      <w:proofErr w:type="gramEnd"/>
      <w:r w:rsidR="00FC62DA" w:rsidRPr="00FC62DA">
        <w:rPr>
          <w:rFonts w:asciiTheme="minorHAnsi" w:hAnsiTheme="minorHAnsi" w:cs="Arial"/>
          <w:sz w:val="20"/>
          <w:szCs w:val="20"/>
        </w:rPr>
        <w:t xml:space="preserve"> zákona o DPH, finančnímu úřadu místně příslušnému </w:t>
      </w:r>
      <w:r>
        <w:rPr>
          <w:rFonts w:asciiTheme="minorHAnsi" w:hAnsiTheme="minorHAnsi" w:cs="Arial"/>
          <w:sz w:val="20"/>
          <w:szCs w:val="20"/>
        </w:rPr>
        <w:t>Dodavateli</w:t>
      </w:r>
      <w:r w:rsidR="00FC62DA" w:rsidRPr="00FC62DA">
        <w:rPr>
          <w:rFonts w:asciiTheme="minorHAnsi" w:hAnsiTheme="minorHAnsi" w:cs="Arial"/>
          <w:sz w:val="20"/>
          <w:szCs w:val="20"/>
        </w:rPr>
        <w:t xml:space="preserve">. </w:t>
      </w:r>
      <w:r>
        <w:rPr>
          <w:rFonts w:asciiTheme="minorHAnsi" w:hAnsiTheme="minorHAnsi" w:cs="Arial"/>
          <w:sz w:val="20"/>
          <w:szCs w:val="20"/>
        </w:rPr>
        <w:t>Dodavatel</w:t>
      </w:r>
      <w:r w:rsidR="00FC62DA" w:rsidRPr="00FC62DA">
        <w:rPr>
          <w:rFonts w:asciiTheme="minorHAnsi" w:hAnsiTheme="minorHAnsi" w:cs="Arial"/>
          <w:sz w:val="20"/>
          <w:szCs w:val="20"/>
        </w:rPr>
        <w:t xml:space="preserve"> výslovně prohlašuje, že Celkovou cenu </w:t>
      </w:r>
      <w:r w:rsidR="00752348">
        <w:rPr>
          <w:rFonts w:asciiTheme="minorHAnsi" w:hAnsiTheme="minorHAnsi" w:cs="Arial"/>
          <w:sz w:val="20"/>
          <w:szCs w:val="20"/>
        </w:rPr>
        <w:t xml:space="preserve">plnění </w:t>
      </w:r>
      <w:r w:rsidR="00FC62DA" w:rsidRPr="00FC62DA">
        <w:rPr>
          <w:rFonts w:asciiTheme="minorHAnsi" w:hAnsiTheme="minorHAnsi" w:cs="Arial"/>
          <w:sz w:val="20"/>
          <w:szCs w:val="20"/>
        </w:rPr>
        <w:t xml:space="preserve">(včetně DPH) dle </w:t>
      </w:r>
      <w:r>
        <w:rPr>
          <w:rFonts w:asciiTheme="minorHAnsi" w:eastAsia="Times New Roman" w:hAnsiTheme="minorHAnsi" w:cs="Arial"/>
          <w:color w:val="00000A"/>
          <w:sz w:val="20"/>
          <w:szCs w:val="20"/>
        </w:rPr>
        <w:t>Prováděcí smlouvy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</w:t>
      </w:r>
      <w:r w:rsidR="00FC62DA" w:rsidRPr="00FC62DA">
        <w:rPr>
          <w:rFonts w:asciiTheme="minorHAnsi" w:hAnsiTheme="minorHAnsi" w:cs="Arial"/>
          <w:sz w:val="20"/>
          <w:szCs w:val="20"/>
        </w:rPr>
        <w:t>bude považovat tímto za zaplacenou.</w:t>
      </w:r>
    </w:p>
    <w:p w14:paraId="28F30B4B" w14:textId="08660A9C" w:rsidR="00FC62DA" w:rsidRPr="00FC62DA" w:rsidRDefault="00FC62DA" w:rsidP="00FC62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FC62DA">
        <w:rPr>
          <w:rFonts w:asciiTheme="minorHAnsi" w:hAnsiTheme="minorHAnsi" w:cs="Arial"/>
          <w:sz w:val="20"/>
          <w:szCs w:val="20"/>
        </w:rPr>
        <w:t xml:space="preserve">Pokud v době uskutečnění zdanitelného plnění bude </w:t>
      </w:r>
      <w:r w:rsidR="006750E5">
        <w:rPr>
          <w:rFonts w:asciiTheme="minorHAnsi" w:hAnsiTheme="minorHAnsi" w:cs="Arial"/>
          <w:sz w:val="20"/>
          <w:szCs w:val="20"/>
        </w:rPr>
        <w:t>Dodavatel</w:t>
      </w:r>
      <w:r w:rsidRPr="00FC62DA">
        <w:rPr>
          <w:rFonts w:asciiTheme="minorHAnsi" w:hAnsiTheme="minorHAnsi" w:cs="Arial"/>
          <w:sz w:val="20"/>
          <w:szCs w:val="20"/>
        </w:rPr>
        <w:t xml:space="preserve"> uveden v aplikaci „Registr plátců DPH“ jako Nespolehlivý plátce, dohodly se Smluvní strany, že VZP ČR bude postupovat při úhradě Celkové ceny </w:t>
      </w:r>
      <w:r w:rsidR="00752348">
        <w:rPr>
          <w:rFonts w:asciiTheme="minorHAnsi" w:hAnsiTheme="minorHAnsi" w:cs="Arial"/>
          <w:sz w:val="20"/>
          <w:szCs w:val="20"/>
        </w:rPr>
        <w:t xml:space="preserve">plnění </w:t>
      </w:r>
      <w:r w:rsidRPr="00FC62DA">
        <w:rPr>
          <w:rFonts w:asciiTheme="minorHAnsi" w:hAnsiTheme="minorHAnsi" w:cs="Arial"/>
          <w:sz w:val="20"/>
          <w:szCs w:val="20"/>
        </w:rPr>
        <w:t xml:space="preserve">dle </w:t>
      </w:r>
      <w:r w:rsidR="006750E5">
        <w:rPr>
          <w:rFonts w:asciiTheme="minorHAnsi" w:eastAsia="Times New Roman" w:hAnsiTheme="minorHAnsi" w:cs="Arial"/>
          <w:color w:val="00000A"/>
          <w:sz w:val="20"/>
          <w:szCs w:val="20"/>
        </w:rPr>
        <w:t>Prováděcí smlouvy</w:t>
      </w:r>
      <w:r w:rsidR="006750E5"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</w:t>
      </w:r>
      <w:r w:rsidRPr="00FC62DA">
        <w:rPr>
          <w:rFonts w:asciiTheme="minorHAnsi" w:hAnsiTheme="minorHAnsi" w:cs="Arial"/>
          <w:sz w:val="20"/>
          <w:szCs w:val="20"/>
        </w:rPr>
        <w:t xml:space="preserve">způsobem uvedeným </w:t>
      </w:r>
      <w:r w:rsidR="00752348">
        <w:rPr>
          <w:rFonts w:asciiTheme="minorHAnsi" w:hAnsiTheme="minorHAnsi" w:cs="Arial"/>
          <w:sz w:val="20"/>
          <w:szCs w:val="20"/>
        </w:rPr>
        <w:t xml:space="preserve">pod písm. h) </w:t>
      </w:r>
      <w:r w:rsidRPr="00FC62DA">
        <w:rPr>
          <w:rFonts w:asciiTheme="minorHAnsi" w:hAnsiTheme="minorHAnsi" w:cs="Arial"/>
          <w:sz w:val="20"/>
          <w:szCs w:val="20"/>
        </w:rPr>
        <w:t>tohoto</w:t>
      </w:r>
      <w:r w:rsidR="00786A0A">
        <w:rPr>
          <w:rFonts w:asciiTheme="minorHAnsi" w:hAnsiTheme="minorHAnsi" w:cs="Arial"/>
          <w:sz w:val="20"/>
          <w:szCs w:val="20"/>
        </w:rPr>
        <w:t xml:space="preserve"> </w:t>
      </w:r>
      <w:r w:rsidR="00752348">
        <w:rPr>
          <w:rFonts w:asciiTheme="minorHAnsi" w:hAnsiTheme="minorHAnsi" w:cs="Arial"/>
          <w:sz w:val="20"/>
          <w:szCs w:val="20"/>
        </w:rPr>
        <w:t>odstavce</w:t>
      </w:r>
      <w:r w:rsidRPr="00FC62DA">
        <w:rPr>
          <w:rFonts w:asciiTheme="minorHAnsi" w:hAnsiTheme="minorHAnsi" w:cs="Arial"/>
          <w:sz w:val="20"/>
          <w:szCs w:val="20"/>
        </w:rPr>
        <w:t xml:space="preserve">. </w:t>
      </w:r>
      <w:r w:rsidR="006750E5">
        <w:rPr>
          <w:rFonts w:asciiTheme="minorHAnsi" w:hAnsiTheme="minorHAnsi" w:cs="Arial"/>
          <w:sz w:val="20"/>
          <w:szCs w:val="20"/>
        </w:rPr>
        <w:t>Dodavatel</w:t>
      </w:r>
      <w:r w:rsidRPr="00FC62DA">
        <w:rPr>
          <w:rFonts w:asciiTheme="minorHAnsi" w:hAnsiTheme="minorHAnsi" w:cs="Arial"/>
          <w:sz w:val="20"/>
          <w:szCs w:val="20"/>
        </w:rPr>
        <w:t xml:space="preserve"> výslovně prohlašuje, že Celkovou cenu</w:t>
      </w:r>
      <w:r w:rsidR="00752348">
        <w:rPr>
          <w:rFonts w:asciiTheme="minorHAnsi" w:hAnsiTheme="minorHAnsi" w:cs="Arial"/>
          <w:sz w:val="20"/>
          <w:szCs w:val="20"/>
        </w:rPr>
        <w:t xml:space="preserve"> plnění</w:t>
      </w:r>
      <w:r w:rsidRPr="00FC62DA">
        <w:rPr>
          <w:rFonts w:asciiTheme="minorHAnsi" w:hAnsiTheme="minorHAnsi" w:cs="Arial"/>
          <w:sz w:val="20"/>
          <w:szCs w:val="20"/>
        </w:rPr>
        <w:t xml:space="preserve"> (včetně DPH) dle </w:t>
      </w:r>
      <w:r w:rsidR="006750E5">
        <w:rPr>
          <w:rFonts w:asciiTheme="minorHAnsi" w:eastAsia="Times New Roman" w:hAnsiTheme="minorHAnsi" w:cs="Arial"/>
          <w:color w:val="00000A"/>
          <w:sz w:val="20"/>
          <w:szCs w:val="20"/>
        </w:rPr>
        <w:t>Prováděcí smlouvy</w:t>
      </w:r>
      <w:r w:rsidR="006750E5"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</w:t>
      </w:r>
      <w:r w:rsidRPr="00FC62DA">
        <w:rPr>
          <w:rFonts w:asciiTheme="minorHAnsi" w:hAnsiTheme="minorHAnsi" w:cs="Arial"/>
          <w:sz w:val="20"/>
          <w:szCs w:val="20"/>
        </w:rPr>
        <w:t>bude považovat tímto za zaplacenou.</w:t>
      </w:r>
    </w:p>
    <w:p w14:paraId="0F051617" w14:textId="5B85D232" w:rsidR="00FC62DA" w:rsidRPr="00FC62DA" w:rsidRDefault="00FC62DA" w:rsidP="00FC62DA">
      <w:pPr>
        <w:numPr>
          <w:ilvl w:val="0"/>
          <w:numId w:val="3"/>
        </w:numPr>
        <w:suppressAutoHyphens/>
        <w:spacing w:before="120" w:after="120"/>
        <w:jc w:val="both"/>
        <w:rPr>
          <w:rFonts w:asciiTheme="minorHAnsi" w:eastAsia="Times New Roman" w:hAnsiTheme="minorHAnsi" w:cs="Arial"/>
          <w:color w:val="00000A"/>
          <w:sz w:val="20"/>
          <w:szCs w:val="20"/>
        </w:rPr>
      </w:pP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VZP ČR je oprávněna před uplynutím lhůty splatnosti vrátit bez zaplacení fakturu, která neobsahuje právními předpisy stanovené náležitosti, anebo má jiné vady v obsahu podle této </w:t>
      </w:r>
      <w:r w:rsidR="006750E5">
        <w:rPr>
          <w:rFonts w:asciiTheme="minorHAnsi" w:eastAsia="Times New Roman" w:hAnsiTheme="minorHAnsi" w:cs="Arial"/>
          <w:color w:val="00000A"/>
          <w:sz w:val="20"/>
          <w:szCs w:val="20"/>
        </w:rPr>
        <w:t>Prováděcí smlouvy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. Ve vrácené faktuře musí VZP ČR vyznačit důvod vrácení. </w:t>
      </w:r>
      <w:r w:rsidR="006750E5">
        <w:rPr>
          <w:rFonts w:asciiTheme="minorHAnsi" w:eastAsia="Times New Roman" w:hAnsiTheme="minorHAnsi" w:cs="Arial"/>
          <w:color w:val="00000A"/>
          <w:sz w:val="20"/>
          <w:szCs w:val="20"/>
        </w:rPr>
        <w:t>Dodavatel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je povinen podle povahy nesprávnosti fakturu opravit nebo nově vyhotovit. Oprávněným vrácením faktury přestává běžet původní lhůta splatnosti. Celá </w:t>
      </w:r>
      <w:proofErr w:type="gramStart"/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>30 denní</w:t>
      </w:r>
      <w:proofErr w:type="gramEnd"/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lhůta</w:t>
      </w:r>
      <w:r w:rsidR="00C97FEC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splatnosti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běží znovu ode dne doručení opravené nebo nově vyhotovené faktury.</w:t>
      </w:r>
    </w:p>
    <w:p w14:paraId="512D1BAA" w14:textId="33DF75E9" w:rsidR="00FC62DA" w:rsidRPr="00FC62DA" w:rsidRDefault="00FC62DA" w:rsidP="00FC62DA">
      <w:pPr>
        <w:numPr>
          <w:ilvl w:val="0"/>
          <w:numId w:val="3"/>
        </w:numPr>
        <w:suppressAutoHyphens/>
        <w:spacing w:before="120" w:after="120"/>
        <w:jc w:val="both"/>
        <w:rPr>
          <w:rFonts w:asciiTheme="minorHAnsi" w:eastAsia="Times New Roman" w:hAnsiTheme="minorHAnsi" w:cs="Arial"/>
          <w:color w:val="00000A"/>
          <w:sz w:val="20"/>
          <w:szCs w:val="20"/>
        </w:rPr>
      </w:pP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lastRenderedPageBreak/>
        <w:t xml:space="preserve">Celková </w:t>
      </w:r>
      <w:r w:rsidR="00471D7C">
        <w:rPr>
          <w:rFonts w:asciiTheme="minorHAnsi" w:eastAsia="Times New Roman" w:hAnsiTheme="minorHAnsi" w:cs="Arial"/>
          <w:color w:val="00000A"/>
          <w:sz w:val="20"/>
          <w:szCs w:val="20"/>
        </w:rPr>
        <w:t>cena</w:t>
      </w:r>
      <w:r w:rsidR="00033212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za plnění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</w:t>
      </w:r>
      <w:r w:rsidR="00B7428C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poskytnuté podle Prováděcí smlouvy 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se považuje za zaplacenou okamžikem odepsání </w:t>
      </w:r>
      <w:r w:rsidR="00B7428C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příslušné 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částky z účtu VZP ČR ve prospěch účtu </w:t>
      </w:r>
      <w:r w:rsidR="006750E5">
        <w:rPr>
          <w:rFonts w:asciiTheme="minorHAnsi" w:eastAsia="Times New Roman" w:hAnsiTheme="minorHAnsi" w:cs="Arial"/>
          <w:color w:val="00000A"/>
          <w:sz w:val="20"/>
          <w:szCs w:val="20"/>
        </w:rPr>
        <w:t>Dodavatele</w:t>
      </w:r>
      <w:r w:rsidRPr="00FC62DA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. </w:t>
      </w:r>
    </w:p>
    <w:p w14:paraId="74371703" w14:textId="61D7F485" w:rsidR="009E1771" w:rsidRDefault="009E1771" w:rsidP="001D747E">
      <w:pPr>
        <w:suppressAutoHyphens/>
        <w:spacing w:before="120" w:after="120"/>
        <w:ind w:left="360"/>
        <w:jc w:val="both"/>
        <w:rPr>
          <w:rFonts w:asciiTheme="minorHAnsi" w:eastAsia="Times New Roman" w:hAnsiTheme="minorHAnsi" w:cs="Arial"/>
          <w:color w:val="00000A"/>
          <w:sz w:val="20"/>
          <w:szCs w:val="20"/>
        </w:rPr>
      </w:pPr>
    </w:p>
    <w:p w14:paraId="40A0555B" w14:textId="77777777" w:rsidR="0049059E" w:rsidRPr="0049059E" w:rsidRDefault="0049059E" w:rsidP="0049059E">
      <w:pPr>
        <w:suppressAutoHyphens/>
        <w:spacing w:before="120" w:after="120"/>
        <w:jc w:val="both"/>
        <w:rPr>
          <w:rFonts w:asciiTheme="minorHAnsi" w:eastAsia="Times New Roman" w:hAnsiTheme="minorHAnsi" w:cs="Arial"/>
          <w:color w:val="00000A"/>
          <w:sz w:val="20"/>
          <w:szCs w:val="20"/>
        </w:rPr>
      </w:pPr>
    </w:p>
    <w:sectPr w:rsidR="0049059E" w:rsidRPr="0049059E" w:rsidSect="001375B8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6415"/>
    <w:multiLevelType w:val="multilevel"/>
    <w:tmpl w:val="BEA0915C"/>
    <w:lvl w:ilvl="0">
      <w:start w:val="1"/>
      <w:numFmt w:val="lowerLetter"/>
      <w:lvlText w:val="%1)"/>
      <w:lvlJc w:val="left"/>
      <w:pPr>
        <w:tabs>
          <w:tab w:val="num" w:pos="-284"/>
        </w:tabs>
        <w:ind w:left="360" w:hanging="360"/>
      </w:pPr>
      <w:rPr>
        <w:rFonts w:asciiTheme="minorHAnsi" w:eastAsia="Times New Roman" w:hAnsiTheme="minorHAnsi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</w:lvl>
  </w:abstractNum>
  <w:abstractNum w:abstractNumId="1" w15:restartNumberingAfterBreak="0">
    <w:nsid w:val="08E033B9"/>
    <w:multiLevelType w:val="hybridMultilevel"/>
    <w:tmpl w:val="1ED09B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44215"/>
    <w:multiLevelType w:val="hybridMultilevel"/>
    <w:tmpl w:val="BE8EFFAC"/>
    <w:lvl w:ilvl="0" w:tplc="19EE2A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F090A"/>
    <w:multiLevelType w:val="hybridMultilevel"/>
    <w:tmpl w:val="0C92B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571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BA35BF"/>
    <w:multiLevelType w:val="multilevel"/>
    <w:tmpl w:val="5B2C1D1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E2852"/>
    <w:multiLevelType w:val="hybridMultilevel"/>
    <w:tmpl w:val="61D23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4334A"/>
    <w:multiLevelType w:val="hybridMultilevel"/>
    <w:tmpl w:val="E27A021E"/>
    <w:lvl w:ilvl="0" w:tplc="D5189730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A4CCB"/>
    <w:multiLevelType w:val="multilevel"/>
    <w:tmpl w:val="FF2AA4CA"/>
    <w:lvl w:ilvl="0">
      <w:start w:val="1"/>
      <w:numFmt w:val="lowerLetter"/>
      <w:lvlText w:val="%1)"/>
      <w:lvlJc w:val="left"/>
      <w:pPr>
        <w:tabs>
          <w:tab w:val="num" w:pos="-284"/>
        </w:tabs>
        <w:ind w:left="360" w:hanging="360"/>
      </w:pPr>
      <w:rPr>
        <w:rFonts w:asciiTheme="minorHAnsi" w:eastAsia="Times New Roman" w:hAnsiTheme="minorHAnsi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</w:lvl>
  </w:abstractNum>
  <w:abstractNum w:abstractNumId="9" w15:restartNumberingAfterBreak="0">
    <w:nsid w:val="43D34936"/>
    <w:multiLevelType w:val="hybridMultilevel"/>
    <w:tmpl w:val="97ECDA9E"/>
    <w:lvl w:ilvl="0" w:tplc="1FB6CA4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62077532"/>
    <w:multiLevelType w:val="hybridMultilevel"/>
    <w:tmpl w:val="ABB03426"/>
    <w:lvl w:ilvl="0" w:tplc="D5047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6029F"/>
    <w:multiLevelType w:val="hybridMultilevel"/>
    <w:tmpl w:val="7D22FD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4086A"/>
    <w:multiLevelType w:val="hybridMultilevel"/>
    <w:tmpl w:val="BE8EFFAC"/>
    <w:lvl w:ilvl="0" w:tplc="19EE2A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"/>
  </w:num>
  <w:num w:numId="5">
    <w:abstractNumId w:val="5"/>
  </w:num>
  <w:num w:numId="6">
    <w:abstractNumId w:val="12"/>
  </w:num>
  <w:num w:numId="7">
    <w:abstractNumId w:val="6"/>
  </w:num>
  <w:num w:numId="8">
    <w:abstractNumId w:val="11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CE"/>
    <w:rsid w:val="00026888"/>
    <w:rsid w:val="00033212"/>
    <w:rsid w:val="00052C92"/>
    <w:rsid w:val="000560B8"/>
    <w:rsid w:val="00062902"/>
    <w:rsid w:val="00062B00"/>
    <w:rsid w:val="00063372"/>
    <w:rsid w:val="0007522A"/>
    <w:rsid w:val="00077B6B"/>
    <w:rsid w:val="0009016E"/>
    <w:rsid w:val="000906E3"/>
    <w:rsid w:val="000B4A50"/>
    <w:rsid w:val="000B6861"/>
    <w:rsid w:val="000D2478"/>
    <w:rsid w:val="000D5205"/>
    <w:rsid w:val="000E1D6B"/>
    <w:rsid w:val="000E5769"/>
    <w:rsid w:val="00107F81"/>
    <w:rsid w:val="001375B8"/>
    <w:rsid w:val="00141BB2"/>
    <w:rsid w:val="00153AAA"/>
    <w:rsid w:val="001760A6"/>
    <w:rsid w:val="001A4C14"/>
    <w:rsid w:val="001B15A0"/>
    <w:rsid w:val="001B1F42"/>
    <w:rsid w:val="001D747E"/>
    <w:rsid w:val="00237FD3"/>
    <w:rsid w:val="00243EDD"/>
    <w:rsid w:val="00261BB9"/>
    <w:rsid w:val="00265F51"/>
    <w:rsid w:val="00287E3A"/>
    <w:rsid w:val="002B6143"/>
    <w:rsid w:val="002D455C"/>
    <w:rsid w:val="002D5457"/>
    <w:rsid w:val="002F2E05"/>
    <w:rsid w:val="003004EA"/>
    <w:rsid w:val="003357C8"/>
    <w:rsid w:val="00336B1A"/>
    <w:rsid w:val="00350EE0"/>
    <w:rsid w:val="00356147"/>
    <w:rsid w:val="00366239"/>
    <w:rsid w:val="00384884"/>
    <w:rsid w:val="003A56A4"/>
    <w:rsid w:val="003C2A1E"/>
    <w:rsid w:val="003F2B55"/>
    <w:rsid w:val="004025D9"/>
    <w:rsid w:val="00415606"/>
    <w:rsid w:val="00471D7C"/>
    <w:rsid w:val="0049059E"/>
    <w:rsid w:val="004A2505"/>
    <w:rsid w:val="004D0556"/>
    <w:rsid w:val="004D7346"/>
    <w:rsid w:val="00504529"/>
    <w:rsid w:val="0050548C"/>
    <w:rsid w:val="00523A10"/>
    <w:rsid w:val="00523C10"/>
    <w:rsid w:val="00526BAC"/>
    <w:rsid w:val="00576E50"/>
    <w:rsid w:val="00577FC5"/>
    <w:rsid w:val="005B2293"/>
    <w:rsid w:val="005B74B0"/>
    <w:rsid w:val="005C509F"/>
    <w:rsid w:val="005F1056"/>
    <w:rsid w:val="0061369B"/>
    <w:rsid w:val="0061716F"/>
    <w:rsid w:val="00621B44"/>
    <w:rsid w:val="0064260E"/>
    <w:rsid w:val="00650CFF"/>
    <w:rsid w:val="00657C47"/>
    <w:rsid w:val="00667F43"/>
    <w:rsid w:val="006750E5"/>
    <w:rsid w:val="006766F5"/>
    <w:rsid w:val="006A0590"/>
    <w:rsid w:val="006A0778"/>
    <w:rsid w:val="006B15E9"/>
    <w:rsid w:val="006F162A"/>
    <w:rsid w:val="0070088E"/>
    <w:rsid w:val="00701C7D"/>
    <w:rsid w:val="007065E5"/>
    <w:rsid w:val="007230F4"/>
    <w:rsid w:val="007275BC"/>
    <w:rsid w:val="007303CC"/>
    <w:rsid w:val="00732EE6"/>
    <w:rsid w:val="00743E0E"/>
    <w:rsid w:val="00752348"/>
    <w:rsid w:val="0076736B"/>
    <w:rsid w:val="00785894"/>
    <w:rsid w:val="00786A0A"/>
    <w:rsid w:val="00790CCD"/>
    <w:rsid w:val="007A55D6"/>
    <w:rsid w:val="007B25D6"/>
    <w:rsid w:val="007D5DCE"/>
    <w:rsid w:val="007D69C6"/>
    <w:rsid w:val="007E7613"/>
    <w:rsid w:val="007F4C9A"/>
    <w:rsid w:val="00812208"/>
    <w:rsid w:val="00824A5C"/>
    <w:rsid w:val="00825C24"/>
    <w:rsid w:val="008431E9"/>
    <w:rsid w:val="00844DBA"/>
    <w:rsid w:val="0085377D"/>
    <w:rsid w:val="00865DEC"/>
    <w:rsid w:val="008741D9"/>
    <w:rsid w:val="008B4602"/>
    <w:rsid w:val="008D1C3D"/>
    <w:rsid w:val="008F2411"/>
    <w:rsid w:val="008F7986"/>
    <w:rsid w:val="0090178F"/>
    <w:rsid w:val="009110AF"/>
    <w:rsid w:val="00912766"/>
    <w:rsid w:val="00912C1C"/>
    <w:rsid w:val="009433E4"/>
    <w:rsid w:val="009449CE"/>
    <w:rsid w:val="00955C60"/>
    <w:rsid w:val="0097164B"/>
    <w:rsid w:val="009802EA"/>
    <w:rsid w:val="00993C5A"/>
    <w:rsid w:val="009955C5"/>
    <w:rsid w:val="00995C96"/>
    <w:rsid w:val="009C3023"/>
    <w:rsid w:val="009E1771"/>
    <w:rsid w:val="009E52E8"/>
    <w:rsid w:val="00A06D7A"/>
    <w:rsid w:val="00A0759A"/>
    <w:rsid w:val="00A10272"/>
    <w:rsid w:val="00A129EB"/>
    <w:rsid w:val="00A21DEC"/>
    <w:rsid w:val="00A636C8"/>
    <w:rsid w:val="00AA05A0"/>
    <w:rsid w:val="00AA5596"/>
    <w:rsid w:val="00AC02E4"/>
    <w:rsid w:val="00AD1E8D"/>
    <w:rsid w:val="00AD4553"/>
    <w:rsid w:val="00B12904"/>
    <w:rsid w:val="00B137A6"/>
    <w:rsid w:val="00B20991"/>
    <w:rsid w:val="00B33FDD"/>
    <w:rsid w:val="00B57CCE"/>
    <w:rsid w:val="00B66982"/>
    <w:rsid w:val="00B66F65"/>
    <w:rsid w:val="00B7428C"/>
    <w:rsid w:val="00B81F09"/>
    <w:rsid w:val="00BA3BD9"/>
    <w:rsid w:val="00BC0D3D"/>
    <w:rsid w:val="00BC7168"/>
    <w:rsid w:val="00C02E64"/>
    <w:rsid w:val="00C03BF7"/>
    <w:rsid w:val="00C3216B"/>
    <w:rsid w:val="00C3781F"/>
    <w:rsid w:val="00C41FAD"/>
    <w:rsid w:val="00C709B2"/>
    <w:rsid w:val="00C8577E"/>
    <w:rsid w:val="00C97FEC"/>
    <w:rsid w:val="00CA1135"/>
    <w:rsid w:val="00CE221C"/>
    <w:rsid w:val="00CE3AAB"/>
    <w:rsid w:val="00CE72ED"/>
    <w:rsid w:val="00CF7007"/>
    <w:rsid w:val="00D33F37"/>
    <w:rsid w:val="00D4016D"/>
    <w:rsid w:val="00D56295"/>
    <w:rsid w:val="00D61D1C"/>
    <w:rsid w:val="00D807F9"/>
    <w:rsid w:val="00D87837"/>
    <w:rsid w:val="00D967B9"/>
    <w:rsid w:val="00E10F46"/>
    <w:rsid w:val="00E46A98"/>
    <w:rsid w:val="00E70876"/>
    <w:rsid w:val="00E74122"/>
    <w:rsid w:val="00E973A1"/>
    <w:rsid w:val="00EB549F"/>
    <w:rsid w:val="00EC5A4F"/>
    <w:rsid w:val="00ED7D6C"/>
    <w:rsid w:val="00EE0F46"/>
    <w:rsid w:val="00F20FB6"/>
    <w:rsid w:val="00F60AE6"/>
    <w:rsid w:val="00F87AFD"/>
    <w:rsid w:val="00FA4A26"/>
    <w:rsid w:val="00FA64E0"/>
    <w:rsid w:val="00FC62DA"/>
    <w:rsid w:val="00FD0967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ACC4"/>
  <w15:docId w15:val="{08371DAD-6645-4E3C-860E-7F73F4C6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CF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B25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650C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650CFF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CZNzevlnku">
    <w:name w:val="CZ Název článku"/>
    <w:basedOn w:val="Normln"/>
    <w:rsid w:val="00650CFF"/>
    <w:pPr>
      <w:spacing w:after="240" w:line="288" w:lineRule="auto"/>
      <w:jc w:val="center"/>
    </w:pPr>
    <w:rPr>
      <w:rFonts w:ascii="Century Gothic" w:hAnsi="Century Gothic"/>
      <w:b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B81F0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81F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1F0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F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F09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F09"/>
    <w:rPr>
      <w:rFonts w:ascii="Tahoma" w:eastAsia="Calibri" w:hAnsi="Tahoma" w:cs="Tahoma"/>
      <w:sz w:val="16"/>
      <w:szCs w:val="16"/>
    </w:rPr>
  </w:style>
  <w:style w:type="character" w:customStyle="1" w:styleId="TextkomenteChar1">
    <w:name w:val="Text komentáře Char1"/>
    <w:basedOn w:val="Standardnpsmoodstavce"/>
    <w:semiHidden/>
    <w:rsid w:val="009E52E8"/>
    <w:rPr>
      <w:rFonts w:ascii="Century Gothic" w:eastAsia="Calibri" w:hAnsi="Century Gothic"/>
    </w:rPr>
  </w:style>
  <w:style w:type="paragraph" w:customStyle="1" w:styleId="ListParagraph1">
    <w:name w:val="List Paragraph1"/>
    <w:basedOn w:val="Normln"/>
    <w:rsid w:val="00FC62DA"/>
    <w:pPr>
      <w:suppressAutoHyphens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kern w:val="1"/>
      <w:sz w:val="16"/>
      <w:szCs w:val="16"/>
      <w:u w:color="00000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698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802EA"/>
    <w:pPr>
      <w:ind w:left="720"/>
      <w:contextualSpacing/>
    </w:pPr>
  </w:style>
  <w:style w:type="paragraph" w:styleId="Revize">
    <w:name w:val="Revision"/>
    <w:hidden/>
    <w:uiPriority w:val="99"/>
    <w:semiHidden/>
    <w:rsid w:val="0064260E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B137A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B25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912C1C"/>
    <w:rPr>
      <w:color w:val="800080" w:themeColor="followedHyperlink"/>
      <w:u w:val="single"/>
    </w:rPr>
  </w:style>
  <w:style w:type="paragraph" w:customStyle="1" w:styleId="CZodstavec">
    <w:name w:val="CZ odstavec"/>
    <w:rsid w:val="005F1056"/>
    <w:pPr>
      <w:numPr>
        <w:numId w:val="14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D701-C3FA-4ADE-932E-65E998E5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Vítek</dc:creator>
  <cp:lastModifiedBy>Helebrantová Renata Ing. (VZP ČR Ústředí)</cp:lastModifiedBy>
  <cp:revision>3</cp:revision>
  <dcterms:created xsi:type="dcterms:W3CDTF">2020-06-18T10:41:00Z</dcterms:created>
  <dcterms:modified xsi:type="dcterms:W3CDTF">2020-06-18T10:43:00Z</dcterms:modified>
</cp:coreProperties>
</file>