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B1" w:rsidRPr="00876FB1" w:rsidRDefault="000A73C0" w:rsidP="00876FB1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FB1">
        <w:rPr>
          <w:rFonts w:ascii="Times New Roman" w:hAnsi="Times New Roman" w:cs="Times New Roman"/>
          <w:b/>
          <w:sz w:val="32"/>
          <w:szCs w:val="32"/>
        </w:rPr>
        <w:t>Smlouva o poskytnutí obratového bonusu</w:t>
      </w:r>
    </w:p>
    <w:p w:rsidR="00831526" w:rsidRPr="00876FB1" w:rsidRDefault="00831526" w:rsidP="00876FB1">
      <w:pPr>
        <w:pStyle w:val="Bezmezer"/>
        <w:rPr>
          <w:rFonts w:ascii="Times New Roman" w:hAnsi="Times New Roman" w:cs="Times New Roman"/>
          <w:sz w:val="22"/>
        </w:rPr>
      </w:pPr>
    </w:p>
    <w:p w:rsidR="00831526" w:rsidRPr="00876FB1" w:rsidRDefault="002C13C2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Dodavatel</w:t>
      </w:r>
      <w:r w:rsidR="00876FB1">
        <w:rPr>
          <w:rFonts w:ascii="Times New Roman" w:hAnsi="Times New Roman" w:cs="Times New Roman"/>
          <w:sz w:val="22"/>
        </w:rPr>
        <w:t>:</w:t>
      </w:r>
    </w:p>
    <w:p w:rsidR="000A3EDE" w:rsidRPr="00876FB1" w:rsidRDefault="000A3EDE" w:rsidP="00876FB1">
      <w:pPr>
        <w:pStyle w:val="Bezmezer"/>
        <w:rPr>
          <w:rFonts w:ascii="Times New Roman" w:hAnsi="Times New Roman" w:cs="Times New Roman"/>
          <w:b/>
          <w:sz w:val="22"/>
        </w:rPr>
      </w:pPr>
      <w:r w:rsidRPr="00876FB1">
        <w:rPr>
          <w:rFonts w:ascii="Times New Roman" w:hAnsi="Times New Roman" w:cs="Times New Roman"/>
          <w:b/>
          <w:sz w:val="22"/>
        </w:rPr>
        <w:t>Promedica Praha Group, a.s.</w:t>
      </w:r>
    </w:p>
    <w:p w:rsidR="000A3EDE" w:rsidRPr="00876FB1" w:rsidRDefault="00876FB1" w:rsidP="00876FB1">
      <w:pPr>
        <w:pStyle w:val="Bezmez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Sídlo:</w:t>
      </w:r>
      <w:r>
        <w:rPr>
          <w:rFonts w:ascii="Times New Roman" w:hAnsi="Times New Roman" w:cs="Times New Roman"/>
          <w:sz w:val="22"/>
        </w:rPr>
        <w:tab/>
      </w:r>
      <w:r w:rsidR="000A3EDE" w:rsidRPr="00876FB1">
        <w:rPr>
          <w:rFonts w:ascii="Times New Roman" w:hAnsi="Times New Roman" w:cs="Times New Roman"/>
          <w:sz w:val="22"/>
        </w:rPr>
        <w:t>Juarézova 17, 160 00 Praha 6</w:t>
      </w:r>
    </w:p>
    <w:p w:rsidR="000A3EDE" w:rsidRPr="00876FB1" w:rsidRDefault="000A3EDE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IČ: </w:t>
      </w:r>
      <w:r w:rsidRPr="00876FB1">
        <w:rPr>
          <w:rFonts w:ascii="Times New Roman" w:hAnsi="Times New Roman" w:cs="Times New Roman"/>
          <w:sz w:val="22"/>
        </w:rPr>
        <w:tab/>
      </w:r>
      <w:r w:rsidRPr="00876FB1">
        <w:rPr>
          <w:rFonts w:ascii="Times New Roman" w:hAnsi="Times New Roman" w:cs="Times New Roman"/>
          <w:sz w:val="22"/>
        </w:rPr>
        <w:tab/>
        <w:t>25099019</w:t>
      </w:r>
    </w:p>
    <w:p w:rsidR="000A3EDE" w:rsidRPr="00876FB1" w:rsidRDefault="00876FB1" w:rsidP="00876FB1">
      <w:pPr>
        <w:pStyle w:val="Bezmez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DIČ: </w:t>
      </w:r>
      <w:r>
        <w:rPr>
          <w:rFonts w:ascii="Times New Roman" w:hAnsi="Times New Roman" w:cs="Times New Roman"/>
          <w:sz w:val="22"/>
        </w:rPr>
        <w:tab/>
      </w:r>
      <w:r w:rsidR="000A3EDE" w:rsidRPr="00876FB1">
        <w:rPr>
          <w:rFonts w:ascii="Times New Roman" w:hAnsi="Times New Roman" w:cs="Times New Roman"/>
          <w:sz w:val="22"/>
        </w:rPr>
        <w:t>CZ25099019</w:t>
      </w:r>
    </w:p>
    <w:p w:rsidR="000A3EDE" w:rsidRPr="00876FB1" w:rsidRDefault="000A3EDE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Bank. spojení: GE Money Bank, a.s. </w:t>
      </w:r>
    </w:p>
    <w:p w:rsidR="000A3EDE" w:rsidRPr="00876FB1" w:rsidRDefault="000A3EDE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číslo účtu:  </w:t>
      </w:r>
      <w:r w:rsidRPr="00876FB1">
        <w:rPr>
          <w:rFonts w:ascii="Times New Roman" w:hAnsi="Times New Roman" w:cs="Times New Roman"/>
          <w:sz w:val="22"/>
        </w:rPr>
        <w:tab/>
        <w:t>2241008504/0600</w:t>
      </w:r>
    </w:p>
    <w:p w:rsidR="000A3EDE" w:rsidRPr="00876FB1" w:rsidRDefault="000A3EDE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zastoupená: </w:t>
      </w:r>
      <w:r w:rsidRPr="00876FB1">
        <w:rPr>
          <w:rFonts w:ascii="Times New Roman" w:hAnsi="Times New Roman" w:cs="Times New Roman"/>
          <w:sz w:val="22"/>
        </w:rPr>
        <w:tab/>
        <w:t>Pavlem Hanušem, předseda představenstva</w:t>
      </w:r>
    </w:p>
    <w:p w:rsidR="000A3EDE" w:rsidRPr="00876FB1" w:rsidRDefault="000A3EDE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zapsaná v  obchodním rejstříku vedeném Městským soudem v Praze, oddíl B, vložka 4492</w:t>
      </w:r>
    </w:p>
    <w:p w:rsidR="00912B74" w:rsidRPr="00876FB1" w:rsidRDefault="00B96491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z</w:t>
      </w:r>
      <w:r w:rsidR="005E24D2" w:rsidRPr="00876FB1">
        <w:rPr>
          <w:rFonts w:ascii="Times New Roman" w:hAnsi="Times New Roman" w:cs="Times New Roman"/>
          <w:sz w:val="22"/>
        </w:rPr>
        <w:t xml:space="preserve">astoupená: </w:t>
      </w:r>
      <w:r w:rsidR="005E24D2" w:rsidRPr="00876FB1">
        <w:rPr>
          <w:rFonts w:ascii="Times New Roman" w:hAnsi="Times New Roman" w:cs="Times New Roman"/>
          <w:sz w:val="22"/>
        </w:rPr>
        <w:tab/>
      </w:r>
    </w:p>
    <w:p w:rsidR="007B577A" w:rsidRPr="00876FB1" w:rsidRDefault="00AB6C7D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(</w:t>
      </w:r>
      <w:r w:rsidR="000A73C0" w:rsidRPr="00876FB1">
        <w:rPr>
          <w:rFonts w:ascii="Times New Roman" w:hAnsi="Times New Roman" w:cs="Times New Roman"/>
          <w:sz w:val="22"/>
        </w:rPr>
        <w:t>dále jen „Společnost”</w:t>
      </w:r>
      <w:r w:rsidRPr="00876FB1">
        <w:rPr>
          <w:rFonts w:ascii="Times New Roman" w:hAnsi="Times New Roman" w:cs="Times New Roman"/>
          <w:sz w:val="22"/>
        </w:rPr>
        <w:t>)</w:t>
      </w:r>
    </w:p>
    <w:p w:rsidR="00694ECC" w:rsidRDefault="00694ECC" w:rsidP="00694ECC">
      <w:pPr>
        <w:pStyle w:val="Bezmezer"/>
        <w:rPr>
          <w:rStyle w:val="Hypertextovodkaz"/>
          <w:rFonts w:ascii="Times New Roman" w:hAnsi="Times New Roman" w:cs="Times New Roman"/>
          <w:color w:val="000000" w:themeColor="text1"/>
          <w:sz w:val="22"/>
          <w:u w:val="none"/>
        </w:rPr>
      </w:pPr>
      <w:r w:rsidRPr="00876FB1">
        <w:rPr>
          <w:rFonts w:ascii="Times New Roman" w:hAnsi="Times New Roman" w:cs="Times New Roman"/>
          <w:sz w:val="22"/>
        </w:rPr>
        <w:t>kontaktní osoba ve věcech smluvních:</w:t>
      </w:r>
      <w:r w:rsidRPr="00876FB1">
        <w:rPr>
          <w:rFonts w:ascii="Times New Roman" w:hAnsi="Times New Roman" w:cs="Times New Roman"/>
          <w:bCs/>
          <w:color w:val="004996"/>
          <w:sz w:val="22"/>
        </w:rPr>
        <w:t xml:space="preserve"> </w:t>
      </w:r>
    </w:p>
    <w:p w:rsidR="000347F1" w:rsidRPr="00876FB1" w:rsidRDefault="000347F1" w:rsidP="00876FB1">
      <w:pPr>
        <w:pStyle w:val="Bezmezer"/>
        <w:rPr>
          <w:rFonts w:ascii="Times New Roman" w:hAnsi="Times New Roman" w:cs="Times New Roman"/>
          <w:sz w:val="22"/>
        </w:rPr>
      </w:pPr>
    </w:p>
    <w:p w:rsidR="007B577A" w:rsidRPr="00876FB1" w:rsidRDefault="007B577A" w:rsidP="00876FB1">
      <w:pPr>
        <w:pStyle w:val="Bezmezer"/>
        <w:rPr>
          <w:rFonts w:ascii="Times New Roman" w:hAnsi="Times New Roman" w:cs="Times New Roman"/>
          <w:sz w:val="22"/>
        </w:rPr>
      </w:pPr>
    </w:p>
    <w:p w:rsidR="007B577A" w:rsidRDefault="007B577A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a </w:t>
      </w:r>
    </w:p>
    <w:p w:rsidR="00876FB1" w:rsidRDefault="00876FB1" w:rsidP="00876FB1">
      <w:pPr>
        <w:pStyle w:val="Bezmezer"/>
        <w:rPr>
          <w:rFonts w:ascii="Times New Roman" w:hAnsi="Times New Roman" w:cs="Times New Roman"/>
          <w:sz w:val="22"/>
        </w:rPr>
      </w:pPr>
    </w:p>
    <w:p w:rsidR="00876FB1" w:rsidRPr="00876FB1" w:rsidRDefault="00876FB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3C2" w:rsidRPr="00876FB1">
        <w:rPr>
          <w:rFonts w:ascii="Times New Roman" w:hAnsi="Times New Roman" w:cs="Times New Roman"/>
          <w:sz w:val="22"/>
        </w:rPr>
        <w:t>Odběratel</w:t>
      </w:r>
    </w:p>
    <w:p w:rsidR="007F04CC" w:rsidRPr="00876FB1" w:rsidRDefault="007F04CC" w:rsidP="00876FB1">
      <w:pPr>
        <w:pStyle w:val="Bezmezer"/>
        <w:rPr>
          <w:rFonts w:ascii="Times New Roman" w:hAnsi="Times New Roman" w:cs="Times New Roman"/>
          <w:b/>
          <w:sz w:val="22"/>
        </w:rPr>
      </w:pPr>
      <w:r w:rsidRPr="00876FB1">
        <w:rPr>
          <w:rFonts w:ascii="Times New Roman" w:hAnsi="Times New Roman" w:cs="Times New Roman"/>
          <w:b/>
          <w:sz w:val="22"/>
        </w:rPr>
        <w:t>Fakultní nemocnice Olomouc</w:t>
      </w:r>
    </w:p>
    <w:p w:rsidR="00DB6265" w:rsidRPr="00876FB1" w:rsidRDefault="00DB6265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státní příspěvková organizace zřízená Ministerstvem zdravotnictví ČR rozhodnutím ministra zdravotnictví ze dne 25. 11. 1990, č. j. OP-054-25.11.90</w:t>
      </w:r>
    </w:p>
    <w:p w:rsidR="007F04CC" w:rsidRPr="00876FB1" w:rsidRDefault="00BA00C7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Sídlo: </w:t>
      </w:r>
      <w:r w:rsidRPr="00876FB1">
        <w:rPr>
          <w:rFonts w:ascii="Times New Roman" w:hAnsi="Times New Roman" w:cs="Times New Roman"/>
          <w:sz w:val="22"/>
        </w:rPr>
        <w:tab/>
      </w:r>
      <w:r w:rsidR="007F04CC" w:rsidRPr="00876FB1">
        <w:rPr>
          <w:rFonts w:ascii="Times New Roman" w:hAnsi="Times New Roman" w:cs="Times New Roman"/>
          <w:sz w:val="22"/>
        </w:rPr>
        <w:t>I. P. Pavlova 185/6, 779 00 Olomouc</w:t>
      </w:r>
    </w:p>
    <w:p w:rsidR="007F04CC" w:rsidRPr="00876FB1" w:rsidRDefault="007F04CC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IČ: </w:t>
      </w:r>
      <w:r w:rsidRPr="00876FB1">
        <w:rPr>
          <w:rFonts w:ascii="Times New Roman" w:hAnsi="Times New Roman" w:cs="Times New Roman"/>
          <w:sz w:val="22"/>
        </w:rPr>
        <w:tab/>
      </w:r>
      <w:r w:rsidRPr="00876FB1">
        <w:rPr>
          <w:rFonts w:ascii="Times New Roman" w:hAnsi="Times New Roman" w:cs="Times New Roman"/>
          <w:sz w:val="22"/>
        </w:rPr>
        <w:tab/>
        <w:t>00098892</w:t>
      </w:r>
    </w:p>
    <w:p w:rsidR="007F04CC" w:rsidRPr="00876FB1" w:rsidRDefault="007F04CC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DIČ:</w:t>
      </w:r>
      <w:r w:rsidRPr="00876FB1">
        <w:rPr>
          <w:rFonts w:ascii="Times New Roman" w:hAnsi="Times New Roman" w:cs="Times New Roman"/>
          <w:sz w:val="22"/>
        </w:rPr>
        <w:tab/>
      </w:r>
      <w:r w:rsidRPr="00876FB1">
        <w:rPr>
          <w:rFonts w:ascii="Times New Roman" w:hAnsi="Times New Roman" w:cs="Times New Roman"/>
          <w:sz w:val="22"/>
        </w:rPr>
        <w:tab/>
        <w:t>CZ00098892</w:t>
      </w:r>
    </w:p>
    <w:p w:rsidR="00AB2294" w:rsidRPr="00876FB1" w:rsidRDefault="00AB2294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číslo účtu: </w:t>
      </w:r>
      <w:r w:rsidRPr="00876FB1">
        <w:rPr>
          <w:rFonts w:ascii="Times New Roman" w:hAnsi="Times New Roman" w:cs="Times New Roman"/>
          <w:sz w:val="22"/>
        </w:rPr>
        <w:tab/>
        <w:t>36334811/0710</w:t>
      </w:r>
    </w:p>
    <w:p w:rsidR="007F04CC" w:rsidRPr="00876FB1" w:rsidRDefault="00184EE5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zastoupená</w:t>
      </w:r>
      <w:r w:rsidR="007F04CC" w:rsidRPr="00876FB1">
        <w:rPr>
          <w:rFonts w:ascii="Times New Roman" w:hAnsi="Times New Roman" w:cs="Times New Roman"/>
          <w:sz w:val="22"/>
        </w:rPr>
        <w:t xml:space="preserve">: </w:t>
      </w:r>
      <w:r w:rsidR="007F04CC" w:rsidRPr="00876FB1">
        <w:rPr>
          <w:rFonts w:ascii="Times New Roman" w:hAnsi="Times New Roman" w:cs="Times New Roman"/>
          <w:sz w:val="22"/>
        </w:rPr>
        <w:tab/>
      </w:r>
      <w:r w:rsidR="00CF0F64" w:rsidRPr="00876FB1">
        <w:rPr>
          <w:rFonts w:ascii="Times New Roman" w:hAnsi="Times New Roman" w:cs="Times New Roman"/>
          <w:sz w:val="22"/>
        </w:rPr>
        <w:t>prof</w:t>
      </w:r>
      <w:r w:rsidR="007F04CC" w:rsidRPr="00876FB1">
        <w:rPr>
          <w:rFonts w:ascii="Times New Roman" w:hAnsi="Times New Roman" w:cs="Times New Roman"/>
          <w:sz w:val="22"/>
        </w:rPr>
        <w:t>. MUDr. Romanem Havlíkem, Ph.D., ředitelem</w:t>
      </w:r>
    </w:p>
    <w:p w:rsidR="007F04CC" w:rsidRPr="00876FB1" w:rsidRDefault="007F04CC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(dále jen „</w:t>
      </w:r>
      <w:r w:rsidR="00080563" w:rsidRPr="00876FB1">
        <w:rPr>
          <w:rFonts w:ascii="Times New Roman" w:hAnsi="Times New Roman" w:cs="Times New Roman"/>
          <w:sz w:val="22"/>
        </w:rPr>
        <w:t>Odběratel</w:t>
      </w:r>
      <w:r w:rsidRPr="00876FB1">
        <w:rPr>
          <w:rFonts w:ascii="Times New Roman" w:hAnsi="Times New Roman" w:cs="Times New Roman"/>
          <w:sz w:val="22"/>
        </w:rPr>
        <w:t>“)</w:t>
      </w:r>
    </w:p>
    <w:p w:rsidR="00694ECC" w:rsidRPr="00876FB1" w:rsidRDefault="00694ECC" w:rsidP="00694ECC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kontaktní osoba ve věcech smluvních:</w:t>
      </w:r>
      <w:r>
        <w:rPr>
          <w:rFonts w:ascii="Times New Roman" w:hAnsi="Times New Roman" w:cs="Times New Roman"/>
          <w:sz w:val="22"/>
        </w:rPr>
        <w:t xml:space="preserve"> </w:t>
      </w:r>
    </w:p>
    <w:p w:rsidR="00694ECC" w:rsidRPr="00876FB1" w:rsidRDefault="00694ECC" w:rsidP="00876FB1">
      <w:pPr>
        <w:pStyle w:val="Bezmezer"/>
        <w:rPr>
          <w:rFonts w:ascii="Times New Roman" w:hAnsi="Times New Roman" w:cs="Times New Roman"/>
          <w:color w:val="000000" w:themeColor="text1"/>
          <w:sz w:val="22"/>
        </w:rPr>
      </w:pPr>
    </w:p>
    <w:p w:rsidR="000347F1" w:rsidRPr="00876FB1" w:rsidRDefault="000347F1" w:rsidP="00876FB1">
      <w:pPr>
        <w:pStyle w:val="Bezmezer"/>
        <w:rPr>
          <w:rFonts w:ascii="Times New Roman" w:hAnsi="Times New Roman" w:cs="Times New Roman"/>
          <w:sz w:val="22"/>
        </w:rPr>
      </w:pPr>
    </w:p>
    <w:p w:rsidR="000B34E1" w:rsidRPr="00876FB1" w:rsidRDefault="000B34E1" w:rsidP="00876FB1">
      <w:pPr>
        <w:pStyle w:val="Bezmezer"/>
        <w:rPr>
          <w:rFonts w:ascii="Times New Roman" w:hAnsi="Times New Roman" w:cs="Times New Roman"/>
          <w:sz w:val="22"/>
        </w:rPr>
      </w:pPr>
    </w:p>
    <w:p w:rsidR="00C02E83" w:rsidRPr="00876FB1" w:rsidRDefault="00C02E83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0B34E1" w:rsidP="00F5176F">
      <w:pPr>
        <w:pStyle w:val="Bezmezer"/>
        <w:jc w:val="center"/>
        <w:rPr>
          <w:rFonts w:ascii="Times New Roman" w:hAnsi="Times New Roman" w:cs="Times New Roman"/>
          <w:bCs/>
          <w:sz w:val="22"/>
        </w:rPr>
      </w:pPr>
      <w:r w:rsidRPr="00876FB1">
        <w:rPr>
          <w:rFonts w:ascii="Times New Roman" w:hAnsi="Times New Roman" w:cs="Times New Roman"/>
          <w:bCs/>
          <w:sz w:val="22"/>
        </w:rPr>
        <w:t xml:space="preserve">(Společnost a Odběratel dále společně také jako „Smluvní strany“ </w:t>
      </w:r>
    </w:p>
    <w:p w:rsidR="000B34E1" w:rsidRPr="00876FB1" w:rsidRDefault="000B34E1" w:rsidP="00F5176F">
      <w:pPr>
        <w:pStyle w:val="Bezmezer"/>
        <w:jc w:val="center"/>
        <w:rPr>
          <w:rFonts w:ascii="Times New Roman" w:hAnsi="Times New Roman" w:cs="Times New Roman"/>
          <w:bCs/>
          <w:sz w:val="22"/>
        </w:rPr>
      </w:pPr>
      <w:r w:rsidRPr="00876FB1">
        <w:rPr>
          <w:rFonts w:ascii="Times New Roman" w:hAnsi="Times New Roman" w:cs="Times New Roman"/>
          <w:bCs/>
          <w:sz w:val="22"/>
        </w:rPr>
        <w:t>nebo každý jednotlivě jako „Smluvní strana“)</w:t>
      </w:r>
    </w:p>
    <w:p w:rsidR="000B34E1" w:rsidRPr="00876FB1" w:rsidRDefault="000B34E1" w:rsidP="00F5176F">
      <w:pPr>
        <w:pStyle w:val="Bezmezer"/>
        <w:ind w:left="230" w:firstLine="0"/>
        <w:jc w:val="cent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uzavírají dnešního dne, měsíce a roku podle ustanovení § 1746 odst. 2 zákona č. 89/2012 Sb., občanský zákoník, ve</w:t>
      </w:r>
      <w:r w:rsidR="0056569D" w:rsidRPr="00876FB1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>znění pozdějších předpisů (dále jen „Občanský zákoník“) tuto</w:t>
      </w:r>
    </w:p>
    <w:p w:rsidR="000B34E1" w:rsidRPr="00876FB1" w:rsidRDefault="000B34E1" w:rsidP="00F5176F">
      <w:pPr>
        <w:pStyle w:val="Bezmezer"/>
        <w:jc w:val="center"/>
        <w:rPr>
          <w:rFonts w:ascii="Times New Roman" w:hAnsi="Times New Roman" w:cs="Times New Roman"/>
          <w:sz w:val="22"/>
        </w:rPr>
      </w:pPr>
    </w:p>
    <w:p w:rsidR="007B491D" w:rsidRPr="00876FB1" w:rsidRDefault="007B491D" w:rsidP="00876FB1">
      <w:pPr>
        <w:pStyle w:val="Bezmezer"/>
        <w:rPr>
          <w:rFonts w:ascii="Times New Roman" w:hAnsi="Times New Roman" w:cs="Times New Roman"/>
          <w:sz w:val="22"/>
        </w:rPr>
      </w:pPr>
    </w:p>
    <w:p w:rsidR="00C2384E" w:rsidRPr="00876FB1" w:rsidRDefault="008D5DBE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                                                      </w:t>
      </w:r>
    </w:p>
    <w:p w:rsidR="00F409B1" w:rsidRPr="00F5176F" w:rsidRDefault="000A73C0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Smlouvu o poskytnutí obratového bonusu</w:t>
      </w:r>
    </w:p>
    <w:p w:rsidR="00095B67" w:rsidRPr="00876FB1" w:rsidRDefault="00095B67" w:rsidP="00876FB1">
      <w:pPr>
        <w:pStyle w:val="Bezmezer"/>
        <w:rPr>
          <w:rFonts w:ascii="Times New Roman" w:hAnsi="Times New Roman" w:cs="Times New Roman"/>
          <w:sz w:val="22"/>
        </w:rPr>
      </w:pPr>
    </w:p>
    <w:p w:rsidR="000B34E1" w:rsidRPr="00876FB1" w:rsidRDefault="000B34E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F32EB" w:rsidRPr="00F5176F" w:rsidRDefault="00BA3045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Preambule</w:t>
      </w:r>
    </w:p>
    <w:p w:rsidR="00153771" w:rsidRPr="00876FB1" w:rsidRDefault="00153771" w:rsidP="00876FB1">
      <w:pPr>
        <w:pStyle w:val="Bezmezer"/>
        <w:rPr>
          <w:rFonts w:ascii="Times New Roman" w:hAnsi="Times New Roman" w:cs="Times New Roman"/>
          <w:sz w:val="22"/>
        </w:rPr>
      </w:pPr>
    </w:p>
    <w:p w:rsidR="009638A4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FB1">
        <w:rPr>
          <w:rFonts w:ascii="Times New Roman" w:hAnsi="Times New Roman" w:cs="Times New Roman"/>
          <w:sz w:val="22"/>
        </w:rPr>
        <w:t>Odběratel odebírá z distribuční sítě v České republice zahrnující také Společnost (dále jen „</w:t>
      </w:r>
      <w:r w:rsidR="000010B8" w:rsidRPr="00876FB1">
        <w:rPr>
          <w:rFonts w:ascii="Times New Roman" w:hAnsi="Times New Roman" w:cs="Times New Roman"/>
          <w:sz w:val="22"/>
        </w:rPr>
        <w:t>Dodavatel</w:t>
      </w:r>
      <w:r w:rsidRPr="00876FB1">
        <w:rPr>
          <w:rFonts w:ascii="Times New Roman" w:hAnsi="Times New Roman" w:cs="Times New Roman"/>
          <w:sz w:val="22"/>
        </w:rPr>
        <w:t xml:space="preserve">) </w:t>
      </w:r>
      <w:r w:rsidR="00340158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 </w:t>
      </w:r>
      <w:r w:rsidR="00F077B1" w:rsidRPr="00876FB1">
        <w:rPr>
          <w:rFonts w:ascii="Times New Roman" w:hAnsi="Times New Roman" w:cs="Times New Roman"/>
          <w:sz w:val="22"/>
        </w:rPr>
        <w:t>(dále jen „</w:t>
      </w:r>
      <w:r w:rsidR="00650A9B" w:rsidRPr="00876FB1">
        <w:rPr>
          <w:rFonts w:ascii="Times New Roman" w:hAnsi="Times New Roman" w:cs="Times New Roman"/>
          <w:sz w:val="22"/>
        </w:rPr>
        <w:t>Zboží</w:t>
      </w:r>
      <w:r w:rsidR="00F077B1" w:rsidRPr="00876FB1">
        <w:rPr>
          <w:rFonts w:ascii="Times New Roman" w:hAnsi="Times New Roman" w:cs="Times New Roman"/>
          <w:sz w:val="22"/>
        </w:rPr>
        <w:t xml:space="preserve">”) </w:t>
      </w:r>
      <w:r w:rsidRPr="00876FB1">
        <w:rPr>
          <w:rFonts w:ascii="Times New Roman" w:hAnsi="Times New Roman" w:cs="Times New Roman"/>
          <w:sz w:val="22"/>
        </w:rPr>
        <w:t>uvedené v</w:t>
      </w:r>
      <w:r w:rsidR="00F90761" w:rsidRPr="00876FB1">
        <w:rPr>
          <w:rFonts w:ascii="Times New Roman" w:hAnsi="Times New Roman" w:cs="Times New Roman"/>
          <w:sz w:val="22"/>
        </w:rPr>
        <w:t> </w:t>
      </w:r>
      <w:r w:rsidRPr="00876FB1">
        <w:rPr>
          <w:rFonts w:ascii="Times New Roman" w:hAnsi="Times New Roman" w:cs="Times New Roman"/>
          <w:sz w:val="22"/>
        </w:rPr>
        <w:t>Přílo</w:t>
      </w:r>
      <w:r w:rsidR="006478AB" w:rsidRPr="00876FB1">
        <w:rPr>
          <w:rFonts w:ascii="Times New Roman" w:hAnsi="Times New Roman" w:cs="Times New Roman"/>
          <w:sz w:val="22"/>
        </w:rPr>
        <w:t>ze</w:t>
      </w:r>
      <w:r w:rsidR="00F90761" w:rsidRPr="00876FB1">
        <w:rPr>
          <w:rFonts w:ascii="Times New Roman" w:hAnsi="Times New Roman" w:cs="Times New Roman"/>
          <w:sz w:val="22"/>
        </w:rPr>
        <w:t xml:space="preserve"> č.</w:t>
      </w:r>
      <w:r w:rsidRPr="00876FB1">
        <w:rPr>
          <w:rFonts w:ascii="Times New Roman" w:hAnsi="Times New Roman" w:cs="Times New Roman"/>
          <w:sz w:val="22"/>
        </w:rPr>
        <w:t xml:space="preserve"> 2 této smlouvy, a to v množství potřebném pro výkon jeho činnosti. Kupní smlouvy na dodávky </w:t>
      </w:r>
      <w:r w:rsidR="00C74F94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 nejsou předmětem </w:t>
      </w:r>
      <w:r w:rsidR="00EA3D14" w:rsidRPr="00876FB1">
        <w:rPr>
          <w:rFonts w:ascii="Times New Roman" w:hAnsi="Times New Roman" w:cs="Times New Roman"/>
          <w:sz w:val="22"/>
        </w:rPr>
        <w:t>uj</w:t>
      </w:r>
      <w:r w:rsidRPr="00876FB1">
        <w:rPr>
          <w:rFonts w:ascii="Times New Roman" w:hAnsi="Times New Roman" w:cs="Times New Roman"/>
          <w:sz w:val="22"/>
        </w:rPr>
        <w:t>ednání</w:t>
      </w:r>
      <w:r w:rsidR="001A280F" w:rsidRPr="00876FB1">
        <w:rPr>
          <w:rFonts w:ascii="Times New Roman" w:hAnsi="Times New Roman" w:cs="Times New Roman"/>
          <w:sz w:val="22"/>
        </w:rPr>
        <w:t xml:space="preserve"> této smlouvy</w:t>
      </w:r>
      <w:r w:rsidR="004817E1" w:rsidRPr="00876FB1">
        <w:rPr>
          <w:rFonts w:ascii="Times New Roman" w:hAnsi="Times New Roman" w:cs="Times New Roman"/>
          <w:sz w:val="22"/>
        </w:rPr>
        <w:t xml:space="preserve"> </w:t>
      </w:r>
      <w:r w:rsidR="006540A2" w:rsidRPr="00876FB1">
        <w:rPr>
          <w:rFonts w:ascii="Times New Roman" w:hAnsi="Times New Roman" w:cs="Times New Roman"/>
          <w:sz w:val="22"/>
        </w:rPr>
        <w:t xml:space="preserve">nijak </w:t>
      </w:r>
      <w:r w:rsidR="00A67214" w:rsidRPr="00876FB1">
        <w:rPr>
          <w:rFonts w:ascii="Times New Roman" w:hAnsi="Times New Roman" w:cs="Times New Roman"/>
          <w:sz w:val="22"/>
        </w:rPr>
        <w:t>dotčeny</w:t>
      </w:r>
      <w:r w:rsidR="00D71E0A" w:rsidRPr="00876FB1">
        <w:rPr>
          <w:rFonts w:ascii="Times New Roman" w:hAnsi="Times New Roman" w:cs="Times New Roman"/>
          <w:sz w:val="22"/>
        </w:rPr>
        <w:t>.</w:t>
      </w:r>
    </w:p>
    <w:p w:rsidR="00D71E0A" w:rsidRPr="00876FB1" w:rsidRDefault="00D71E0A" w:rsidP="00876FB1">
      <w:pPr>
        <w:pStyle w:val="Bezmezer"/>
        <w:rPr>
          <w:rFonts w:ascii="Times New Roman" w:hAnsi="Times New Roman" w:cs="Times New Roman"/>
          <w:sz w:val="22"/>
        </w:rPr>
      </w:pPr>
    </w:p>
    <w:p w:rsidR="00153771" w:rsidRPr="00876FB1" w:rsidRDefault="0015377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F5176F" w:rsidRDefault="00FF32EB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I</w:t>
      </w:r>
      <w:r w:rsidR="000A73C0" w:rsidRPr="00F5176F">
        <w:rPr>
          <w:rFonts w:ascii="Times New Roman" w:hAnsi="Times New Roman" w:cs="Times New Roman"/>
          <w:b/>
          <w:sz w:val="22"/>
        </w:rPr>
        <w:t>.</w:t>
      </w:r>
    </w:p>
    <w:p w:rsidR="00F409B1" w:rsidRPr="00F5176F" w:rsidRDefault="000A73C0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Předmět smlouvy</w:t>
      </w:r>
    </w:p>
    <w:p w:rsidR="00153771" w:rsidRPr="00876FB1" w:rsidRDefault="00153771" w:rsidP="00876FB1">
      <w:pPr>
        <w:pStyle w:val="Bezmezer"/>
        <w:rPr>
          <w:rFonts w:ascii="Times New Roman" w:hAnsi="Times New Roman" w:cs="Times New Roman"/>
          <w:sz w:val="22"/>
        </w:rPr>
      </w:pPr>
    </w:p>
    <w:p w:rsidR="00D04117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Společnost poskytne Odběrateli </w:t>
      </w:r>
      <w:r w:rsidR="00E37156" w:rsidRPr="00876FB1">
        <w:rPr>
          <w:rFonts w:ascii="Times New Roman" w:hAnsi="Times New Roman" w:cs="Times New Roman"/>
          <w:sz w:val="22"/>
        </w:rPr>
        <w:t xml:space="preserve">neadresný </w:t>
      </w:r>
      <w:r w:rsidRPr="00876FB1">
        <w:rPr>
          <w:rFonts w:ascii="Times New Roman" w:hAnsi="Times New Roman" w:cs="Times New Roman"/>
          <w:sz w:val="22"/>
        </w:rPr>
        <w:t xml:space="preserve">obratový bonus (dále jen „Bonus”) za odběr </w:t>
      </w:r>
      <w:r w:rsidR="00301AE1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 za podmínek uvedených v</w:t>
      </w:r>
      <w:r w:rsidR="00356A19" w:rsidRPr="00876FB1">
        <w:rPr>
          <w:rFonts w:ascii="Times New Roman" w:hAnsi="Times New Roman" w:cs="Times New Roman"/>
          <w:sz w:val="22"/>
        </w:rPr>
        <w:t> </w:t>
      </w:r>
      <w:r w:rsidRPr="00876FB1">
        <w:rPr>
          <w:rFonts w:ascii="Times New Roman" w:hAnsi="Times New Roman" w:cs="Times New Roman"/>
          <w:sz w:val="22"/>
        </w:rPr>
        <w:t>Přílo</w:t>
      </w:r>
      <w:r w:rsidR="006D432B" w:rsidRPr="00876FB1">
        <w:rPr>
          <w:rFonts w:ascii="Times New Roman" w:hAnsi="Times New Roman" w:cs="Times New Roman"/>
          <w:sz w:val="22"/>
        </w:rPr>
        <w:t>ze</w:t>
      </w:r>
      <w:r w:rsidR="00356A19" w:rsidRPr="00876FB1">
        <w:rPr>
          <w:rFonts w:ascii="Times New Roman" w:hAnsi="Times New Roman" w:cs="Times New Roman"/>
          <w:sz w:val="22"/>
        </w:rPr>
        <w:t xml:space="preserve"> č.</w:t>
      </w:r>
      <w:r w:rsidR="006D432B" w:rsidRPr="00876FB1">
        <w:rPr>
          <w:rFonts w:ascii="Times New Roman" w:hAnsi="Times New Roman" w:cs="Times New Roman"/>
          <w:sz w:val="22"/>
        </w:rPr>
        <w:t xml:space="preserve"> 1</w:t>
      </w:r>
      <w:r w:rsidRPr="00876FB1">
        <w:rPr>
          <w:rFonts w:ascii="Times New Roman" w:hAnsi="Times New Roman" w:cs="Times New Roman"/>
          <w:sz w:val="22"/>
        </w:rPr>
        <w:t xml:space="preserve"> této smlouvy </w:t>
      </w:r>
      <w:r w:rsidR="006D432B" w:rsidRPr="00876FB1">
        <w:rPr>
          <w:rFonts w:ascii="Times New Roman" w:hAnsi="Times New Roman" w:cs="Times New Roman"/>
          <w:sz w:val="22"/>
        </w:rPr>
        <w:t>a v ní</w:t>
      </w:r>
      <w:r w:rsidRPr="00876FB1">
        <w:rPr>
          <w:rFonts w:ascii="Times New Roman" w:hAnsi="Times New Roman" w:cs="Times New Roman"/>
          <w:sz w:val="22"/>
        </w:rPr>
        <w:t xml:space="preserve"> uvedené výši</w:t>
      </w:r>
      <w:r w:rsidR="00822AFE" w:rsidRPr="00876FB1">
        <w:rPr>
          <w:rFonts w:ascii="Times New Roman" w:hAnsi="Times New Roman" w:cs="Times New Roman"/>
          <w:sz w:val="22"/>
        </w:rPr>
        <w:t>.</w:t>
      </w:r>
      <w:r w:rsidR="006D432B" w:rsidRPr="00876FB1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 xml:space="preserve">Bonus bude v takovém případě vypočten podle Přílohy </w:t>
      </w:r>
      <w:r w:rsidR="001C3ED0" w:rsidRPr="00876FB1">
        <w:rPr>
          <w:rFonts w:ascii="Times New Roman" w:hAnsi="Times New Roman" w:cs="Times New Roman"/>
          <w:sz w:val="22"/>
        </w:rPr>
        <w:t xml:space="preserve">č. </w:t>
      </w:r>
      <w:r w:rsidR="008E2DD5" w:rsidRPr="00876FB1">
        <w:rPr>
          <w:rFonts w:ascii="Times New Roman" w:hAnsi="Times New Roman" w:cs="Times New Roman"/>
          <w:sz w:val="22"/>
        </w:rPr>
        <w:t xml:space="preserve">1 </w:t>
      </w:r>
      <w:r w:rsidRPr="00876FB1">
        <w:rPr>
          <w:rFonts w:ascii="Times New Roman" w:hAnsi="Times New Roman" w:cs="Times New Roman"/>
          <w:sz w:val="22"/>
        </w:rPr>
        <w:t xml:space="preserve">této smlouvy samostatně pro v Příloze </w:t>
      </w:r>
      <w:r w:rsidR="00E945A1" w:rsidRPr="00876FB1">
        <w:rPr>
          <w:rFonts w:ascii="Times New Roman" w:hAnsi="Times New Roman" w:cs="Times New Roman"/>
          <w:sz w:val="22"/>
        </w:rPr>
        <w:t xml:space="preserve">č. </w:t>
      </w:r>
      <w:r w:rsidR="008E2DD5" w:rsidRPr="00876FB1">
        <w:rPr>
          <w:rFonts w:ascii="Times New Roman" w:hAnsi="Times New Roman" w:cs="Times New Roman"/>
          <w:sz w:val="22"/>
        </w:rPr>
        <w:t xml:space="preserve">2 </w:t>
      </w:r>
      <w:r w:rsidRPr="00876FB1">
        <w:rPr>
          <w:rFonts w:ascii="Times New Roman" w:hAnsi="Times New Roman" w:cs="Times New Roman"/>
          <w:sz w:val="22"/>
        </w:rPr>
        <w:t xml:space="preserve">uvedené </w:t>
      </w:r>
      <w:r w:rsidR="00301AE1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 a pro referenční období v Příloze </w:t>
      </w:r>
      <w:r w:rsidR="00584A0C" w:rsidRPr="00876FB1">
        <w:rPr>
          <w:rFonts w:ascii="Times New Roman" w:hAnsi="Times New Roman" w:cs="Times New Roman"/>
          <w:sz w:val="22"/>
        </w:rPr>
        <w:t xml:space="preserve">č. </w:t>
      </w:r>
      <w:r w:rsidR="00C33927" w:rsidRPr="00876FB1">
        <w:rPr>
          <w:rFonts w:ascii="Times New Roman" w:hAnsi="Times New Roman" w:cs="Times New Roman"/>
          <w:sz w:val="22"/>
        </w:rPr>
        <w:t xml:space="preserve">1 </w:t>
      </w:r>
      <w:r w:rsidRPr="00876FB1">
        <w:rPr>
          <w:rFonts w:ascii="Times New Roman" w:hAnsi="Times New Roman" w:cs="Times New Roman"/>
          <w:sz w:val="22"/>
        </w:rPr>
        <w:t xml:space="preserve">specifikované za předpokladu, že odběr </w:t>
      </w:r>
      <w:r w:rsidR="00301AE1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 v takovém období dosáhne minimálně obratu uvedeného v příslušné Příloze</w:t>
      </w:r>
      <w:r w:rsidR="0076219F" w:rsidRPr="00876FB1">
        <w:rPr>
          <w:rFonts w:ascii="Times New Roman" w:hAnsi="Times New Roman" w:cs="Times New Roman"/>
          <w:sz w:val="22"/>
        </w:rPr>
        <w:t xml:space="preserve"> č. 1</w:t>
      </w:r>
      <w:r w:rsidR="0032047B" w:rsidRPr="00876FB1">
        <w:rPr>
          <w:rFonts w:ascii="Times New Roman" w:hAnsi="Times New Roman" w:cs="Times New Roman"/>
          <w:sz w:val="22"/>
        </w:rPr>
        <w:t xml:space="preserve"> pro jednotlivá pásma</w:t>
      </w:r>
      <w:r w:rsidRPr="00876FB1">
        <w:rPr>
          <w:rFonts w:ascii="Times New Roman" w:hAnsi="Times New Roman" w:cs="Times New Roman"/>
          <w:sz w:val="22"/>
        </w:rPr>
        <w:t>.</w:t>
      </w:r>
      <w:r w:rsidR="00D04117" w:rsidRPr="00876FB1">
        <w:rPr>
          <w:rFonts w:ascii="Times New Roman" w:hAnsi="Times New Roman" w:cs="Times New Roman"/>
          <w:sz w:val="22"/>
        </w:rPr>
        <w:t xml:space="preserve"> Bonus bude poskytnut maximálně v úrovni nejvyššího dosaženého pásma obratu v referenčním období.</w:t>
      </w:r>
    </w:p>
    <w:p w:rsidR="00F409B1" w:rsidRPr="00876FB1" w:rsidRDefault="00F409B1" w:rsidP="00876FB1">
      <w:pPr>
        <w:pStyle w:val="Bezmezer"/>
        <w:rPr>
          <w:rFonts w:ascii="Times New Roman" w:hAnsi="Times New Roman" w:cs="Times New Roman"/>
          <w:sz w:val="22"/>
        </w:rPr>
      </w:pPr>
    </w:p>
    <w:p w:rsidR="009E1704" w:rsidRPr="00876FB1" w:rsidRDefault="009E1704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Bonus je stanoven v jednotlivých Přílohách vždy pro konkrétní dosažený obrat v referenčním období, přičemž obrat se vypočte jako sou</w:t>
      </w:r>
      <w:r w:rsidR="00301AE1" w:rsidRPr="00876FB1">
        <w:rPr>
          <w:rFonts w:ascii="Times New Roman" w:hAnsi="Times New Roman" w:cs="Times New Roman"/>
          <w:sz w:val="22"/>
        </w:rPr>
        <w:t xml:space="preserve">čet </w:t>
      </w:r>
      <w:r w:rsidR="00DE4F79" w:rsidRPr="00876FB1">
        <w:rPr>
          <w:rFonts w:ascii="Times New Roman" w:hAnsi="Times New Roman" w:cs="Times New Roman"/>
          <w:sz w:val="22"/>
        </w:rPr>
        <w:t>c</w:t>
      </w:r>
      <w:r w:rsidR="00301AE1" w:rsidRPr="00876FB1">
        <w:rPr>
          <w:rFonts w:ascii="Times New Roman" w:hAnsi="Times New Roman" w:cs="Times New Roman"/>
          <w:sz w:val="22"/>
        </w:rPr>
        <w:t>en všech balení příslušného</w:t>
      </w:r>
      <w:r w:rsidRPr="00876FB1">
        <w:rPr>
          <w:rFonts w:ascii="Times New Roman" w:hAnsi="Times New Roman" w:cs="Times New Roman"/>
          <w:sz w:val="22"/>
        </w:rPr>
        <w:t xml:space="preserve"> </w:t>
      </w:r>
      <w:r w:rsidR="00301AE1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, který Odběratel nakoupí v referenčním období </w:t>
      </w:r>
      <w:r w:rsidR="000010B8" w:rsidRPr="00876FB1">
        <w:rPr>
          <w:rFonts w:ascii="Times New Roman" w:hAnsi="Times New Roman" w:cs="Times New Roman"/>
          <w:sz w:val="22"/>
        </w:rPr>
        <w:t xml:space="preserve">od </w:t>
      </w:r>
      <w:r w:rsidR="002C13C2" w:rsidRPr="00876FB1">
        <w:rPr>
          <w:rFonts w:ascii="Times New Roman" w:hAnsi="Times New Roman" w:cs="Times New Roman"/>
          <w:sz w:val="22"/>
        </w:rPr>
        <w:t>Dodavatele očistěného od vratek a dobropisů</w:t>
      </w:r>
      <w:r w:rsidRPr="00876FB1">
        <w:rPr>
          <w:rFonts w:ascii="Times New Roman" w:hAnsi="Times New Roman" w:cs="Times New Roman"/>
          <w:sz w:val="22"/>
        </w:rPr>
        <w:t xml:space="preserve">. Cenou balení </w:t>
      </w:r>
      <w:r w:rsidR="00897D87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 se pro účely tohoto ustanovení rozumí cena</w:t>
      </w:r>
      <w:r w:rsidR="00981FCE" w:rsidRPr="00876FB1">
        <w:rPr>
          <w:rFonts w:ascii="Times New Roman" w:hAnsi="Times New Roman" w:cs="Times New Roman"/>
          <w:sz w:val="22"/>
        </w:rPr>
        <w:t xml:space="preserve"> </w:t>
      </w:r>
      <w:r w:rsidR="00634F29" w:rsidRPr="00876FB1">
        <w:rPr>
          <w:rFonts w:ascii="Times New Roman" w:hAnsi="Times New Roman" w:cs="Times New Roman"/>
          <w:sz w:val="22"/>
        </w:rPr>
        <w:t>fakturační</w:t>
      </w:r>
      <w:r w:rsidR="008F52F2" w:rsidRPr="00876FB1">
        <w:rPr>
          <w:rFonts w:ascii="Times New Roman" w:hAnsi="Times New Roman" w:cs="Times New Roman"/>
          <w:sz w:val="22"/>
        </w:rPr>
        <w:t xml:space="preserve"> a to bez DPH</w:t>
      </w:r>
      <w:r w:rsidR="00981FCE" w:rsidRPr="00876FB1">
        <w:rPr>
          <w:rFonts w:ascii="Times New Roman" w:hAnsi="Times New Roman" w:cs="Times New Roman"/>
          <w:sz w:val="22"/>
        </w:rPr>
        <w:t xml:space="preserve"> v referenčním období. </w:t>
      </w:r>
      <w:r w:rsidR="00BF1351" w:rsidRPr="00876FB1">
        <w:rPr>
          <w:rFonts w:ascii="Times New Roman" w:hAnsi="Times New Roman" w:cs="Times New Roman"/>
          <w:sz w:val="22"/>
        </w:rPr>
        <w:t xml:space="preserve">Tuto cenu oznámí Společnost Odběrateli tak, že údaj o této ceně zašle v elektronické formě na emailovou adresu </w:t>
      </w:r>
      <w:hyperlink r:id="rId8" w:history="1">
        <w:r w:rsidR="00D04117" w:rsidRPr="00876FB1">
          <w:rPr>
            <w:rStyle w:val="Hypertextovodkaz"/>
            <w:rFonts w:ascii="Times New Roman" w:hAnsi="Times New Roman" w:cs="Times New Roman"/>
            <w:b/>
            <w:sz w:val="22"/>
          </w:rPr>
          <w:t>kompenzace@fnol.cz</w:t>
        </w:r>
      </w:hyperlink>
      <w:r w:rsidR="00BF1351" w:rsidRPr="00876FB1">
        <w:rPr>
          <w:rFonts w:ascii="Times New Roman" w:hAnsi="Times New Roman" w:cs="Times New Roman"/>
          <w:sz w:val="22"/>
        </w:rPr>
        <w:t xml:space="preserve"> nejpozději do </w:t>
      </w:r>
      <w:r w:rsidR="002C13C2" w:rsidRPr="00876FB1">
        <w:rPr>
          <w:rFonts w:ascii="Times New Roman" w:hAnsi="Times New Roman" w:cs="Times New Roman"/>
          <w:sz w:val="22"/>
        </w:rPr>
        <w:t>15</w:t>
      </w:r>
      <w:r w:rsidR="00BF1351" w:rsidRPr="00876FB1">
        <w:rPr>
          <w:rFonts w:ascii="Times New Roman" w:hAnsi="Times New Roman" w:cs="Times New Roman"/>
          <w:sz w:val="22"/>
        </w:rPr>
        <w:t xml:space="preserve"> dnů po skončení referenčního období.</w:t>
      </w:r>
    </w:p>
    <w:p w:rsidR="00D64E49" w:rsidRPr="00876FB1" w:rsidRDefault="00D64E49" w:rsidP="00876FB1">
      <w:pPr>
        <w:pStyle w:val="Bezmezer"/>
        <w:rPr>
          <w:rFonts w:ascii="Times New Roman" w:hAnsi="Times New Roman" w:cs="Times New Roman"/>
          <w:sz w:val="22"/>
        </w:rPr>
      </w:pPr>
    </w:p>
    <w:p w:rsidR="00D64E49" w:rsidRPr="00876FB1" w:rsidRDefault="00D64E49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Referenčním obdobím se pro účely této smlouvy rozumí období určené Přílohou</w:t>
      </w:r>
      <w:r w:rsidR="000D7095" w:rsidRPr="00876FB1">
        <w:rPr>
          <w:rFonts w:ascii="Times New Roman" w:hAnsi="Times New Roman" w:cs="Times New Roman"/>
          <w:sz w:val="22"/>
        </w:rPr>
        <w:t xml:space="preserve"> č. 1</w:t>
      </w:r>
      <w:r w:rsidRPr="00876FB1">
        <w:rPr>
          <w:rFonts w:ascii="Times New Roman" w:hAnsi="Times New Roman" w:cs="Times New Roman"/>
          <w:sz w:val="22"/>
        </w:rPr>
        <w:t xml:space="preserve">. </w:t>
      </w:r>
    </w:p>
    <w:p w:rsidR="00DC1EEE" w:rsidRPr="00876FB1" w:rsidRDefault="00DC1EEE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Dojde — li v referenčním období k významným změnám cen </w:t>
      </w:r>
      <w:r w:rsidR="00897D87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, případně ke změnám v portfoliu </w:t>
      </w:r>
      <w:r w:rsidR="00AD1826" w:rsidRPr="00876FB1">
        <w:rPr>
          <w:rFonts w:ascii="Times New Roman" w:hAnsi="Times New Roman" w:cs="Times New Roman"/>
          <w:sz w:val="22"/>
        </w:rPr>
        <w:t>Zboží</w:t>
      </w:r>
      <w:r w:rsidR="0013640B" w:rsidRPr="00876FB1">
        <w:rPr>
          <w:rFonts w:ascii="Times New Roman" w:hAnsi="Times New Roman" w:cs="Times New Roman"/>
          <w:sz w:val="22"/>
        </w:rPr>
        <w:t>,</w:t>
      </w:r>
      <w:r w:rsidRPr="00876FB1">
        <w:rPr>
          <w:rFonts w:ascii="Times New Roman" w:hAnsi="Times New Roman" w:cs="Times New Roman"/>
          <w:sz w:val="22"/>
        </w:rPr>
        <w:t xml:space="preserve"> </w:t>
      </w:r>
      <w:r w:rsidR="004639B1" w:rsidRPr="00876FB1">
        <w:rPr>
          <w:rFonts w:ascii="Times New Roman" w:hAnsi="Times New Roman" w:cs="Times New Roman"/>
          <w:sz w:val="22"/>
        </w:rPr>
        <w:t>vstoupí obě smluvní strany d</w:t>
      </w:r>
      <w:r w:rsidRPr="00876FB1">
        <w:rPr>
          <w:rFonts w:ascii="Times New Roman" w:hAnsi="Times New Roman" w:cs="Times New Roman"/>
          <w:sz w:val="22"/>
        </w:rPr>
        <w:t>o</w:t>
      </w:r>
      <w:r w:rsidR="004639B1" w:rsidRPr="00876FB1">
        <w:rPr>
          <w:rFonts w:ascii="Times New Roman" w:hAnsi="Times New Roman" w:cs="Times New Roman"/>
          <w:sz w:val="22"/>
        </w:rPr>
        <w:t xml:space="preserve"> jednání o</w:t>
      </w:r>
      <w:r w:rsidR="008A2612" w:rsidRPr="00876FB1">
        <w:rPr>
          <w:rFonts w:ascii="Times New Roman" w:hAnsi="Times New Roman" w:cs="Times New Roman"/>
          <w:sz w:val="22"/>
        </w:rPr>
        <w:t xml:space="preserve"> </w:t>
      </w:r>
      <w:r w:rsidR="001237D5" w:rsidRPr="00876FB1">
        <w:rPr>
          <w:rFonts w:ascii="Times New Roman" w:hAnsi="Times New Roman" w:cs="Times New Roman"/>
          <w:sz w:val="22"/>
        </w:rPr>
        <w:t xml:space="preserve">případné </w:t>
      </w:r>
      <w:r w:rsidRPr="00876FB1">
        <w:rPr>
          <w:rFonts w:ascii="Times New Roman" w:hAnsi="Times New Roman" w:cs="Times New Roman"/>
          <w:sz w:val="22"/>
        </w:rPr>
        <w:t>revizi Příloh této smlouvy.</w:t>
      </w:r>
    </w:p>
    <w:p w:rsidR="00661031" w:rsidRPr="00876FB1" w:rsidRDefault="0066103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71233F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Společnost na základě údajů o prodeji </w:t>
      </w:r>
      <w:r w:rsidR="00AD1826" w:rsidRPr="00876FB1">
        <w:rPr>
          <w:rFonts w:ascii="Times New Roman" w:hAnsi="Times New Roman" w:cs="Times New Roman"/>
          <w:sz w:val="22"/>
        </w:rPr>
        <w:t>Zboží</w:t>
      </w:r>
      <w:r w:rsidR="003A4D28" w:rsidRPr="00876FB1">
        <w:rPr>
          <w:rFonts w:ascii="Times New Roman" w:hAnsi="Times New Roman" w:cs="Times New Roman"/>
          <w:sz w:val="22"/>
        </w:rPr>
        <w:t xml:space="preserve"> Odběrateli</w:t>
      </w:r>
      <w:r w:rsidRPr="00876FB1">
        <w:rPr>
          <w:rFonts w:ascii="Times New Roman" w:hAnsi="Times New Roman" w:cs="Times New Roman"/>
          <w:sz w:val="22"/>
        </w:rPr>
        <w:t xml:space="preserve"> v referenčním období, a po jejich vzájemném odsouhlasení obou smluvních stran, vystaví vyúčtování Bonusu - opravný daňový dokl</w:t>
      </w:r>
      <w:r w:rsidR="00981FCE" w:rsidRPr="00876FB1">
        <w:rPr>
          <w:rFonts w:ascii="Times New Roman" w:hAnsi="Times New Roman" w:cs="Times New Roman"/>
          <w:sz w:val="22"/>
        </w:rPr>
        <w:t>ad, který zašle Odběrateli do 45</w:t>
      </w:r>
      <w:r w:rsidRPr="00876FB1">
        <w:rPr>
          <w:rFonts w:ascii="Times New Roman" w:hAnsi="Times New Roman" w:cs="Times New Roman"/>
          <w:sz w:val="22"/>
        </w:rPr>
        <w:t xml:space="preserve"> dnů ode dne skončení referenčního období a tento uhradí </w:t>
      </w:r>
      <w:r w:rsidR="00B10499" w:rsidRPr="00876FB1">
        <w:rPr>
          <w:rFonts w:ascii="Times New Roman" w:hAnsi="Times New Roman" w:cs="Times New Roman"/>
          <w:sz w:val="22"/>
        </w:rPr>
        <w:t xml:space="preserve">na bankovní účet Odběratele </w:t>
      </w:r>
      <w:r w:rsidRPr="00876FB1">
        <w:rPr>
          <w:rFonts w:ascii="Times New Roman" w:hAnsi="Times New Roman" w:cs="Times New Roman"/>
          <w:sz w:val="22"/>
        </w:rPr>
        <w:t>se splatností 30 dnů od jeho vystavení</w:t>
      </w:r>
      <w:r w:rsidR="000A73C0" w:rsidRPr="00876FB1">
        <w:rPr>
          <w:rFonts w:ascii="Times New Roman" w:hAnsi="Times New Roman" w:cs="Times New Roman"/>
          <w:sz w:val="22"/>
        </w:rPr>
        <w:t>.</w:t>
      </w:r>
    </w:p>
    <w:p w:rsidR="00AA1748" w:rsidRPr="00876FB1" w:rsidRDefault="00AA1748" w:rsidP="00876FB1">
      <w:pPr>
        <w:pStyle w:val="Bezmezer"/>
        <w:rPr>
          <w:rFonts w:ascii="Times New Roman" w:hAnsi="Times New Roman" w:cs="Times New Roman"/>
          <w:sz w:val="22"/>
        </w:rPr>
      </w:pPr>
    </w:p>
    <w:p w:rsidR="002001E5" w:rsidRPr="00876FB1" w:rsidRDefault="00AA1748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V případě, že dojde k ukončení této smlouvy před uplynutím referenčního období, poskytne Společnost </w:t>
      </w:r>
      <w:r w:rsidR="00D8552B" w:rsidRPr="00876FB1">
        <w:rPr>
          <w:rFonts w:ascii="Times New Roman" w:hAnsi="Times New Roman" w:cs="Times New Roman"/>
          <w:sz w:val="22"/>
        </w:rPr>
        <w:t xml:space="preserve">Odběrateli </w:t>
      </w:r>
      <w:r w:rsidRPr="00876FB1">
        <w:rPr>
          <w:rFonts w:ascii="Times New Roman" w:hAnsi="Times New Roman" w:cs="Times New Roman"/>
          <w:sz w:val="22"/>
        </w:rPr>
        <w:t xml:space="preserve">Bonus v poměrné výši (alikvotní část) za takové zkrácené referenční období, to však za předpokladu, že </w:t>
      </w:r>
      <w:r w:rsidR="004837DF" w:rsidRPr="00876FB1">
        <w:rPr>
          <w:rFonts w:ascii="Times New Roman" w:hAnsi="Times New Roman" w:cs="Times New Roman"/>
          <w:sz w:val="22"/>
        </w:rPr>
        <w:t xml:space="preserve">Odběratel </w:t>
      </w:r>
      <w:r w:rsidRPr="00876FB1">
        <w:rPr>
          <w:rFonts w:ascii="Times New Roman" w:hAnsi="Times New Roman" w:cs="Times New Roman"/>
          <w:sz w:val="22"/>
        </w:rPr>
        <w:t>splní v poměrné výši odběr požadovaný pro poskytnutí Bonusu v příslušné Příloze</w:t>
      </w:r>
      <w:r w:rsidR="005C24AE" w:rsidRPr="00876FB1">
        <w:rPr>
          <w:rFonts w:ascii="Times New Roman" w:hAnsi="Times New Roman" w:cs="Times New Roman"/>
          <w:sz w:val="22"/>
        </w:rPr>
        <w:t xml:space="preserve"> č. 1</w:t>
      </w:r>
      <w:r w:rsidR="007E336D" w:rsidRPr="00876FB1">
        <w:rPr>
          <w:rFonts w:ascii="Times New Roman" w:hAnsi="Times New Roman" w:cs="Times New Roman"/>
          <w:sz w:val="22"/>
        </w:rPr>
        <w:t xml:space="preserve">, v takovém </w:t>
      </w:r>
      <w:r w:rsidR="005E4E4D" w:rsidRPr="00876FB1">
        <w:rPr>
          <w:rFonts w:ascii="Times New Roman" w:hAnsi="Times New Roman" w:cs="Times New Roman"/>
          <w:sz w:val="22"/>
        </w:rPr>
        <w:t>případě</w:t>
      </w:r>
      <w:r w:rsidR="007E336D" w:rsidRPr="00876FB1">
        <w:rPr>
          <w:rFonts w:ascii="Times New Roman" w:hAnsi="Times New Roman" w:cs="Times New Roman"/>
          <w:sz w:val="22"/>
        </w:rPr>
        <w:t xml:space="preserve"> bude Bonus vyplacen </w:t>
      </w:r>
      <w:r w:rsidR="00331E5E" w:rsidRPr="00876FB1">
        <w:rPr>
          <w:rFonts w:ascii="Times New Roman" w:hAnsi="Times New Roman" w:cs="Times New Roman"/>
          <w:sz w:val="22"/>
        </w:rPr>
        <w:t xml:space="preserve">v souladu s ustanovením </w:t>
      </w:r>
      <w:r w:rsidR="00E009BC" w:rsidRPr="00876FB1">
        <w:rPr>
          <w:rFonts w:ascii="Times New Roman" w:hAnsi="Times New Roman" w:cs="Times New Roman"/>
          <w:sz w:val="22"/>
        </w:rPr>
        <w:t>odstavce</w:t>
      </w:r>
      <w:r w:rsidR="00EB28E5" w:rsidRPr="00876FB1">
        <w:rPr>
          <w:rFonts w:ascii="Times New Roman" w:hAnsi="Times New Roman" w:cs="Times New Roman"/>
          <w:sz w:val="22"/>
        </w:rPr>
        <w:t xml:space="preserve"> 5</w:t>
      </w:r>
      <w:r w:rsidR="007E336D" w:rsidRPr="00876FB1">
        <w:rPr>
          <w:rFonts w:ascii="Times New Roman" w:hAnsi="Times New Roman" w:cs="Times New Roman"/>
          <w:sz w:val="22"/>
        </w:rPr>
        <w:t xml:space="preserve"> </w:t>
      </w:r>
      <w:r w:rsidR="0042611F" w:rsidRPr="00876FB1">
        <w:rPr>
          <w:rFonts w:ascii="Times New Roman" w:hAnsi="Times New Roman" w:cs="Times New Roman"/>
          <w:sz w:val="22"/>
        </w:rPr>
        <w:t>t</w:t>
      </w:r>
      <w:r w:rsidR="007E336D" w:rsidRPr="00876FB1">
        <w:rPr>
          <w:rFonts w:ascii="Times New Roman" w:hAnsi="Times New Roman" w:cs="Times New Roman"/>
          <w:sz w:val="22"/>
        </w:rPr>
        <w:t xml:space="preserve">ohoto článku. </w:t>
      </w:r>
    </w:p>
    <w:p w:rsidR="002001E5" w:rsidRPr="00876FB1" w:rsidRDefault="002001E5" w:rsidP="00876FB1">
      <w:pPr>
        <w:pStyle w:val="Bezmezer"/>
        <w:rPr>
          <w:rFonts w:ascii="Times New Roman" w:hAnsi="Times New Roman" w:cs="Times New Roman"/>
          <w:sz w:val="22"/>
        </w:rPr>
      </w:pPr>
    </w:p>
    <w:p w:rsidR="004C5AD4" w:rsidRPr="00F5176F" w:rsidRDefault="004C5AD4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II.</w:t>
      </w:r>
    </w:p>
    <w:p w:rsidR="004C5AD4" w:rsidRPr="00F5176F" w:rsidRDefault="004C5AD4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lastRenderedPageBreak/>
        <w:t>Další ujednání</w:t>
      </w:r>
    </w:p>
    <w:p w:rsidR="004C5AD4" w:rsidRPr="00876FB1" w:rsidRDefault="004C5AD4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Smluvní strany shodně prohlašují, že Odběratel není a nebude jakkoliv zavázán odebírat </w:t>
      </w:r>
      <w:r w:rsidR="00BD034F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 xml:space="preserve">, a to ani od třetích osob v jakémkoli množství a i nadále disponuje absolutní volností co do výběru </w:t>
      </w:r>
      <w:r w:rsidR="006C18C5" w:rsidRPr="00876FB1">
        <w:rPr>
          <w:rFonts w:ascii="Times New Roman" w:hAnsi="Times New Roman" w:cs="Times New Roman"/>
          <w:sz w:val="22"/>
        </w:rPr>
        <w:t>Zboží</w:t>
      </w:r>
      <w:r w:rsidRPr="00876FB1">
        <w:rPr>
          <w:rFonts w:ascii="Times New Roman" w:hAnsi="Times New Roman" w:cs="Times New Roman"/>
          <w:sz w:val="22"/>
        </w:rPr>
        <w:t>, a to bez ohledu na to, zda jsou vyráběny či dodávány Společností nebo jiným dodavatelem.</w:t>
      </w:r>
    </w:p>
    <w:p w:rsidR="00133E91" w:rsidRPr="00876FB1" w:rsidRDefault="00133E9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Společnost </w:t>
      </w:r>
      <w:r w:rsidR="00346347" w:rsidRPr="00876FB1">
        <w:rPr>
          <w:rFonts w:ascii="Times New Roman" w:hAnsi="Times New Roman" w:cs="Times New Roman"/>
          <w:sz w:val="22"/>
        </w:rPr>
        <w:t xml:space="preserve">výslovně </w:t>
      </w:r>
      <w:r w:rsidRPr="00876FB1">
        <w:rPr>
          <w:rFonts w:ascii="Times New Roman" w:hAnsi="Times New Roman" w:cs="Times New Roman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876FB1" w:rsidRDefault="00EE1104" w:rsidP="00876FB1">
      <w:pPr>
        <w:pStyle w:val="Bezmezer"/>
        <w:rPr>
          <w:rFonts w:ascii="Times New Roman" w:hAnsi="Times New Roman" w:cs="Times New Roman"/>
          <w:sz w:val="22"/>
        </w:rPr>
      </w:pPr>
    </w:p>
    <w:p w:rsidR="00D6044D" w:rsidRPr="00876FB1" w:rsidRDefault="00EE1104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Společnost výslovně prohlašuje, že veškeré finanční prostředky tvořící Bonus nepochází z veřejných prostředků.</w:t>
      </w:r>
    </w:p>
    <w:p w:rsidR="0056569D" w:rsidRPr="00876FB1" w:rsidRDefault="0056569D" w:rsidP="00876FB1">
      <w:pPr>
        <w:pStyle w:val="Bezmezer"/>
        <w:rPr>
          <w:rFonts w:ascii="Times New Roman" w:hAnsi="Times New Roman" w:cs="Times New Roman"/>
          <w:sz w:val="22"/>
        </w:rPr>
      </w:pPr>
    </w:p>
    <w:p w:rsidR="0056569D" w:rsidRPr="00876FB1" w:rsidRDefault="0056569D" w:rsidP="00876FB1">
      <w:pPr>
        <w:pStyle w:val="Bezmezer"/>
        <w:rPr>
          <w:rFonts w:ascii="Times New Roman" w:hAnsi="Times New Roman" w:cs="Times New Roman"/>
          <w:sz w:val="22"/>
        </w:rPr>
      </w:pPr>
    </w:p>
    <w:p w:rsidR="0056569D" w:rsidRPr="00876FB1" w:rsidRDefault="0056569D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F5176F" w:rsidRDefault="000A73C0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I</w:t>
      </w:r>
      <w:r w:rsidR="00012748" w:rsidRPr="00F5176F">
        <w:rPr>
          <w:rFonts w:ascii="Times New Roman" w:hAnsi="Times New Roman" w:cs="Times New Roman"/>
          <w:b/>
          <w:sz w:val="22"/>
        </w:rPr>
        <w:t>II</w:t>
      </w:r>
      <w:r w:rsidRPr="00F5176F">
        <w:rPr>
          <w:rFonts w:ascii="Times New Roman" w:hAnsi="Times New Roman" w:cs="Times New Roman"/>
          <w:b/>
          <w:sz w:val="22"/>
        </w:rPr>
        <w:t>.</w:t>
      </w:r>
    </w:p>
    <w:p w:rsidR="00F409B1" w:rsidRPr="00F5176F" w:rsidRDefault="000A73C0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Mlčenlivost</w:t>
      </w:r>
    </w:p>
    <w:p w:rsidR="00302491" w:rsidRPr="00876FB1" w:rsidRDefault="0030249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123D4C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1</w:t>
      </w:r>
      <w:r w:rsidR="000A73C0" w:rsidRPr="00876FB1">
        <w:rPr>
          <w:rFonts w:ascii="Times New Roman" w:hAnsi="Times New Roman" w:cs="Times New Roman"/>
          <w:sz w:val="22"/>
        </w:rPr>
        <w:t>.</w:t>
      </w:r>
      <w:r w:rsidR="000A73C0" w:rsidRPr="00876FB1">
        <w:rPr>
          <w:rFonts w:ascii="Times New Roman" w:hAnsi="Times New Roman" w:cs="Times New Roman"/>
          <w:sz w:val="22"/>
        </w:rPr>
        <w:tab/>
      </w:r>
      <w:r w:rsidR="00242649" w:rsidRPr="00876FB1">
        <w:rPr>
          <w:rFonts w:ascii="Times New Roman" w:hAnsi="Times New Roman" w:cs="Times New Roman"/>
          <w:sz w:val="22"/>
        </w:rPr>
        <w:t>Pokud dále není touto smlouvou, právním předpisem či rozhodnutím nebo jiným pokynem příslušného kompetentního orgánu stanoveno jinak</w:t>
      </w:r>
      <w:r w:rsidR="004A70A4" w:rsidRPr="00876FB1">
        <w:rPr>
          <w:rFonts w:ascii="Times New Roman" w:hAnsi="Times New Roman" w:cs="Times New Roman"/>
          <w:sz w:val="22"/>
        </w:rPr>
        <w:t>,</w:t>
      </w:r>
      <w:r w:rsidR="00242649" w:rsidRPr="00876FB1">
        <w:rPr>
          <w:rFonts w:ascii="Times New Roman" w:hAnsi="Times New Roman" w:cs="Times New Roman"/>
          <w:sz w:val="22"/>
        </w:rPr>
        <w:t xml:space="preserve"> s</w:t>
      </w:r>
      <w:r w:rsidR="000A73C0" w:rsidRPr="00876FB1">
        <w:rPr>
          <w:rFonts w:ascii="Times New Roman" w:hAnsi="Times New Roman" w:cs="Times New Roman"/>
          <w:sz w:val="22"/>
        </w:rPr>
        <w:t xml:space="preserve">mluvní strany se zavazují, že nezveřejní či jiným způsobem nezpřístupní třetím osobám </w:t>
      </w:r>
      <w:r w:rsidR="00D91178" w:rsidRPr="00876FB1">
        <w:rPr>
          <w:rFonts w:ascii="Times New Roman" w:hAnsi="Times New Roman" w:cs="Times New Roman"/>
          <w:sz w:val="22"/>
        </w:rPr>
        <w:t>části smlouvy představující obchodní tajemství některé ze smluvních stran</w:t>
      </w:r>
      <w:r w:rsidR="00012748" w:rsidRPr="00876FB1">
        <w:rPr>
          <w:rFonts w:ascii="Times New Roman" w:hAnsi="Times New Roman" w:cs="Times New Roman"/>
          <w:sz w:val="22"/>
        </w:rPr>
        <w:t xml:space="preserve"> či jiné údaje vyloučené ze zveřejnění</w:t>
      </w:r>
      <w:r w:rsidR="000A73C0" w:rsidRPr="00876FB1">
        <w:rPr>
          <w:rFonts w:ascii="Times New Roman" w:hAnsi="Times New Roman" w:cs="Times New Roman"/>
          <w:sz w:val="22"/>
        </w:rPr>
        <w:t>, jakož ani jiné informace o vzájemných obchodních vztazích.</w:t>
      </w:r>
    </w:p>
    <w:p w:rsidR="00111FF5" w:rsidRPr="00876FB1" w:rsidRDefault="00111FF5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Smluvní strany zpřístupní </w:t>
      </w:r>
      <w:r w:rsidR="00D91178" w:rsidRPr="00876FB1">
        <w:rPr>
          <w:rFonts w:ascii="Times New Roman" w:hAnsi="Times New Roman" w:cs="Times New Roman"/>
          <w:sz w:val="22"/>
        </w:rPr>
        <w:t>celý</w:t>
      </w:r>
      <w:r w:rsidR="009E3246" w:rsidRPr="00876FB1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876FB1" w:rsidRDefault="00111FF5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0A73C0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Povinnost mlčenlivosti se nevztahuje na informace, které:</w:t>
      </w:r>
    </w:p>
    <w:p w:rsidR="00F409B1" w:rsidRPr="00876FB1" w:rsidRDefault="000A73C0" w:rsidP="00F5176F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jsou veřejně známé,</w:t>
      </w:r>
      <w:r w:rsidR="00F5176F">
        <w:rPr>
          <w:rFonts w:ascii="Times New Roman" w:hAnsi="Times New Roman" w:cs="Times New Roman"/>
          <w:sz w:val="22"/>
        </w:rPr>
        <w:t xml:space="preserve"> </w:t>
      </w:r>
      <w:r w:rsidR="00AF0EB1" w:rsidRPr="00876FB1">
        <w:rPr>
          <w:rFonts w:ascii="Times New Roman" w:hAnsi="Times New Roman" w:cs="Times New Roman"/>
          <w:sz w:val="22"/>
        </w:rPr>
        <w:t>se</w:t>
      </w:r>
      <w:r w:rsidR="008B5EB8" w:rsidRPr="00876FB1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 xml:space="preserve">stanou veřejně známými </w:t>
      </w:r>
      <w:proofErr w:type="gramStart"/>
      <w:r w:rsidRPr="00876FB1">
        <w:rPr>
          <w:rFonts w:ascii="Times New Roman" w:hAnsi="Times New Roman" w:cs="Times New Roman"/>
          <w:sz w:val="22"/>
        </w:rPr>
        <w:t>jinak,</w:t>
      </w:r>
      <w:proofErr w:type="gramEnd"/>
      <w:r w:rsidRPr="00876FB1">
        <w:rPr>
          <w:rFonts w:ascii="Times New Roman" w:hAnsi="Times New Roman" w:cs="Times New Roman"/>
          <w:sz w:val="22"/>
        </w:rPr>
        <w:t xml:space="preserve"> než porušením této povinnosti mlčenlivosti zde uvedené,</w:t>
      </w:r>
      <w:r w:rsidR="00F5176F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>jsou oprávněně v dispozici druhé strany před jejich poskytnutím této straně,</w:t>
      </w:r>
      <w:r w:rsidR="00F5176F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>strana získá od třetí osoby, která není vázána povinností mlčenlivosti,</w:t>
      </w:r>
    </w:p>
    <w:p w:rsidR="00F409B1" w:rsidRPr="00876FB1" w:rsidRDefault="000A73C0" w:rsidP="00F5176F">
      <w:pPr>
        <w:pStyle w:val="Bezmezer"/>
        <w:ind w:left="230" w:firstLine="0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vyžadují-li tak obecně závazné právní předpisy nebo na základě rozhodnutí soudů či správních orgánů.</w:t>
      </w:r>
    </w:p>
    <w:p w:rsidR="00111FF5" w:rsidRPr="00876FB1" w:rsidRDefault="00111FF5" w:rsidP="00876FB1">
      <w:pPr>
        <w:pStyle w:val="Bezmezer"/>
        <w:rPr>
          <w:rFonts w:ascii="Times New Roman" w:hAnsi="Times New Roman" w:cs="Times New Roman"/>
          <w:sz w:val="22"/>
        </w:rPr>
      </w:pPr>
    </w:p>
    <w:p w:rsidR="00ED67F8" w:rsidRPr="00876FB1" w:rsidRDefault="00D108F1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Společnost </w:t>
      </w:r>
      <w:r w:rsidR="004B31D3" w:rsidRPr="00876FB1">
        <w:rPr>
          <w:rFonts w:ascii="Times New Roman" w:hAnsi="Times New Roman" w:cs="Times New Roman"/>
          <w:sz w:val="22"/>
        </w:rPr>
        <w:t>pro</w:t>
      </w:r>
      <w:r w:rsidR="00E35AD3" w:rsidRPr="00876FB1">
        <w:rPr>
          <w:rFonts w:ascii="Times New Roman" w:hAnsi="Times New Roman" w:cs="Times New Roman"/>
          <w:sz w:val="22"/>
        </w:rPr>
        <w:t>hlašuje</w:t>
      </w:r>
      <w:r w:rsidR="000F1CC7" w:rsidRPr="00876FB1">
        <w:rPr>
          <w:rFonts w:ascii="Times New Roman" w:hAnsi="Times New Roman" w:cs="Times New Roman"/>
          <w:sz w:val="22"/>
        </w:rPr>
        <w:t>, že informac</w:t>
      </w:r>
      <w:r w:rsidR="00BE2013" w:rsidRPr="00876FB1">
        <w:rPr>
          <w:rFonts w:ascii="Times New Roman" w:hAnsi="Times New Roman" w:cs="Times New Roman"/>
          <w:sz w:val="22"/>
        </w:rPr>
        <w:t>e</w:t>
      </w:r>
      <w:r w:rsidR="00661FA1" w:rsidRPr="00876FB1">
        <w:rPr>
          <w:rFonts w:ascii="Times New Roman" w:hAnsi="Times New Roman" w:cs="Times New Roman"/>
          <w:sz w:val="22"/>
        </w:rPr>
        <w:t xml:space="preserve"> obsažené v </w:t>
      </w:r>
      <w:r w:rsidR="00FC614A" w:rsidRPr="00876FB1">
        <w:rPr>
          <w:rFonts w:ascii="Times New Roman" w:hAnsi="Times New Roman" w:cs="Times New Roman"/>
          <w:sz w:val="22"/>
        </w:rPr>
        <w:t>Příloze</w:t>
      </w:r>
      <w:r w:rsidR="00661FA1" w:rsidRPr="00876FB1">
        <w:rPr>
          <w:rFonts w:ascii="Times New Roman" w:hAnsi="Times New Roman" w:cs="Times New Roman"/>
          <w:sz w:val="22"/>
        </w:rPr>
        <w:t xml:space="preserve"> </w:t>
      </w:r>
      <w:r w:rsidR="00D122BB" w:rsidRPr="00876FB1">
        <w:rPr>
          <w:rFonts w:ascii="Times New Roman" w:hAnsi="Times New Roman" w:cs="Times New Roman"/>
          <w:sz w:val="22"/>
        </w:rPr>
        <w:t xml:space="preserve">č. </w:t>
      </w:r>
      <w:r w:rsidR="00FC614A" w:rsidRPr="00876FB1">
        <w:rPr>
          <w:rFonts w:ascii="Times New Roman" w:hAnsi="Times New Roman" w:cs="Times New Roman"/>
          <w:sz w:val="22"/>
        </w:rPr>
        <w:t>1</w:t>
      </w:r>
      <w:r w:rsidR="00D01F89" w:rsidRPr="00876FB1">
        <w:rPr>
          <w:rFonts w:ascii="Times New Roman" w:hAnsi="Times New Roman" w:cs="Times New Roman"/>
          <w:sz w:val="22"/>
        </w:rPr>
        <w:t xml:space="preserve"> a v Příloze č. 2</w:t>
      </w:r>
      <w:r w:rsidR="001E6936" w:rsidRPr="00876FB1">
        <w:rPr>
          <w:rFonts w:ascii="Times New Roman" w:hAnsi="Times New Roman" w:cs="Times New Roman"/>
          <w:sz w:val="22"/>
        </w:rPr>
        <w:t xml:space="preserve"> </w:t>
      </w:r>
      <w:r w:rsidR="00661FA1" w:rsidRPr="00876FB1">
        <w:rPr>
          <w:rFonts w:ascii="Times New Roman" w:hAnsi="Times New Roman" w:cs="Times New Roman"/>
          <w:sz w:val="22"/>
        </w:rPr>
        <w:t xml:space="preserve">této </w:t>
      </w:r>
      <w:r w:rsidR="00EB28E5" w:rsidRPr="00876FB1">
        <w:rPr>
          <w:rFonts w:ascii="Times New Roman" w:hAnsi="Times New Roman" w:cs="Times New Roman"/>
          <w:sz w:val="22"/>
        </w:rPr>
        <w:t>s</w:t>
      </w:r>
      <w:r w:rsidR="00661FA1" w:rsidRPr="00876FB1">
        <w:rPr>
          <w:rFonts w:ascii="Times New Roman" w:hAnsi="Times New Roman" w:cs="Times New Roman"/>
          <w:sz w:val="22"/>
        </w:rPr>
        <w:t xml:space="preserve">mlouvy považuje za </w:t>
      </w:r>
      <w:r w:rsidR="003659E4" w:rsidRPr="00876FB1">
        <w:rPr>
          <w:rFonts w:ascii="Times New Roman" w:hAnsi="Times New Roman" w:cs="Times New Roman"/>
          <w:sz w:val="22"/>
        </w:rPr>
        <w:t xml:space="preserve">své </w:t>
      </w:r>
      <w:r w:rsidR="00661FA1" w:rsidRPr="00876FB1">
        <w:rPr>
          <w:rFonts w:ascii="Times New Roman" w:hAnsi="Times New Roman" w:cs="Times New Roman"/>
          <w:sz w:val="22"/>
        </w:rPr>
        <w:t xml:space="preserve">obchodní tajemství, a to </w:t>
      </w:r>
      <w:r w:rsidR="00D32BCE" w:rsidRPr="00876FB1">
        <w:rPr>
          <w:rFonts w:ascii="Times New Roman" w:hAnsi="Times New Roman" w:cs="Times New Roman"/>
          <w:sz w:val="22"/>
        </w:rPr>
        <w:t>ve smyslu konkurenčně významných</w:t>
      </w:r>
      <w:r w:rsidR="00115A53" w:rsidRPr="00876FB1">
        <w:rPr>
          <w:rFonts w:ascii="Times New Roman" w:hAnsi="Times New Roman" w:cs="Times New Roman"/>
          <w:sz w:val="22"/>
        </w:rPr>
        <w:t>, určitelných</w:t>
      </w:r>
      <w:r w:rsidR="00DB5106" w:rsidRPr="00876FB1">
        <w:rPr>
          <w:rFonts w:ascii="Times New Roman" w:hAnsi="Times New Roman" w:cs="Times New Roman"/>
          <w:sz w:val="22"/>
        </w:rPr>
        <w:t>, ocenitelných</w:t>
      </w:r>
      <w:r w:rsidR="00115A53" w:rsidRPr="00876FB1">
        <w:rPr>
          <w:rFonts w:ascii="Times New Roman" w:hAnsi="Times New Roman" w:cs="Times New Roman"/>
          <w:sz w:val="22"/>
        </w:rPr>
        <w:t xml:space="preserve"> a v příslušných obchodních kruzích </w:t>
      </w:r>
      <w:r w:rsidR="00DB5106" w:rsidRPr="00876FB1">
        <w:rPr>
          <w:rFonts w:ascii="Times New Roman" w:hAnsi="Times New Roman" w:cs="Times New Roman"/>
          <w:sz w:val="22"/>
        </w:rPr>
        <w:t>běžně nedostupných skutečností</w:t>
      </w:r>
      <w:r w:rsidR="006B021B" w:rsidRPr="00876FB1">
        <w:rPr>
          <w:rFonts w:ascii="Times New Roman" w:hAnsi="Times New Roman" w:cs="Times New Roman"/>
          <w:sz w:val="22"/>
        </w:rPr>
        <w:t xml:space="preserve">, mj. také </w:t>
      </w:r>
      <w:r w:rsidR="008F52F2" w:rsidRPr="00876FB1">
        <w:rPr>
          <w:rFonts w:ascii="Times New Roman" w:hAnsi="Times New Roman" w:cs="Times New Roman"/>
          <w:sz w:val="22"/>
        </w:rPr>
        <w:t>definici</w:t>
      </w:r>
      <w:r w:rsidR="00D01F89" w:rsidRPr="00876FB1">
        <w:rPr>
          <w:rFonts w:ascii="Times New Roman" w:hAnsi="Times New Roman" w:cs="Times New Roman"/>
          <w:sz w:val="22"/>
        </w:rPr>
        <w:t xml:space="preserve"> zboží, </w:t>
      </w:r>
      <w:r w:rsidR="00661FA1" w:rsidRPr="00876FB1">
        <w:rPr>
          <w:rFonts w:ascii="Times New Roman" w:hAnsi="Times New Roman" w:cs="Times New Roman"/>
          <w:sz w:val="22"/>
        </w:rPr>
        <w:t xml:space="preserve">stanovení obratu, který má být dosažen pro splnění podmínek pro Bonus podle této smlouvy, </w:t>
      </w:r>
      <w:r w:rsidR="00FB52FB" w:rsidRPr="00876FB1">
        <w:rPr>
          <w:rFonts w:ascii="Times New Roman" w:hAnsi="Times New Roman" w:cs="Times New Roman"/>
          <w:sz w:val="22"/>
        </w:rPr>
        <w:t xml:space="preserve">vzorec a </w:t>
      </w:r>
      <w:r w:rsidR="00D032FD" w:rsidRPr="00876FB1">
        <w:rPr>
          <w:rFonts w:ascii="Times New Roman" w:hAnsi="Times New Roman" w:cs="Times New Roman"/>
          <w:sz w:val="22"/>
        </w:rPr>
        <w:t xml:space="preserve">způsob výpočtu ceny a </w:t>
      </w:r>
      <w:r w:rsidR="00FC614A" w:rsidRPr="00876FB1">
        <w:rPr>
          <w:rFonts w:ascii="Times New Roman" w:hAnsi="Times New Roman" w:cs="Times New Roman"/>
          <w:sz w:val="22"/>
        </w:rPr>
        <w:t>výši Bonusu</w:t>
      </w:r>
      <w:r w:rsidR="00360CB3" w:rsidRPr="00876FB1">
        <w:rPr>
          <w:rFonts w:ascii="Times New Roman" w:hAnsi="Times New Roman" w:cs="Times New Roman"/>
          <w:sz w:val="22"/>
        </w:rPr>
        <w:t>.</w:t>
      </w:r>
      <w:r w:rsidR="00531ECE" w:rsidRPr="00876FB1">
        <w:rPr>
          <w:rFonts w:ascii="Times New Roman" w:hAnsi="Times New Roman" w:cs="Times New Roman"/>
          <w:sz w:val="22"/>
        </w:rPr>
        <w:t xml:space="preserve"> </w:t>
      </w:r>
      <w:r w:rsidR="00D91178" w:rsidRPr="00876FB1">
        <w:rPr>
          <w:rFonts w:ascii="Times New Roman" w:hAnsi="Times New Roman" w:cs="Times New Roman"/>
          <w:sz w:val="22"/>
        </w:rPr>
        <w:t xml:space="preserve">S ohledem na tuto skutečnost Společnost uvedená data </w:t>
      </w:r>
      <w:r w:rsidR="00050DF9" w:rsidRPr="00876FB1">
        <w:rPr>
          <w:rFonts w:ascii="Times New Roman" w:hAnsi="Times New Roman" w:cs="Times New Roman"/>
          <w:sz w:val="22"/>
        </w:rPr>
        <w:t>prohlašuje za data vyloučená z uveřejně</w:t>
      </w:r>
      <w:r w:rsidR="00D01F89" w:rsidRPr="00876FB1">
        <w:rPr>
          <w:rFonts w:ascii="Times New Roman" w:hAnsi="Times New Roman" w:cs="Times New Roman"/>
          <w:sz w:val="22"/>
        </w:rPr>
        <w:t>ní podle ustanovení § 3 odst. 1</w:t>
      </w:r>
      <w:r w:rsidR="00050DF9" w:rsidRPr="00876FB1">
        <w:rPr>
          <w:rFonts w:ascii="Times New Roman" w:hAnsi="Times New Roman" w:cs="Times New Roman"/>
          <w:sz w:val="22"/>
        </w:rPr>
        <w:t xml:space="preserve"> a odst. 2 zákona č. 340/2015 Sb., o registru smluv (dále jen „zákon o</w:t>
      </w:r>
      <w:r w:rsidR="00F358B5" w:rsidRPr="00876FB1">
        <w:rPr>
          <w:rFonts w:ascii="Times New Roman" w:hAnsi="Times New Roman" w:cs="Times New Roman"/>
          <w:sz w:val="22"/>
        </w:rPr>
        <w:t xml:space="preserve"> </w:t>
      </w:r>
      <w:r w:rsidR="00050DF9" w:rsidRPr="00876FB1">
        <w:rPr>
          <w:rFonts w:ascii="Times New Roman" w:hAnsi="Times New Roman" w:cs="Times New Roman"/>
          <w:sz w:val="22"/>
        </w:rPr>
        <w:t>RS")</w:t>
      </w:r>
      <w:r w:rsidR="00DB6265" w:rsidRPr="00876FB1">
        <w:rPr>
          <w:rFonts w:ascii="Times New Roman" w:hAnsi="Times New Roman" w:cs="Times New Roman"/>
          <w:sz w:val="22"/>
        </w:rPr>
        <w:t xml:space="preserve">. Smluvní strany </w:t>
      </w:r>
      <w:r w:rsidR="00D01F89" w:rsidRPr="00876FB1">
        <w:rPr>
          <w:rFonts w:ascii="Times New Roman" w:hAnsi="Times New Roman" w:cs="Times New Roman"/>
          <w:sz w:val="22"/>
        </w:rPr>
        <w:t xml:space="preserve">však </w:t>
      </w:r>
      <w:r w:rsidR="00DB6265" w:rsidRPr="00876FB1">
        <w:rPr>
          <w:rFonts w:ascii="Times New Roman" w:hAnsi="Times New Roman" w:cs="Times New Roman"/>
          <w:sz w:val="22"/>
        </w:rPr>
        <w:t xml:space="preserve">berou na vědomí, že výše neadresného Bonusu bude </w:t>
      </w:r>
      <w:r w:rsidR="00C465B1" w:rsidRPr="00876FB1">
        <w:rPr>
          <w:rFonts w:ascii="Times New Roman" w:hAnsi="Times New Roman" w:cs="Times New Roman"/>
          <w:sz w:val="22"/>
        </w:rPr>
        <w:t xml:space="preserve">Odběratelem </w:t>
      </w:r>
      <w:r w:rsidR="00DB6265" w:rsidRPr="00876FB1">
        <w:rPr>
          <w:rFonts w:ascii="Times New Roman" w:hAnsi="Times New Roman" w:cs="Times New Roman"/>
          <w:sz w:val="22"/>
        </w:rPr>
        <w:t>automaticky poskytnuta zřizovateli Odběratele bez ohledu na to, zda bude Společností označena za obchodní tajemství.</w:t>
      </w:r>
    </w:p>
    <w:p w:rsidR="00957FC4" w:rsidRPr="00876FB1" w:rsidRDefault="00957FC4" w:rsidP="00876FB1">
      <w:pPr>
        <w:pStyle w:val="Bezmezer"/>
        <w:rPr>
          <w:rFonts w:ascii="Times New Roman" w:hAnsi="Times New Roman" w:cs="Times New Roman"/>
          <w:sz w:val="22"/>
        </w:rPr>
      </w:pPr>
    </w:p>
    <w:p w:rsidR="00661FA1" w:rsidRPr="00876FB1" w:rsidRDefault="0033090B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Je-li dána zákonná povinnost k uveřejnění </w:t>
      </w:r>
      <w:r w:rsidR="00372B6D" w:rsidRPr="00876FB1">
        <w:rPr>
          <w:rFonts w:ascii="Times New Roman" w:hAnsi="Times New Roman" w:cs="Times New Roman"/>
          <w:sz w:val="22"/>
        </w:rPr>
        <w:t xml:space="preserve">smlouvy </w:t>
      </w:r>
      <w:r w:rsidR="00306C65" w:rsidRPr="00876FB1">
        <w:rPr>
          <w:rFonts w:ascii="Times New Roman" w:hAnsi="Times New Roman" w:cs="Times New Roman"/>
          <w:sz w:val="22"/>
        </w:rPr>
        <w:t>či následujících</w:t>
      </w:r>
      <w:r w:rsidR="007B491D" w:rsidRPr="00876FB1">
        <w:rPr>
          <w:rFonts w:ascii="Times New Roman" w:hAnsi="Times New Roman" w:cs="Times New Roman"/>
          <w:sz w:val="22"/>
        </w:rPr>
        <w:t xml:space="preserve"> dodatků </w:t>
      </w:r>
      <w:r w:rsidR="00372B6D" w:rsidRPr="00876FB1">
        <w:rPr>
          <w:rFonts w:ascii="Times New Roman" w:hAnsi="Times New Roman" w:cs="Times New Roman"/>
          <w:sz w:val="22"/>
        </w:rPr>
        <w:t>v r</w:t>
      </w:r>
      <w:r w:rsidRPr="00876FB1">
        <w:rPr>
          <w:rFonts w:ascii="Times New Roman" w:hAnsi="Times New Roman" w:cs="Times New Roman"/>
          <w:sz w:val="22"/>
        </w:rPr>
        <w:t>egistru smluv dle zákona</w:t>
      </w:r>
      <w:r w:rsidR="00050DF9" w:rsidRPr="00876FB1">
        <w:rPr>
          <w:rFonts w:ascii="Times New Roman" w:hAnsi="Times New Roman" w:cs="Times New Roman"/>
          <w:sz w:val="22"/>
        </w:rPr>
        <w:t xml:space="preserve"> o RS</w:t>
      </w:r>
      <w:r w:rsidR="00C02ACA" w:rsidRPr="00876FB1">
        <w:rPr>
          <w:rFonts w:ascii="Times New Roman" w:hAnsi="Times New Roman" w:cs="Times New Roman"/>
          <w:sz w:val="22"/>
        </w:rPr>
        <w:t>, dohodly</w:t>
      </w:r>
      <w:r w:rsidRPr="00876FB1">
        <w:rPr>
          <w:rFonts w:ascii="Times New Roman" w:hAnsi="Times New Roman" w:cs="Times New Roman"/>
          <w:sz w:val="22"/>
        </w:rPr>
        <w:t xml:space="preserve"> se smluvní strany, že takovou povinnost splní</w:t>
      </w:r>
      <w:r w:rsidR="00CF3241" w:rsidRPr="00876FB1">
        <w:rPr>
          <w:rFonts w:ascii="Times New Roman" w:hAnsi="Times New Roman" w:cs="Times New Roman"/>
          <w:sz w:val="22"/>
        </w:rPr>
        <w:t xml:space="preserve"> </w:t>
      </w:r>
      <w:r w:rsidR="003C2BF9" w:rsidRPr="00876FB1">
        <w:rPr>
          <w:rFonts w:ascii="Times New Roman" w:hAnsi="Times New Roman" w:cs="Times New Roman"/>
          <w:sz w:val="22"/>
        </w:rPr>
        <w:t>Odběratel</w:t>
      </w:r>
      <w:r w:rsidR="005C2744" w:rsidRPr="00876FB1">
        <w:rPr>
          <w:rFonts w:ascii="Times New Roman" w:hAnsi="Times New Roman" w:cs="Times New Roman"/>
          <w:sz w:val="22"/>
        </w:rPr>
        <w:t xml:space="preserve"> </w:t>
      </w:r>
      <w:r w:rsidR="00E82831" w:rsidRPr="00876FB1">
        <w:rPr>
          <w:rFonts w:ascii="Times New Roman" w:hAnsi="Times New Roman" w:cs="Times New Roman"/>
          <w:sz w:val="22"/>
        </w:rPr>
        <w:t>v souladu s ustanovením §</w:t>
      </w:r>
      <w:r w:rsidR="00EB28E5" w:rsidRPr="00876FB1">
        <w:rPr>
          <w:rFonts w:ascii="Times New Roman" w:hAnsi="Times New Roman" w:cs="Times New Roman"/>
          <w:sz w:val="22"/>
        </w:rPr>
        <w:t xml:space="preserve"> </w:t>
      </w:r>
      <w:r w:rsidR="00E82831" w:rsidRPr="00876FB1">
        <w:rPr>
          <w:rFonts w:ascii="Times New Roman" w:hAnsi="Times New Roman" w:cs="Times New Roman"/>
          <w:sz w:val="22"/>
        </w:rPr>
        <w:t xml:space="preserve">5 odst. 2 zákona o </w:t>
      </w:r>
      <w:r w:rsidR="003515C7" w:rsidRPr="00876FB1">
        <w:rPr>
          <w:rFonts w:ascii="Times New Roman" w:hAnsi="Times New Roman" w:cs="Times New Roman"/>
          <w:sz w:val="22"/>
        </w:rPr>
        <w:t>RS</w:t>
      </w:r>
      <w:r w:rsidR="00D91178" w:rsidRPr="00876FB1">
        <w:rPr>
          <w:rFonts w:ascii="Times New Roman" w:hAnsi="Times New Roman" w:cs="Times New Roman"/>
          <w:sz w:val="22"/>
        </w:rPr>
        <w:t>, a to po anonymizaci údajů, které nepodléhají zveřejnění</w:t>
      </w:r>
      <w:r w:rsidR="001458EA" w:rsidRPr="00876FB1">
        <w:rPr>
          <w:rFonts w:ascii="Times New Roman" w:hAnsi="Times New Roman" w:cs="Times New Roman"/>
          <w:sz w:val="22"/>
        </w:rPr>
        <w:t>.</w:t>
      </w:r>
      <w:r w:rsidR="00D91178" w:rsidRPr="00876FB1">
        <w:rPr>
          <w:rFonts w:ascii="Times New Roman" w:hAnsi="Times New Roman" w:cs="Times New Roman"/>
          <w:sz w:val="22"/>
        </w:rPr>
        <w:t xml:space="preserve"> Za tímto účelem</w:t>
      </w:r>
      <w:r w:rsidR="00BD1F3A" w:rsidRPr="00876FB1">
        <w:rPr>
          <w:rFonts w:ascii="Times New Roman" w:hAnsi="Times New Roman" w:cs="Times New Roman"/>
          <w:sz w:val="22"/>
        </w:rPr>
        <w:t xml:space="preserve"> </w:t>
      </w:r>
      <w:r w:rsidR="00D91178" w:rsidRPr="00876FB1">
        <w:rPr>
          <w:rFonts w:ascii="Times New Roman" w:hAnsi="Times New Roman" w:cs="Times New Roman"/>
          <w:sz w:val="22"/>
        </w:rPr>
        <w:t>Společnost</w:t>
      </w:r>
      <w:r w:rsidR="00747FB5" w:rsidRPr="00876FB1">
        <w:rPr>
          <w:rFonts w:ascii="Times New Roman" w:hAnsi="Times New Roman" w:cs="Times New Roman"/>
          <w:sz w:val="22"/>
        </w:rPr>
        <w:t xml:space="preserve"> </w:t>
      </w:r>
      <w:r w:rsidR="00D91178" w:rsidRPr="00876FB1">
        <w:rPr>
          <w:rFonts w:ascii="Times New Roman" w:hAnsi="Times New Roman" w:cs="Times New Roman"/>
          <w:sz w:val="22"/>
        </w:rPr>
        <w:t>před uzavřením této smlouvy</w:t>
      </w:r>
      <w:r w:rsidR="007B491D" w:rsidRPr="00876FB1">
        <w:rPr>
          <w:rFonts w:ascii="Times New Roman" w:hAnsi="Times New Roman" w:cs="Times New Roman"/>
          <w:sz w:val="22"/>
        </w:rPr>
        <w:t xml:space="preserve"> či dodatku </w:t>
      </w:r>
      <w:r w:rsidR="00D91178" w:rsidRPr="00876FB1">
        <w:rPr>
          <w:rFonts w:ascii="Times New Roman" w:hAnsi="Times New Roman" w:cs="Times New Roman"/>
          <w:sz w:val="22"/>
        </w:rPr>
        <w:t>zpracuje redigovanou verzi smlouvy</w:t>
      </w:r>
      <w:r w:rsidR="007B491D" w:rsidRPr="00876FB1">
        <w:rPr>
          <w:rFonts w:ascii="Times New Roman" w:hAnsi="Times New Roman" w:cs="Times New Roman"/>
          <w:sz w:val="22"/>
        </w:rPr>
        <w:t xml:space="preserve"> či dodatku</w:t>
      </w:r>
      <w:r w:rsidR="00D91178" w:rsidRPr="00876FB1">
        <w:rPr>
          <w:rFonts w:ascii="Times New Roman" w:hAnsi="Times New Roman" w:cs="Times New Roman"/>
          <w:sz w:val="22"/>
        </w:rPr>
        <w:t xml:space="preserve"> s vyloučením dat </w:t>
      </w:r>
      <w:r w:rsidR="003552F4" w:rsidRPr="00876FB1">
        <w:rPr>
          <w:rFonts w:ascii="Times New Roman" w:hAnsi="Times New Roman" w:cs="Times New Roman"/>
          <w:sz w:val="22"/>
        </w:rPr>
        <w:t>z</w:t>
      </w:r>
      <w:r w:rsidR="00420826" w:rsidRPr="00876FB1">
        <w:rPr>
          <w:rFonts w:ascii="Times New Roman" w:hAnsi="Times New Roman" w:cs="Times New Roman"/>
          <w:sz w:val="22"/>
        </w:rPr>
        <w:t xml:space="preserve"> </w:t>
      </w:r>
      <w:r w:rsidR="003552F4" w:rsidRPr="00876FB1">
        <w:rPr>
          <w:rFonts w:ascii="Times New Roman" w:hAnsi="Times New Roman" w:cs="Times New Roman"/>
          <w:sz w:val="22"/>
        </w:rPr>
        <w:t>u</w:t>
      </w:r>
      <w:r w:rsidR="00D91178" w:rsidRPr="00876FB1">
        <w:rPr>
          <w:rFonts w:ascii="Times New Roman" w:hAnsi="Times New Roman" w:cs="Times New Roman"/>
          <w:sz w:val="22"/>
        </w:rPr>
        <w:t>veřejnění</w:t>
      </w:r>
      <w:r w:rsidR="00050DF9" w:rsidRPr="00876FB1">
        <w:rPr>
          <w:rFonts w:ascii="Times New Roman" w:hAnsi="Times New Roman" w:cs="Times New Roman"/>
          <w:sz w:val="22"/>
        </w:rPr>
        <w:t xml:space="preserve"> </w:t>
      </w:r>
      <w:r w:rsidR="00050DF9" w:rsidRPr="00876FB1">
        <w:rPr>
          <w:rFonts w:ascii="Times New Roman" w:hAnsi="Times New Roman" w:cs="Times New Roman"/>
          <w:sz w:val="22"/>
        </w:rPr>
        <w:lastRenderedPageBreak/>
        <w:t xml:space="preserve">(tj. zejména </w:t>
      </w:r>
      <w:r w:rsidR="007A1AE0" w:rsidRPr="00876FB1">
        <w:rPr>
          <w:rFonts w:ascii="Times New Roman" w:hAnsi="Times New Roman" w:cs="Times New Roman"/>
          <w:sz w:val="22"/>
        </w:rPr>
        <w:t>P</w:t>
      </w:r>
      <w:r w:rsidR="00050DF9" w:rsidRPr="00876FB1">
        <w:rPr>
          <w:rFonts w:ascii="Times New Roman" w:hAnsi="Times New Roman" w:cs="Times New Roman"/>
          <w:sz w:val="22"/>
        </w:rPr>
        <w:t>říloh</w:t>
      </w:r>
      <w:r w:rsidR="00C465B1" w:rsidRPr="00876FB1">
        <w:rPr>
          <w:rFonts w:ascii="Times New Roman" w:hAnsi="Times New Roman" w:cs="Times New Roman"/>
          <w:sz w:val="22"/>
        </w:rPr>
        <w:t>y</w:t>
      </w:r>
      <w:r w:rsidR="008A1414" w:rsidRPr="00876FB1">
        <w:rPr>
          <w:rFonts w:ascii="Times New Roman" w:hAnsi="Times New Roman" w:cs="Times New Roman"/>
          <w:sz w:val="22"/>
        </w:rPr>
        <w:t xml:space="preserve"> č.</w:t>
      </w:r>
      <w:r w:rsidR="00C465B1" w:rsidRPr="00876FB1">
        <w:rPr>
          <w:rFonts w:ascii="Times New Roman" w:hAnsi="Times New Roman" w:cs="Times New Roman"/>
          <w:sz w:val="22"/>
        </w:rPr>
        <w:t xml:space="preserve"> 1</w:t>
      </w:r>
      <w:r w:rsidR="00D01F89" w:rsidRPr="00876FB1">
        <w:rPr>
          <w:rFonts w:ascii="Times New Roman" w:hAnsi="Times New Roman" w:cs="Times New Roman"/>
          <w:sz w:val="22"/>
        </w:rPr>
        <w:t xml:space="preserve"> a Přílohy č. 2</w:t>
      </w:r>
      <w:r w:rsidR="00050DF9" w:rsidRPr="00876FB1">
        <w:rPr>
          <w:rFonts w:ascii="Times New Roman" w:hAnsi="Times New Roman" w:cs="Times New Roman"/>
          <w:sz w:val="22"/>
        </w:rPr>
        <w:t xml:space="preserve"> obsahujících obchodní tajemství a osobních údajů fyzických osob nedostupných z veřejných evidencí)</w:t>
      </w:r>
      <w:r w:rsidR="00D91178" w:rsidRPr="00876FB1">
        <w:rPr>
          <w:rFonts w:ascii="Times New Roman" w:hAnsi="Times New Roman" w:cs="Times New Roman"/>
          <w:sz w:val="22"/>
        </w:rPr>
        <w:t xml:space="preserve"> a </w:t>
      </w:r>
      <w:r w:rsidR="00AA2F0A" w:rsidRPr="00876FB1">
        <w:rPr>
          <w:rFonts w:ascii="Times New Roman" w:hAnsi="Times New Roman" w:cs="Times New Roman"/>
          <w:sz w:val="22"/>
        </w:rPr>
        <w:t xml:space="preserve">zašle </w:t>
      </w:r>
      <w:r w:rsidR="003552F4" w:rsidRPr="00876FB1">
        <w:rPr>
          <w:rFonts w:ascii="Times New Roman" w:hAnsi="Times New Roman" w:cs="Times New Roman"/>
          <w:sz w:val="22"/>
        </w:rPr>
        <w:t>ji Odběrateli</w:t>
      </w:r>
      <w:r w:rsidR="00D91178" w:rsidRPr="00876FB1">
        <w:rPr>
          <w:rFonts w:ascii="Times New Roman" w:hAnsi="Times New Roman" w:cs="Times New Roman"/>
          <w:sz w:val="22"/>
        </w:rPr>
        <w:t xml:space="preserve"> pro účely </w:t>
      </w:r>
      <w:r w:rsidR="00050DF9" w:rsidRPr="00876FB1">
        <w:rPr>
          <w:rFonts w:ascii="Times New Roman" w:hAnsi="Times New Roman" w:cs="Times New Roman"/>
          <w:sz w:val="22"/>
        </w:rPr>
        <w:t>u</w:t>
      </w:r>
      <w:r w:rsidR="00D91178" w:rsidRPr="00876FB1">
        <w:rPr>
          <w:rFonts w:ascii="Times New Roman" w:hAnsi="Times New Roman" w:cs="Times New Roman"/>
          <w:sz w:val="22"/>
        </w:rPr>
        <w:t>veřejnění v registru smluv ve strojově čitelném formátu na e-mail</w:t>
      </w:r>
      <w:r w:rsidR="00687966" w:rsidRPr="00876FB1">
        <w:rPr>
          <w:rFonts w:ascii="Times New Roman" w:hAnsi="Times New Roman" w:cs="Times New Roman"/>
          <w:sz w:val="22"/>
        </w:rPr>
        <w:t xml:space="preserve"> </w:t>
      </w:r>
      <w:hyperlink r:id="rId9" w:history="1">
        <w:r w:rsidR="00D04117" w:rsidRPr="00876FB1">
          <w:rPr>
            <w:rStyle w:val="Hypertextovodkaz"/>
            <w:rFonts w:ascii="Times New Roman" w:hAnsi="Times New Roman" w:cs="Times New Roman"/>
            <w:b/>
            <w:sz w:val="22"/>
          </w:rPr>
          <w:t>kompenzace@fnol.cz</w:t>
        </w:r>
      </w:hyperlink>
      <w:r w:rsidR="00D04117" w:rsidRPr="00876FB1">
        <w:rPr>
          <w:rStyle w:val="Hypertextovodkaz"/>
          <w:rFonts w:ascii="Times New Roman" w:hAnsi="Times New Roman" w:cs="Times New Roman"/>
          <w:b/>
          <w:sz w:val="22"/>
        </w:rPr>
        <w:t>.</w:t>
      </w:r>
    </w:p>
    <w:p w:rsidR="005B47BC" w:rsidRPr="00876FB1" w:rsidRDefault="005B47BC" w:rsidP="00876FB1">
      <w:pPr>
        <w:pStyle w:val="Bezmezer"/>
        <w:rPr>
          <w:rFonts w:ascii="Times New Roman" w:hAnsi="Times New Roman" w:cs="Times New Roman"/>
          <w:sz w:val="22"/>
        </w:rPr>
      </w:pPr>
    </w:p>
    <w:p w:rsidR="00306C65" w:rsidRPr="00876FB1" w:rsidRDefault="00306C65" w:rsidP="00876FB1">
      <w:pPr>
        <w:pStyle w:val="Bezmezer"/>
        <w:rPr>
          <w:rFonts w:ascii="Times New Roman" w:eastAsia="Arial" w:hAnsi="Times New Roman" w:cs="Times New Roman"/>
          <w:sz w:val="22"/>
          <w:shd w:val="clear" w:color="auto" w:fill="ADCDEA"/>
        </w:rPr>
      </w:pPr>
      <w:r w:rsidRPr="00876FB1">
        <w:rPr>
          <w:rFonts w:ascii="Times New Roman" w:hAnsi="Times New Roman" w:cs="Times New Roman"/>
          <w:sz w:val="22"/>
        </w:rPr>
        <w:t>V případě, že by byla smlouva shledána za neuveřejněnou prostřednictvím registru smluv, ať zcela nebo částečně, se Společnost tímto výslovně vůči Odběrateli vzdává veškerých případných</w:t>
      </w:r>
      <w:r w:rsidRPr="00876FB1">
        <w:rPr>
          <w:rStyle w:val="slostrnky"/>
          <w:rFonts w:ascii="Times New Roman" w:hAnsi="Times New Roman" w:cs="Times New Roman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:rsidR="00111FF5" w:rsidRPr="00876FB1" w:rsidRDefault="00111FF5" w:rsidP="00876FB1">
      <w:pPr>
        <w:pStyle w:val="Bezmezer"/>
        <w:rPr>
          <w:rFonts w:ascii="Times New Roman" w:hAnsi="Times New Roman" w:cs="Times New Roman"/>
          <w:sz w:val="22"/>
        </w:rPr>
      </w:pPr>
    </w:p>
    <w:p w:rsidR="00F75EFA" w:rsidRPr="00F5176F" w:rsidRDefault="00012748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I</w:t>
      </w:r>
      <w:r w:rsidR="00F75EFA" w:rsidRPr="00F5176F">
        <w:rPr>
          <w:rFonts w:ascii="Times New Roman" w:hAnsi="Times New Roman" w:cs="Times New Roman"/>
          <w:b/>
          <w:sz w:val="22"/>
        </w:rPr>
        <w:t>V.</w:t>
      </w:r>
    </w:p>
    <w:p w:rsidR="00F75EFA" w:rsidRPr="00F5176F" w:rsidRDefault="008B53EE" w:rsidP="00F5176F">
      <w:pPr>
        <w:pStyle w:val="Bezmezer"/>
        <w:jc w:val="cent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Závěrečná ustanovení</w:t>
      </w:r>
    </w:p>
    <w:p w:rsidR="009F44DD" w:rsidRPr="00876FB1" w:rsidRDefault="009F44DD" w:rsidP="00876FB1">
      <w:pPr>
        <w:pStyle w:val="Bezmezer"/>
        <w:rPr>
          <w:rFonts w:ascii="Times New Roman" w:hAnsi="Times New Roman" w:cs="Times New Roman"/>
          <w:sz w:val="22"/>
        </w:rPr>
      </w:pPr>
    </w:p>
    <w:p w:rsidR="00430D1C" w:rsidRPr="00876FB1" w:rsidRDefault="00AA453A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Ve všech ostatních otázkách neupravených touto smlouvou, se právní vztah založený touto smlouvou řídí </w:t>
      </w:r>
      <w:r w:rsidR="007B491D" w:rsidRPr="00876FB1">
        <w:rPr>
          <w:rFonts w:ascii="Times New Roman" w:hAnsi="Times New Roman" w:cs="Times New Roman"/>
          <w:sz w:val="22"/>
        </w:rPr>
        <w:t>právními pře</w:t>
      </w:r>
      <w:r w:rsidR="00E37156" w:rsidRPr="00876FB1">
        <w:rPr>
          <w:rFonts w:ascii="Times New Roman" w:hAnsi="Times New Roman" w:cs="Times New Roman"/>
          <w:sz w:val="22"/>
        </w:rPr>
        <w:t>dpisy České republiky, zejména O</w:t>
      </w:r>
      <w:r w:rsidR="007B491D" w:rsidRPr="00876FB1">
        <w:rPr>
          <w:rFonts w:ascii="Times New Roman" w:hAnsi="Times New Roman" w:cs="Times New Roman"/>
          <w:sz w:val="22"/>
        </w:rPr>
        <w:t>bčanským zákoníkem.</w:t>
      </w:r>
    </w:p>
    <w:p w:rsidR="008A0A11" w:rsidRPr="00876FB1" w:rsidRDefault="008A0A11" w:rsidP="00876FB1">
      <w:pPr>
        <w:pStyle w:val="Bezmezer"/>
        <w:rPr>
          <w:rFonts w:ascii="Times New Roman" w:hAnsi="Times New Roman" w:cs="Times New Roman"/>
          <w:sz w:val="22"/>
        </w:rPr>
      </w:pPr>
    </w:p>
    <w:p w:rsidR="008A0A11" w:rsidRPr="00876FB1" w:rsidRDefault="008A0A11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Smlouva se uzavírá na dobu </w:t>
      </w:r>
      <w:r w:rsidR="00D01F89" w:rsidRPr="00876FB1">
        <w:rPr>
          <w:rFonts w:ascii="Times New Roman" w:hAnsi="Times New Roman" w:cs="Times New Roman"/>
          <w:sz w:val="22"/>
        </w:rPr>
        <w:t>neurčitou</w:t>
      </w:r>
      <w:r w:rsidR="00FE02DF" w:rsidRPr="00876FB1">
        <w:rPr>
          <w:rFonts w:ascii="Times New Roman" w:hAnsi="Times New Roman" w:cs="Times New Roman"/>
          <w:sz w:val="22"/>
        </w:rPr>
        <w:t xml:space="preserve"> a nabývá</w:t>
      </w:r>
      <w:r w:rsidRPr="00876FB1">
        <w:rPr>
          <w:rFonts w:ascii="Times New Roman" w:hAnsi="Times New Roman" w:cs="Times New Roman"/>
          <w:sz w:val="22"/>
        </w:rPr>
        <w:t xml:space="preserve"> účinnosti d</w:t>
      </w:r>
      <w:r w:rsidR="00AA143E" w:rsidRPr="00876FB1">
        <w:rPr>
          <w:rFonts w:ascii="Times New Roman" w:hAnsi="Times New Roman" w:cs="Times New Roman"/>
          <w:sz w:val="22"/>
        </w:rPr>
        <w:t>nem uveřejnění v registru smluv</w:t>
      </w:r>
      <w:r w:rsidR="00FE02DF" w:rsidRPr="00876FB1">
        <w:rPr>
          <w:rFonts w:ascii="Times New Roman" w:hAnsi="Times New Roman" w:cs="Times New Roman"/>
          <w:sz w:val="22"/>
        </w:rPr>
        <w:t>. S</w:t>
      </w:r>
      <w:r w:rsidRPr="00876FB1">
        <w:rPr>
          <w:rFonts w:ascii="Times New Roman" w:hAnsi="Times New Roman" w:cs="Times New Roman"/>
          <w:sz w:val="22"/>
        </w:rPr>
        <w:t xml:space="preserve">mluvní strany </w:t>
      </w:r>
      <w:r w:rsidR="00FE02DF" w:rsidRPr="00876FB1">
        <w:rPr>
          <w:rFonts w:ascii="Times New Roman" w:hAnsi="Times New Roman" w:cs="Times New Roman"/>
          <w:sz w:val="22"/>
        </w:rPr>
        <w:t xml:space="preserve">se </w:t>
      </w:r>
      <w:r w:rsidRPr="00876FB1">
        <w:rPr>
          <w:rFonts w:ascii="Times New Roman" w:hAnsi="Times New Roman" w:cs="Times New Roman"/>
          <w:sz w:val="22"/>
        </w:rPr>
        <w:t>výslovně dohodly, že ujednání této smlouvy se použijí i na právní poměry vzniklé mezi smluvními stranami dle této smlouvy od</w:t>
      </w:r>
      <w:r w:rsidR="00D04117" w:rsidRPr="00876FB1">
        <w:rPr>
          <w:rFonts w:ascii="Times New Roman" w:hAnsi="Times New Roman" w:cs="Times New Roman"/>
          <w:sz w:val="22"/>
        </w:rPr>
        <w:t xml:space="preserve"> 1. </w:t>
      </w:r>
      <w:r w:rsidR="002C13C2" w:rsidRPr="00876FB1">
        <w:rPr>
          <w:rFonts w:ascii="Times New Roman" w:hAnsi="Times New Roman" w:cs="Times New Roman"/>
          <w:sz w:val="22"/>
        </w:rPr>
        <w:t>7</w:t>
      </w:r>
      <w:r w:rsidR="00D04117" w:rsidRPr="00876FB1">
        <w:rPr>
          <w:rFonts w:ascii="Times New Roman" w:hAnsi="Times New Roman" w:cs="Times New Roman"/>
          <w:sz w:val="22"/>
        </w:rPr>
        <w:t>. 20</w:t>
      </w:r>
      <w:r w:rsidR="002C13C2" w:rsidRPr="00876FB1">
        <w:rPr>
          <w:rFonts w:ascii="Times New Roman" w:hAnsi="Times New Roman" w:cs="Times New Roman"/>
          <w:sz w:val="22"/>
        </w:rPr>
        <w:t>20</w:t>
      </w:r>
      <w:r w:rsidR="00D04117" w:rsidRPr="00876FB1">
        <w:rPr>
          <w:rFonts w:ascii="Times New Roman" w:hAnsi="Times New Roman" w:cs="Times New Roman"/>
          <w:sz w:val="22"/>
        </w:rPr>
        <w:t xml:space="preserve"> </w:t>
      </w:r>
      <w:r w:rsidRPr="00876FB1">
        <w:rPr>
          <w:rFonts w:ascii="Times New Roman" w:hAnsi="Times New Roman" w:cs="Times New Roman"/>
          <w:sz w:val="22"/>
        </w:rPr>
        <w:t xml:space="preserve">do okamžiku nabytí účinnosti této smlouvy dle registru smluv. </w:t>
      </w:r>
    </w:p>
    <w:p w:rsidR="00C25038" w:rsidRPr="00876FB1" w:rsidRDefault="00C25038" w:rsidP="00876FB1">
      <w:pPr>
        <w:pStyle w:val="Bezmezer"/>
        <w:rPr>
          <w:rFonts w:ascii="Times New Roman" w:hAnsi="Times New Roman" w:cs="Times New Roman"/>
          <w:sz w:val="22"/>
        </w:rPr>
      </w:pPr>
    </w:p>
    <w:p w:rsidR="008A0A11" w:rsidRPr="00876FB1" w:rsidRDefault="00572F11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Každá ze smluvních stran je oprávněna tuto smlouvu vypovědět písemnou výpovědí i bez uvedení důvodu </w:t>
      </w:r>
      <w:r w:rsidR="00994493" w:rsidRPr="00876FB1">
        <w:rPr>
          <w:rFonts w:ascii="Times New Roman" w:hAnsi="Times New Roman" w:cs="Times New Roman"/>
          <w:sz w:val="22"/>
        </w:rPr>
        <w:t xml:space="preserve">a </w:t>
      </w:r>
      <w:r w:rsidRPr="00876FB1">
        <w:rPr>
          <w:rFonts w:ascii="Times New Roman" w:hAnsi="Times New Roman" w:cs="Times New Roman"/>
          <w:sz w:val="22"/>
        </w:rPr>
        <w:t xml:space="preserve">doručenou druhé smluvní straně. Výpovědní </w:t>
      </w:r>
      <w:r w:rsidR="007B491D" w:rsidRPr="00876FB1">
        <w:rPr>
          <w:rFonts w:ascii="Times New Roman" w:hAnsi="Times New Roman" w:cs="Times New Roman"/>
          <w:sz w:val="22"/>
        </w:rPr>
        <w:t xml:space="preserve">doba </w:t>
      </w:r>
      <w:r w:rsidR="00F4549F" w:rsidRPr="00876FB1">
        <w:rPr>
          <w:rFonts w:ascii="Times New Roman" w:hAnsi="Times New Roman" w:cs="Times New Roman"/>
          <w:sz w:val="22"/>
        </w:rPr>
        <w:t>činí 1</w:t>
      </w:r>
      <w:r w:rsidR="009E1378" w:rsidRPr="00876FB1">
        <w:rPr>
          <w:rFonts w:ascii="Times New Roman" w:hAnsi="Times New Roman" w:cs="Times New Roman"/>
          <w:sz w:val="22"/>
        </w:rPr>
        <w:t xml:space="preserve"> měsíc</w:t>
      </w:r>
      <w:r w:rsidRPr="00876FB1">
        <w:rPr>
          <w:rFonts w:ascii="Times New Roman" w:hAnsi="Times New Roman" w:cs="Times New Roman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876FB1">
        <w:rPr>
          <w:rFonts w:ascii="Times New Roman" w:hAnsi="Times New Roman" w:cs="Times New Roman"/>
          <w:sz w:val="22"/>
        </w:rPr>
        <w:t xml:space="preserve">. </w:t>
      </w:r>
    </w:p>
    <w:p w:rsidR="00FD5719" w:rsidRPr="00876FB1" w:rsidRDefault="00FD5719" w:rsidP="00876FB1">
      <w:pPr>
        <w:pStyle w:val="Bezmezer"/>
        <w:rPr>
          <w:rFonts w:ascii="Times New Roman" w:hAnsi="Times New Roman" w:cs="Times New Roman"/>
          <w:sz w:val="22"/>
        </w:rPr>
      </w:pPr>
    </w:p>
    <w:p w:rsidR="003667A2" w:rsidRPr="00876FB1" w:rsidRDefault="000A73C0" w:rsidP="00F5176F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Změny a doplňky této smlouvy mohou být činěny pouze formou číslovaných písemných dodatků, podepsaných smluvními stranami.</w:t>
      </w:r>
    </w:p>
    <w:p w:rsidR="003667A2" w:rsidRPr="00876FB1" w:rsidRDefault="003667A2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Tuto smlouvu nelze dále postupovat, jakož ani pohledávky z ní vyplývající.</w:t>
      </w:r>
    </w:p>
    <w:p w:rsidR="003667A2" w:rsidRPr="00876FB1" w:rsidRDefault="003667A2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Pr="00876FB1" w:rsidRDefault="003667A2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6.   </w:t>
      </w:r>
      <w:r w:rsidR="000A73C0" w:rsidRPr="00876FB1">
        <w:rPr>
          <w:rFonts w:ascii="Times New Roman" w:hAnsi="Times New Roman" w:cs="Times New Roman"/>
          <w:sz w:val="22"/>
        </w:rPr>
        <w:t>Smlouva je vyhotovena ve dvou stejnopisech, přičemž každá ze smluvních stran obdrží po jednom</w:t>
      </w:r>
      <w:r w:rsidR="007465A7" w:rsidRPr="00876FB1">
        <w:rPr>
          <w:rFonts w:ascii="Times New Roman" w:hAnsi="Times New Roman" w:cs="Times New Roman"/>
          <w:sz w:val="22"/>
        </w:rPr>
        <w:t xml:space="preserve"> z nich</w:t>
      </w:r>
      <w:r w:rsidR="000A73C0" w:rsidRPr="00876FB1">
        <w:rPr>
          <w:rFonts w:ascii="Times New Roman" w:hAnsi="Times New Roman" w:cs="Times New Roman"/>
          <w:sz w:val="22"/>
        </w:rPr>
        <w:t>.</w:t>
      </w:r>
    </w:p>
    <w:p w:rsidR="00FB6104" w:rsidRPr="00876FB1" w:rsidRDefault="00FB6104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B6104" w:rsidRPr="00876FB1" w:rsidRDefault="00FB6104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Nedílnou součást této smlouvy tvoří:</w:t>
      </w:r>
    </w:p>
    <w:p w:rsidR="00FB6104" w:rsidRPr="00876FB1" w:rsidRDefault="00FB6104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>Příloha č. 1 —</w:t>
      </w:r>
      <w:r w:rsidR="00605982" w:rsidRPr="00876FB1">
        <w:rPr>
          <w:rFonts w:ascii="Times New Roman" w:hAnsi="Times New Roman" w:cs="Times New Roman"/>
          <w:sz w:val="22"/>
        </w:rPr>
        <w:t>V</w:t>
      </w:r>
      <w:r w:rsidR="00E84138" w:rsidRPr="00876FB1">
        <w:rPr>
          <w:rFonts w:ascii="Times New Roman" w:hAnsi="Times New Roman" w:cs="Times New Roman"/>
          <w:sz w:val="22"/>
        </w:rPr>
        <w:t>ýpočet Bonusu</w:t>
      </w:r>
    </w:p>
    <w:p w:rsidR="00FB6104" w:rsidRPr="00876FB1" w:rsidRDefault="00FB6104" w:rsidP="00876FB1">
      <w:pPr>
        <w:pStyle w:val="Bezmezer"/>
        <w:rPr>
          <w:rFonts w:ascii="Times New Roman" w:hAnsi="Times New Roman" w:cs="Times New Roman"/>
          <w:sz w:val="22"/>
        </w:rPr>
      </w:pPr>
      <w:r w:rsidRPr="00876FB1">
        <w:rPr>
          <w:rFonts w:ascii="Times New Roman" w:hAnsi="Times New Roman" w:cs="Times New Roman"/>
          <w:sz w:val="22"/>
        </w:rPr>
        <w:t xml:space="preserve">Příloha č. 2 — Seznam </w:t>
      </w:r>
      <w:r w:rsidR="00094703" w:rsidRPr="00876FB1">
        <w:rPr>
          <w:rFonts w:ascii="Times New Roman" w:hAnsi="Times New Roman" w:cs="Times New Roman"/>
          <w:sz w:val="22"/>
        </w:rPr>
        <w:t>Zboží</w:t>
      </w:r>
    </w:p>
    <w:p w:rsidR="0061510E" w:rsidRPr="00876FB1" w:rsidRDefault="0061510E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Default="00F409B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Pr="00876FB1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409B1" w:rsidRDefault="0061510E" w:rsidP="00F5176F">
      <w:pPr>
        <w:pStyle w:val="Bezmezer"/>
        <w:rPr>
          <w:rFonts w:ascii="Times New Roman" w:eastAsia="Times New Roman" w:hAnsi="Times New Roman" w:cs="Times New Roman"/>
          <w:sz w:val="22"/>
        </w:rPr>
      </w:pPr>
      <w:r w:rsidRPr="00876FB1">
        <w:rPr>
          <w:rFonts w:ascii="Times New Roman" w:eastAsia="Times New Roman" w:hAnsi="Times New Roman" w:cs="Times New Roman"/>
          <w:sz w:val="22"/>
        </w:rPr>
        <w:lastRenderedPageBreak/>
        <w:t xml:space="preserve">Za </w:t>
      </w:r>
      <w:r w:rsidR="000010B8" w:rsidRPr="00876FB1">
        <w:rPr>
          <w:rFonts w:ascii="Times New Roman" w:eastAsia="Times New Roman" w:hAnsi="Times New Roman" w:cs="Times New Roman"/>
          <w:sz w:val="22"/>
        </w:rPr>
        <w:t>Dodavatele</w:t>
      </w:r>
      <w:r w:rsidRPr="00876FB1">
        <w:rPr>
          <w:rFonts w:ascii="Times New Roman" w:eastAsia="Times New Roman" w:hAnsi="Times New Roman" w:cs="Times New Roman"/>
          <w:sz w:val="22"/>
        </w:rPr>
        <w:t xml:space="preserve">: </w:t>
      </w:r>
      <w:r w:rsidRPr="00876FB1">
        <w:rPr>
          <w:rFonts w:ascii="Times New Roman" w:eastAsia="Times New Roman" w:hAnsi="Times New Roman" w:cs="Times New Roman"/>
          <w:sz w:val="22"/>
        </w:rPr>
        <w:tab/>
      </w:r>
      <w:r w:rsidRPr="00876FB1">
        <w:rPr>
          <w:rFonts w:ascii="Times New Roman" w:eastAsia="Times New Roman" w:hAnsi="Times New Roman" w:cs="Times New Roman"/>
          <w:sz w:val="22"/>
        </w:rPr>
        <w:tab/>
      </w:r>
      <w:r w:rsidRPr="00876FB1">
        <w:rPr>
          <w:rFonts w:ascii="Times New Roman" w:eastAsia="Times New Roman" w:hAnsi="Times New Roman" w:cs="Times New Roman"/>
          <w:sz w:val="22"/>
        </w:rPr>
        <w:tab/>
      </w:r>
      <w:r w:rsidRPr="00876FB1">
        <w:rPr>
          <w:rFonts w:ascii="Times New Roman" w:eastAsia="Times New Roman" w:hAnsi="Times New Roman" w:cs="Times New Roman"/>
          <w:sz w:val="22"/>
        </w:rPr>
        <w:tab/>
      </w:r>
      <w:r w:rsidRPr="00876FB1">
        <w:rPr>
          <w:rFonts w:ascii="Times New Roman" w:eastAsia="Times New Roman" w:hAnsi="Times New Roman" w:cs="Times New Roman"/>
          <w:sz w:val="22"/>
        </w:rPr>
        <w:tab/>
        <w:t xml:space="preserve">Za Odběratele: </w:t>
      </w:r>
      <w:r w:rsidR="000A73C0" w:rsidRPr="00876FB1">
        <w:rPr>
          <w:rFonts w:ascii="Times New Roman" w:eastAsia="Times New Roman" w:hAnsi="Times New Roman" w:cs="Times New Roman"/>
          <w:sz w:val="22"/>
        </w:rPr>
        <w:tab/>
      </w:r>
    </w:p>
    <w:p w:rsidR="00F5176F" w:rsidRPr="00876FB1" w:rsidRDefault="00F5176F" w:rsidP="00F5176F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61510E" w:rsidRPr="00876FB1" w:rsidRDefault="0061510E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61510E" w:rsidRPr="00876FB1" w:rsidRDefault="0061510E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  <w:r w:rsidRPr="00876FB1">
        <w:rPr>
          <w:rFonts w:ascii="Times New Roman" w:eastAsia="Times New Roman" w:hAnsi="Times New Roman" w:cs="Times New Roman"/>
          <w:sz w:val="22"/>
        </w:rPr>
        <w:t>V</w:t>
      </w:r>
      <w:r w:rsidR="00F5176F">
        <w:rPr>
          <w:rFonts w:ascii="Times New Roman" w:eastAsia="Times New Roman" w:hAnsi="Times New Roman" w:cs="Times New Roman"/>
          <w:sz w:val="22"/>
        </w:rPr>
        <w:t> </w:t>
      </w:r>
      <w:r w:rsidR="000A3EDE" w:rsidRPr="00876FB1">
        <w:rPr>
          <w:rFonts w:ascii="Times New Roman" w:eastAsia="Times New Roman" w:hAnsi="Times New Roman" w:cs="Times New Roman"/>
          <w:sz w:val="22"/>
        </w:rPr>
        <w:t>Praze</w:t>
      </w:r>
      <w:r w:rsidR="00F5176F">
        <w:rPr>
          <w:rFonts w:ascii="Times New Roman" w:eastAsia="Times New Roman" w:hAnsi="Times New Roman" w:cs="Times New Roman"/>
          <w:sz w:val="22"/>
        </w:rPr>
        <w:t>,</w:t>
      </w:r>
      <w:r w:rsidR="000A3EDE" w:rsidRPr="00876FB1">
        <w:rPr>
          <w:rFonts w:ascii="Times New Roman" w:eastAsia="Times New Roman" w:hAnsi="Times New Roman" w:cs="Times New Roman"/>
          <w:sz w:val="22"/>
        </w:rPr>
        <w:t xml:space="preserve"> </w:t>
      </w:r>
      <w:r w:rsidR="007B491D" w:rsidRPr="00876FB1">
        <w:rPr>
          <w:rFonts w:ascii="Times New Roman" w:eastAsia="Times New Roman" w:hAnsi="Times New Roman" w:cs="Times New Roman"/>
          <w:sz w:val="22"/>
        </w:rPr>
        <w:t xml:space="preserve"> dne</w:t>
      </w:r>
      <w:r w:rsidR="00F5176F">
        <w:rPr>
          <w:rFonts w:ascii="Times New Roman" w:eastAsia="Times New Roman" w:hAnsi="Times New Roman" w:cs="Times New Roman"/>
          <w:sz w:val="22"/>
        </w:rPr>
        <w:t>:</w:t>
      </w:r>
      <w:r w:rsidR="007B491D" w:rsidRPr="00876FB1">
        <w:rPr>
          <w:rFonts w:ascii="Times New Roman" w:eastAsia="Times New Roman" w:hAnsi="Times New Roman" w:cs="Times New Roman"/>
          <w:sz w:val="22"/>
        </w:rPr>
        <w:t xml:space="preserve"> </w:t>
      </w:r>
      <w:r w:rsidR="007B491D" w:rsidRPr="00876FB1">
        <w:rPr>
          <w:rFonts w:ascii="Times New Roman" w:eastAsia="Times New Roman" w:hAnsi="Times New Roman" w:cs="Times New Roman"/>
          <w:sz w:val="22"/>
        </w:rPr>
        <w:tab/>
      </w:r>
      <w:r w:rsidR="007B491D" w:rsidRPr="00876FB1">
        <w:rPr>
          <w:rFonts w:ascii="Times New Roman" w:eastAsia="Times New Roman" w:hAnsi="Times New Roman" w:cs="Times New Roman"/>
          <w:sz w:val="22"/>
        </w:rPr>
        <w:tab/>
      </w:r>
      <w:r w:rsidR="007B491D" w:rsidRPr="00876FB1">
        <w:rPr>
          <w:rFonts w:ascii="Times New Roman" w:eastAsia="Times New Roman" w:hAnsi="Times New Roman" w:cs="Times New Roman"/>
          <w:sz w:val="22"/>
        </w:rPr>
        <w:tab/>
      </w:r>
      <w:r w:rsidR="007B491D" w:rsidRPr="00876FB1">
        <w:rPr>
          <w:rFonts w:ascii="Times New Roman" w:eastAsia="Times New Roman" w:hAnsi="Times New Roman" w:cs="Times New Roman"/>
          <w:sz w:val="22"/>
        </w:rPr>
        <w:tab/>
      </w:r>
      <w:r w:rsidR="008D5DBE" w:rsidRPr="00876FB1">
        <w:rPr>
          <w:rFonts w:ascii="Times New Roman" w:eastAsia="Times New Roman" w:hAnsi="Times New Roman" w:cs="Times New Roman"/>
          <w:sz w:val="22"/>
        </w:rPr>
        <w:t xml:space="preserve">            </w:t>
      </w:r>
      <w:r w:rsidR="00F5176F">
        <w:rPr>
          <w:rFonts w:ascii="Times New Roman" w:eastAsia="Times New Roman" w:hAnsi="Times New Roman" w:cs="Times New Roman"/>
          <w:sz w:val="22"/>
        </w:rPr>
        <w:t xml:space="preserve"> </w:t>
      </w:r>
      <w:r w:rsidR="007B491D" w:rsidRPr="00876FB1">
        <w:rPr>
          <w:rFonts w:ascii="Times New Roman" w:eastAsia="Times New Roman" w:hAnsi="Times New Roman" w:cs="Times New Roman"/>
          <w:sz w:val="22"/>
        </w:rPr>
        <w:t>V</w:t>
      </w:r>
      <w:r w:rsidR="00F5176F">
        <w:rPr>
          <w:rFonts w:ascii="Times New Roman" w:eastAsia="Times New Roman" w:hAnsi="Times New Roman" w:cs="Times New Roman"/>
          <w:sz w:val="22"/>
        </w:rPr>
        <w:t> </w:t>
      </w:r>
      <w:r w:rsidR="007B491D" w:rsidRPr="00876FB1">
        <w:rPr>
          <w:rFonts w:ascii="Times New Roman" w:eastAsia="Times New Roman" w:hAnsi="Times New Roman" w:cs="Times New Roman"/>
          <w:sz w:val="22"/>
        </w:rPr>
        <w:t>Olomouci</w:t>
      </w:r>
      <w:r w:rsidR="00F5176F">
        <w:rPr>
          <w:rFonts w:ascii="Times New Roman" w:eastAsia="Times New Roman" w:hAnsi="Times New Roman" w:cs="Times New Roman"/>
          <w:sz w:val="22"/>
        </w:rPr>
        <w:t>,</w:t>
      </w:r>
      <w:r w:rsidR="007B491D" w:rsidRPr="00876FB1">
        <w:rPr>
          <w:rFonts w:ascii="Times New Roman" w:eastAsia="Times New Roman" w:hAnsi="Times New Roman" w:cs="Times New Roman"/>
          <w:sz w:val="22"/>
        </w:rPr>
        <w:t xml:space="preserve"> dne</w:t>
      </w:r>
      <w:r w:rsidR="00F5176F">
        <w:rPr>
          <w:rFonts w:ascii="Times New Roman" w:eastAsia="Times New Roman" w:hAnsi="Times New Roman" w:cs="Times New Roman"/>
          <w:sz w:val="22"/>
        </w:rPr>
        <w:t>:</w:t>
      </w:r>
      <w:r w:rsidR="000A3EDE" w:rsidRPr="00876FB1">
        <w:rPr>
          <w:rFonts w:ascii="Times New Roman" w:eastAsia="Times New Roman" w:hAnsi="Times New Roman" w:cs="Times New Roman"/>
          <w:sz w:val="22"/>
        </w:rPr>
        <w:t xml:space="preserve"> </w:t>
      </w:r>
    </w:p>
    <w:p w:rsidR="0061510E" w:rsidRPr="00876FB1" w:rsidRDefault="0061510E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7B491D" w:rsidRPr="00876FB1" w:rsidRDefault="007B491D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7B491D" w:rsidRDefault="007B491D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F5176F" w:rsidRPr="00876FB1" w:rsidRDefault="00F5176F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7B491D" w:rsidRPr="00876FB1" w:rsidRDefault="007B491D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7B491D" w:rsidRPr="00876FB1" w:rsidRDefault="007B491D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p w:rsidR="00D763A6" w:rsidRPr="00876FB1" w:rsidRDefault="0061510E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  <w:r w:rsidRPr="00876FB1">
        <w:rPr>
          <w:rFonts w:ascii="Times New Roman" w:eastAsia="Times New Roman" w:hAnsi="Times New Roman" w:cs="Times New Roman"/>
          <w:sz w:val="22"/>
        </w:rPr>
        <w:t>__</w:t>
      </w:r>
      <w:r w:rsidR="00F5176F">
        <w:rPr>
          <w:rFonts w:ascii="Times New Roman" w:eastAsia="Times New Roman" w:hAnsi="Times New Roman" w:cs="Times New Roman"/>
          <w:sz w:val="22"/>
        </w:rPr>
        <w:t>_____________________________</w:t>
      </w:r>
      <w:r w:rsidR="00F5176F">
        <w:rPr>
          <w:rFonts w:ascii="Times New Roman" w:eastAsia="Times New Roman" w:hAnsi="Times New Roman" w:cs="Times New Roman"/>
          <w:sz w:val="22"/>
        </w:rPr>
        <w:tab/>
      </w:r>
      <w:r w:rsidR="00F5176F">
        <w:rPr>
          <w:rFonts w:ascii="Times New Roman" w:eastAsia="Times New Roman" w:hAnsi="Times New Roman" w:cs="Times New Roman"/>
          <w:sz w:val="22"/>
        </w:rPr>
        <w:tab/>
      </w:r>
      <w:r w:rsidRPr="00876FB1">
        <w:rPr>
          <w:rFonts w:ascii="Times New Roman" w:eastAsia="Times New Roman" w:hAnsi="Times New Roman" w:cs="Times New Roman"/>
          <w:sz w:val="22"/>
        </w:rPr>
        <w:t>______________________</w:t>
      </w:r>
      <w:r w:rsidR="00FF7ABA" w:rsidRPr="00876FB1">
        <w:rPr>
          <w:rFonts w:ascii="Times New Roman" w:eastAsia="Times New Roman" w:hAnsi="Times New Roman" w:cs="Times New Roman"/>
          <w:sz w:val="22"/>
        </w:rPr>
        <w:t>____</w:t>
      </w:r>
      <w:r w:rsidRPr="00876FB1">
        <w:rPr>
          <w:rFonts w:ascii="Times New Roman" w:eastAsia="Times New Roman" w:hAnsi="Times New Roman" w:cs="Times New Roman"/>
          <w:sz w:val="22"/>
        </w:rPr>
        <w:t>_______</w:t>
      </w:r>
    </w:p>
    <w:p w:rsidR="00F5176F" w:rsidRDefault="000A3EDE" w:rsidP="00F5176F">
      <w:pPr>
        <w:pStyle w:val="Bezmezer"/>
        <w:ind w:left="4963" w:hanging="4733"/>
        <w:rPr>
          <w:rFonts w:ascii="Times New Roman" w:eastAsia="Times New Roman" w:hAnsi="Times New Roman" w:cs="Times New Roman"/>
          <w:sz w:val="22"/>
        </w:rPr>
      </w:pPr>
      <w:r w:rsidRPr="00876FB1">
        <w:rPr>
          <w:rFonts w:ascii="Times New Roman" w:eastAsia="Times New Roman" w:hAnsi="Times New Roman" w:cs="Times New Roman"/>
          <w:sz w:val="22"/>
        </w:rPr>
        <w:t>Pavel Hanuš</w:t>
      </w:r>
      <w:r w:rsidR="008D5DBE" w:rsidRPr="00876FB1">
        <w:rPr>
          <w:rFonts w:ascii="Times New Roman" w:eastAsia="Times New Roman" w:hAnsi="Times New Roman" w:cs="Times New Roman"/>
          <w:sz w:val="22"/>
        </w:rPr>
        <w:t xml:space="preserve">, </w:t>
      </w:r>
      <w:r w:rsidR="00F5176F">
        <w:rPr>
          <w:rFonts w:ascii="Times New Roman" w:eastAsia="Times New Roman" w:hAnsi="Times New Roman" w:cs="Times New Roman"/>
          <w:sz w:val="22"/>
        </w:rPr>
        <w:tab/>
      </w:r>
      <w:r w:rsidR="00F5176F" w:rsidRPr="00876FB1">
        <w:rPr>
          <w:rFonts w:ascii="Times New Roman" w:eastAsia="Times New Roman" w:hAnsi="Times New Roman" w:cs="Times New Roman"/>
          <w:sz w:val="22"/>
        </w:rPr>
        <w:t>prof. MUDr. Roman Havlík, Ph.D.,</w:t>
      </w:r>
    </w:p>
    <w:p w:rsidR="00E61E3A" w:rsidRPr="00876FB1" w:rsidRDefault="008D5DBE" w:rsidP="00F5176F">
      <w:pPr>
        <w:pStyle w:val="Bezmezer"/>
        <w:ind w:left="4963" w:hanging="4733"/>
        <w:rPr>
          <w:rFonts w:ascii="Times New Roman" w:eastAsia="Times New Roman" w:hAnsi="Times New Roman" w:cs="Times New Roman"/>
          <w:sz w:val="22"/>
        </w:rPr>
      </w:pPr>
      <w:r w:rsidRPr="00876FB1">
        <w:rPr>
          <w:rFonts w:ascii="Times New Roman" w:eastAsia="Times New Roman" w:hAnsi="Times New Roman" w:cs="Times New Roman"/>
          <w:sz w:val="22"/>
        </w:rPr>
        <w:t>předseda představenstva</w:t>
      </w:r>
      <w:r w:rsidR="00F5176F">
        <w:rPr>
          <w:rFonts w:ascii="Times New Roman" w:eastAsia="Times New Roman" w:hAnsi="Times New Roman" w:cs="Times New Roman"/>
          <w:sz w:val="22"/>
        </w:rPr>
        <w:tab/>
      </w:r>
      <w:r w:rsidR="00260937" w:rsidRPr="00876FB1">
        <w:rPr>
          <w:rFonts w:ascii="Times New Roman" w:eastAsia="Times New Roman" w:hAnsi="Times New Roman" w:cs="Times New Roman"/>
          <w:sz w:val="22"/>
        </w:rPr>
        <w:t>ředite</w:t>
      </w:r>
      <w:r w:rsidR="007B491D" w:rsidRPr="00876FB1">
        <w:rPr>
          <w:rFonts w:ascii="Times New Roman" w:eastAsia="Times New Roman" w:hAnsi="Times New Roman" w:cs="Times New Roman"/>
          <w:sz w:val="22"/>
        </w:rPr>
        <w:t>l</w:t>
      </w: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876FB1">
      <w:pPr>
        <w:pStyle w:val="Bezmezer"/>
        <w:rPr>
          <w:rFonts w:ascii="Times New Roman" w:hAnsi="Times New Roman" w:cs="Times New Roman"/>
          <w:sz w:val="22"/>
        </w:rPr>
      </w:pPr>
    </w:p>
    <w:p w:rsidR="00F5176F" w:rsidRDefault="00F5176F" w:rsidP="00F5176F">
      <w:pPr>
        <w:pStyle w:val="Bezmezer"/>
        <w:ind w:left="0" w:firstLine="0"/>
        <w:rPr>
          <w:rFonts w:ascii="Times New Roman" w:hAnsi="Times New Roman" w:cs="Times New Roman"/>
          <w:sz w:val="22"/>
        </w:rPr>
      </w:pPr>
    </w:p>
    <w:p w:rsidR="00F5176F" w:rsidRPr="00F5176F" w:rsidRDefault="007B491D" w:rsidP="00F5176F">
      <w:pPr>
        <w:pStyle w:val="Bezmezer"/>
        <w:ind w:left="0" w:firstLine="0"/>
        <w:rPr>
          <w:rFonts w:ascii="Times New Roman" w:eastAsia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>P</w:t>
      </w:r>
      <w:r w:rsidR="00D763A6" w:rsidRPr="00F5176F">
        <w:rPr>
          <w:rFonts w:ascii="Times New Roman" w:hAnsi="Times New Roman" w:cs="Times New Roman"/>
          <w:b/>
          <w:sz w:val="22"/>
        </w:rPr>
        <w:t xml:space="preserve">říloha </w:t>
      </w:r>
      <w:r w:rsidR="00EA0F0D" w:rsidRPr="00F5176F">
        <w:rPr>
          <w:rFonts w:ascii="Times New Roman" w:hAnsi="Times New Roman" w:cs="Times New Roman"/>
          <w:b/>
          <w:sz w:val="22"/>
        </w:rPr>
        <w:t xml:space="preserve">č. 1 </w:t>
      </w:r>
      <w:r w:rsidR="00D763A6" w:rsidRPr="00F5176F">
        <w:rPr>
          <w:rFonts w:ascii="Times New Roman" w:hAnsi="Times New Roman" w:cs="Times New Roman"/>
          <w:b/>
          <w:sz w:val="22"/>
        </w:rPr>
        <w:t>ke smlouvě o poskytnutí obratového bonusu</w:t>
      </w:r>
    </w:p>
    <w:p w:rsidR="00D763A6" w:rsidRPr="00F5176F" w:rsidRDefault="00D763A6" w:rsidP="00F5176F">
      <w:pPr>
        <w:pStyle w:val="Bezmezer"/>
        <w:ind w:left="0" w:firstLine="0"/>
        <w:rPr>
          <w:rFonts w:ascii="Times New Roman" w:eastAsia="Times New Roman" w:hAnsi="Times New Roman" w:cs="Times New Roman"/>
          <w:b/>
          <w:sz w:val="22"/>
        </w:rPr>
      </w:pPr>
      <w:r w:rsidRPr="00F5176F">
        <w:rPr>
          <w:rFonts w:ascii="Times New Roman" w:eastAsia="Times New Roman" w:hAnsi="Times New Roman" w:cs="Times New Roman"/>
          <w:b/>
          <w:sz w:val="22"/>
        </w:rPr>
        <w:t>VÝPOČET BONUSU</w:t>
      </w:r>
    </w:p>
    <w:p w:rsidR="00970425" w:rsidRPr="00876FB1" w:rsidRDefault="00970425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tbl>
      <w:tblPr>
        <w:tblW w:w="18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753"/>
        <w:gridCol w:w="1067"/>
        <w:gridCol w:w="1222"/>
        <w:gridCol w:w="1222"/>
        <w:gridCol w:w="1222"/>
        <w:gridCol w:w="567"/>
        <w:gridCol w:w="882"/>
        <w:gridCol w:w="1719"/>
        <w:gridCol w:w="1258"/>
        <w:gridCol w:w="2768"/>
        <w:gridCol w:w="567"/>
      </w:tblGrid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Portfolio zboží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7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0238277</w:t>
            </w: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500IU INJ PSO LQF 1+1x2,5ML ISP+AD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0238278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1000IU INJ PSO LQF 1+1x2,5ML ISP+AD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0238279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2000IU INJ PSO LQF 1+1x2,5ML ISP+AD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0238280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3000IU INJ PSO LQF 1+1x2,5ML ISP+AD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0209200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250 IU INJ PSO LQF 1+1x2,5ML ISP 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0209202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500 IU INJ PSO LQF 1+1x2,5ML ISP 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0209204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1000 IU INJ PSO LQF 1+1x2,5ML ISP 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0209206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2000 IU INJ PSO LQF 1+1x5ML ISP 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8D5DBE" w:rsidRPr="00876FB1" w:rsidTr="00F5176F">
        <w:trPr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0209208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DBE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3000 IU INJ PSO LQF 1+1x5ML ISP II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bCs/>
                <w:sz w:val="22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DBE" w:rsidRPr="00876FB1" w:rsidRDefault="008D5DBE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E61E3A" w:rsidRPr="00876FB1" w:rsidTr="00F5176F">
        <w:trPr>
          <w:gridAfter w:val="5"/>
          <w:wAfter w:w="7194" w:type="dxa"/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001891" w:rsidRPr="00876FB1" w:rsidRDefault="00001891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61E3A" w:rsidRPr="00876FB1" w:rsidTr="00F5176F">
        <w:trPr>
          <w:gridAfter w:val="5"/>
          <w:wAfter w:w="7194" w:type="dxa"/>
          <w:trHeight w:val="285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881247" w:rsidRPr="00876FB1" w:rsidRDefault="00881247" w:rsidP="00F5176F">
      <w:pPr>
        <w:pStyle w:val="Bezmezer"/>
        <w:ind w:left="0" w:firstLine="0"/>
        <w:rPr>
          <w:rFonts w:ascii="Times New Roman" w:eastAsia="Times New Roman" w:hAnsi="Times New Roman" w:cs="Times New Roman"/>
          <w:sz w:val="22"/>
        </w:rPr>
      </w:pPr>
    </w:p>
    <w:tbl>
      <w:tblPr>
        <w:tblW w:w="1602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2939"/>
        <w:gridCol w:w="3527"/>
        <w:gridCol w:w="2479"/>
        <w:gridCol w:w="3477"/>
      </w:tblGrid>
      <w:tr w:rsidR="00E61E3A" w:rsidRPr="00876FB1" w:rsidTr="00E61E3A">
        <w:trPr>
          <w:trHeight w:val="264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891" w:rsidRDefault="00001891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:rsidR="00001891" w:rsidRPr="00876FB1" w:rsidRDefault="00001891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3A" w:rsidRPr="00876FB1" w:rsidRDefault="00E61E3A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001891" w:rsidRDefault="00001891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F5176F" w:rsidRPr="00F5176F" w:rsidRDefault="008D5DBE" w:rsidP="00876FB1">
      <w:pPr>
        <w:pStyle w:val="Bezmez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lastRenderedPageBreak/>
        <w:t xml:space="preserve">Příloha č. 2 </w:t>
      </w:r>
    </w:p>
    <w:p w:rsidR="008D5DBE" w:rsidRPr="00F5176F" w:rsidRDefault="008D5DBE" w:rsidP="00876FB1">
      <w:pPr>
        <w:pStyle w:val="Bezmezer"/>
        <w:rPr>
          <w:rFonts w:ascii="Times New Roman" w:hAnsi="Times New Roman" w:cs="Times New Roman"/>
          <w:b/>
          <w:sz w:val="22"/>
        </w:rPr>
      </w:pPr>
      <w:r w:rsidRPr="00F5176F">
        <w:rPr>
          <w:rFonts w:ascii="Times New Roman" w:hAnsi="Times New Roman" w:cs="Times New Roman"/>
          <w:b/>
          <w:sz w:val="22"/>
        </w:rPr>
        <w:t xml:space="preserve">Seznam zboží  </w:t>
      </w:r>
    </w:p>
    <w:p w:rsidR="00554FE8" w:rsidRPr="00F5176F" w:rsidRDefault="00554FE8" w:rsidP="00876FB1">
      <w:pPr>
        <w:pStyle w:val="Bezmezer"/>
        <w:rPr>
          <w:rFonts w:ascii="Times New Roman" w:hAnsi="Times New Roman" w:cs="Times New Roman"/>
          <w:b/>
          <w:sz w:val="22"/>
        </w:rPr>
      </w:pPr>
    </w:p>
    <w:p w:rsidR="00554FE8" w:rsidRPr="00876FB1" w:rsidRDefault="00554FE8" w:rsidP="00F5176F">
      <w:pPr>
        <w:pStyle w:val="Bezmezer"/>
        <w:ind w:left="0" w:firstLine="0"/>
        <w:rPr>
          <w:rFonts w:ascii="Times New Roman" w:hAnsi="Times New Roman" w:cs="Times New Roman"/>
          <w:sz w:val="22"/>
        </w:rPr>
      </w:pPr>
    </w:p>
    <w:p w:rsidR="00554FE8" w:rsidRPr="00876FB1" w:rsidRDefault="00554FE8" w:rsidP="00876FB1">
      <w:pPr>
        <w:pStyle w:val="Bezmezer"/>
        <w:rPr>
          <w:rFonts w:ascii="Times New Roman" w:hAnsi="Times New Roman" w:cs="Times New Roman"/>
          <w:sz w:val="22"/>
        </w:rPr>
      </w:pPr>
    </w:p>
    <w:tbl>
      <w:tblPr>
        <w:tblW w:w="6440" w:type="dxa"/>
        <w:tblInd w:w="2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5480"/>
      </w:tblGrid>
      <w:tr w:rsidR="00554FE8" w:rsidRPr="00876FB1" w:rsidTr="000010B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238277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500IU INJ PSO LQF 1+1x2,5ML ISP+AD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238278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1000IU INJ PSO LQF 1+1x2,5ML ISP+AD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238279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2000IU INJ PSO LQF 1+1x2,5ML ISP+AD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238280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JIVI 3000IU INJ PSO LQF 1+1x2,5ML ISP+AD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209200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250 IU INJ PSO LQF 1+1x2,5ML ISP II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209202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500 IU INJ PSO LQF 1+1x2,5ML ISP II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209204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1000 IU INJ PSO LQF 1+1x2,5ML ISP II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sz w:val="22"/>
              </w:rPr>
              <w:t>209206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2000 IU INJ PSO LQF 1+1x5ML ISP II</w:t>
            </w:r>
          </w:p>
        </w:tc>
      </w:tr>
      <w:tr w:rsidR="00554FE8" w:rsidRPr="00876FB1" w:rsidTr="000010B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209208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E8" w:rsidRPr="00876FB1" w:rsidRDefault="00554FE8" w:rsidP="00876FB1">
            <w:pPr>
              <w:pStyle w:val="Bezmez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76FB1">
              <w:rPr>
                <w:rFonts w:ascii="Times New Roman" w:eastAsia="Times New Roman" w:hAnsi="Times New Roman" w:cs="Times New Roman"/>
                <w:color w:val="auto"/>
                <w:sz w:val="22"/>
              </w:rPr>
              <w:t>Kovaltry 3000 IU INJ PSO LQF 1+1x5ML ISP II</w:t>
            </w:r>
          </w:p>
        </w:tc>
      </w:tr>
    </w:tbl>
    <w:p w:rsidR="00554FE8" w:rsidRPr="00876FB1" w:rsidRDefault="00554FE8" w:rsidP="00F5176F">
      <w:pPr>
        <w:pStyle w:val="Bezmezer"/>
        <w:ind w:left="0" w:firstLine="0"/>
        <w:rPr>
          <w:rFonts w:ascii="Times New Roman" w:hAnsi="Times New Roman" w:cs="Times New Roman"/>
          <w:sz w:val="22"/>
        </w:rPr>
      </w:pPr>
    </w:p>
    <w:p w:rsidR="008D5DBE" w:rsidRPr="00876FB1" w:rsidRDefault="008D5DBE" w:rsidP="00876FB1">
      <w:pPr>
        <w:pStyle w:val="Bezmezer"/>
        <w:rPr>
          <w:rFonts w:ascii="Times New Roman" w:eastAsia="Times New Roman" w:hAnsi="Times New Roman" w:cs="Times New Roman"/>
          <w:sz w:val="22"/>
        </w:rPr>
      </w:pPr>
    </w:p>
    <w:sectPr w:rsidR="008D5DBE" w:rsidRPr="00876FB1" w:rsidSect="00F5176F">
      <w:pgSz w:w="16820" w:h="11900" w:orient="landscape"/>
      <w:pgMar w:top="1252" w:right="1135" w:bottom="418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430ED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010B8"/>
    <w:rsid w:val="00001891"/>
    <w:rsid w:val="0001030F"/>
    <w:rsid w:val="00010EBB"/>
    <w:rsid w:val="00012748"/>
    <w:rsid w:val="000177DD"/>
    <w:rsid w:val="00024D78"/>
    <w:rsid w:val="00031E08"/>
    <w:rsid w:val="000347F1"/>
    <w:rsid w:val="000357C8"/>
    <w:rsid w:val="000363B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3EDE"/>
    <w:rsid w:val="000A4B43"/>
    <w:rsid w:val="000A73C0"/>
    <w:rsid w:val="000B34E1"/>
    <w:rsid w:val="000B41C9"/>
    <w:rsid w:val="000B7EA2"/>
    <w:rsid w:val="000C1888"/>
    <w:rsid w:val="000C233F"/>
    <w:rsid w:val="000C329A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A53"/>
    <w:rsid w:val="001227DB"/>
    <w:rsid w:val="001237D5"/>
    <w:rsid w:val="00123D4C"/>
    <w:rsid w:val="00133E91"/>
    <w:rsid w:val="00134DF1"/>
    <w:rsid w:val="0013640B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85CB5"/>
    <w:rsid w:val="00194FAA"/>
    <w:rsid w:val="001A2563"/>
    <w:rsid w:val="001A280F"/>
    <w:rsid w:val="001A357E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2649"/>
    <w:rsid w:val="002469E0"/>
    <w:rsid w:val="002513D9"/>
    <w:rsid w:val="002532A7"/>
    <w:rsid w:val="00260166"/>
    <w:rsid w:val="00260937"/>
    <w:rsid w:val="00280E0A"/>
    <w:rsid w:val="00285C93"/>
    <w:rsid w:val="0028697F"/>
    <w:rsid w:val="0029270A"/>
    <w:rsid w:val="002971FE"/>
    <w:rsid w:val="002A6197"/>
    <w:rsid w:val="002C13C2"/>
    <w:rsid w:val="002D2FCB"/>
    <w:rsid w:val="002D475A"/>
    <w:rsid w:val="002E1B2D"/>
    <w:rsid w:val="002E6ED3"/>
    <w:rsid w:val="002F40B5"/>
    <w:rsid w:val="00301AE1"/>
    <w:rsid w:val="00302491"/>
    <w:rsid w:val="00306C65"/>
    <w:rsid w:val="00311019"/>
    <w:rsid w:val="00311367"/>
    <w:rsid w:val="00315720"/>
    <w:rsid w:val="0032047B"/>
    <w:rsid w:val="00321602"/>
    <w:rsid w:val="00326B92"/>
    <w:rsid w:val="0033090B"/>
    <w:rsid w:val="00331E5E"/>
    <w:rsid w:val="003339E6"/>
    <w:rsid w:val="00336827"/>
    <w:rsid w:val="00340158"/>
    <w:rsid w:val="00341D3C"/>
    <w:rsid w:val="00346347"/>
    <w:rsid w:val="003515C7"/>
    <w:rsid w:val="00353EE0"/>
    <w:rsid w:val="003552F4"/>
    <w:rsid w:val="003561CB"/>
    <w:rsid w:val="00356A19"/>
    <w:rsid w:val="00360CB3"/>
    <w:rsid w:val="003659E4"/>
    <w:rsid w:val="003667A2"/>
    <w:rsid w:val="00372B6D"/>
    <w:rsid w:val="00374CCC"/>
    <w:rsid w:val="00374E9E"/>
    <w:rsid w:val="00390039"/>
    <w:rsid w:val="0039170A"/>
    <w:rsid w:val="003919E7"/>
    <w:rsid w:val="003971BC"/>
    <w:rsid w:val="003A274C"/>
    <w:rsid w:val="003A4D28"/>
    <w:rsid w:val="003B28DC"/>
    <w:rsid w:val="003B53FC"/>
    <w:rsid w:val="003B5CFD"/>
    <w:rsid w:val="003B7551"/>
    <w:rsid w:val="003C2BF9"/>
    <w:rsid w:val="003D5CA1"/>
    <w:rsid w:val="003D5DCE"/>
    <w:rsid w:val="003E22C5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A70A4"/>
    <w:rsid w:val="004B31D3"/>
    <w:rsid w:val="004C30D7"/>
    <w:rsid w:val="004C48A3"/>
    <w:rsid w:val="004C5AD4"/>
    <w:rsid w:val="004D2A0E"/>
    <w:rsid w:val="004D4249"/>
    <w:rsid w:val="004E4476"/>
    <w:rsid w:val="004F0A24"/>
    <w:rsid w:val="00514791"/>
    <w:rsid w:val="00531ECE"/>
    <w:rsid w:val="00532C88"/>
    <w:rsid w:val="00534F47"/>
    <w:rsid w:val="00542296"/>
    <w:rsid w:val="00554180"/>
    <w:rsid w:val="00554FE8"/>
    <w:rsid w:val="00563D99"/>
    <w:rsid w:val="0056569D"/>
    <w:rsid w:val="005670E4"/>
    <w:rsid w:val="00567EA8"/>
    <w:rsid w:val="00571236"/>
    <w:rsid w:val="00572F11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5C8D"/>
    <w:rsid w:val="005E24D2"/>
    <w:rsid w:val="005E2950"/>
    <w:rsid w:val="005E463F"/>
    <w:rsid w:val="005E4E4D"/>
    <w:rsid w:val="005F08D6"/>
    <w:rsid w:val="00600DF0"/>
    <w:rsid w:val="0060117C"/>
    <w:rsid w:val="00605982"/>
    <w:rsid w:val="006111AC"/>
    <w:rsid w:val="00613258"/>
    <w:rsid w:val="0061403A"/>
    <w:rsid w:val="0061510E"/>
    <w:rsid w:val="006207E7"/>
    <w:rsid w:val="00632FA4"/>
    <w:rsid w:val="00634F29"/>
    <w:rsid w:val="0063670A"/>
    <w:rsid w:val="00641899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4ECC"/>
    <w:rsid w:val="00696783"/>
    <w:rsid w:val="00697553"/>
    <w:rsid w:val="006A2D4A"/>
    <w:rsid w:val="006A79EC"/>
    <w:rsid w:val="006B021B"/>
    <w:rsid w:val="006C18C5"/>
    <w:rsid w:val="006D432B"/>
    <w:rsid w:val="006D6203"/>
    <w:rsid w:val="006E3F7A"/>
    <w:rsid w:val="006E5E9E"/>
    <w:rsid w:val="006F4014"/>
    <w:rsid w:val="00700BA8"/>
    <w:rsid w:val="00701B7D"/>
    <w:rsid w:val="00704EF2"/>
    <w:rsid w:val="00706ED2"/>
    <w:rsid w:val="00707454"/>
    <w:rsid w:val="0071233F"/>
    <w:rsid w:val="00723F8C"/>
    <w:rsid w:val="00735A52"/>
    <w:rsid w:val="007465A7"/>
    <w:rsid w:val="00747FB5"/>
    <w:rsid w:val="0075045D"/>
    <w:rsid w:val="00750B3A"/>
    <w:rsid w:val="00761157"/>
    <w:rsid w:val="0076219F"/>
    <w:rsid w:val="00770015"/>
    <w:rsid w:val="00780513"/>
    <w:rsid w:val="00781FD2"/>
    <w:rsid w:val="0078750C"/>
    <w:rsid w:val="00795D04"/>
    <w:rsid w:val="007A1AE0"/>
    <w:rsid w:val="007A6A44"/>
    <w:rsid w:val="007B491D"/>
    <w:rsid w:val="007B577A"/>
    <w:rsid w:val="007C1615"/>
    <w:rsid w:val="007C5BDE"/>
    <w:rsid w:val="007D668C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286B"/>
    <w:rsid w:val="008547AA"/>
    <w:rsid w:val="0086415C"/>
    <w:rsid w:val="00870E83"/>
    <w:rsid w:val="0087289F"/>
    <w:rsid w:val="00875657"/>
    <w:rsid w:val="00876FB1"/>
    <w:rsid w:val="00881247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B5EB8"/>
    <w:rsid w:val="008C3255"/>
    <w:rsid w:val="008D5DBE"/>
    <w:rsid w:val="008D7EFD"/>
    <w:rsid w:val="008E29A4"/>
    <w:rsid w:val="008E2DD5"/>
    <w:rsid w:val="008E6EF4"/>
    <w:rsid w:val="008F52F2"/>
    <w:rsid w:val="00911C50"/>
    <w:rsid w:val="00912B74"/>
    <w:rsid w:val="00912F7F"/>
    <w:rsid w:val="00931AE8"/>
    <w:rsid w:val="00934392"/>
    <w:rsid w:val="00942E2F"/>
    <w:rsid w:val="00951128"/>
    <w:rsid w:val="00954157"/>
    <w:rsid w:val="00956220"/>
    <w:rsid w:val="00957FC4"/>
    <w:rsid w:val="009638A4"/>
    <w:rsid w:val="00970425"/>
    <w:rsid w:val="00971C51"/>
    <w:rsid w:val="009746AE"/>
    <w:rsid w:val="00974C17"/>
    <w:rsid w:val="00977CEA"/>
    <w:rsid w:val="00981FCE"/>
    <w:rsid w:val="00984A7C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3AB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43E"/>
    <w:rsid w:val="00AA1748"/>
    <w:rsid w:val="00AA1EED"/>
    <w:rsid w:val="00AA25C5"/>
    <w:rsid w:val="00AA2F0A"/>
    <w:rsid w:val="00AA453A"/>
    <w:rsid w:val="00AA5C4C"/>
    <w:rsid w:val="00AB2294"/>
    <w:rsid w:val="00AB4656"/>
    <w:rsid w:val="00AB6C7D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0499"/>
    <w:rsid w:val="00B12BD4"/>
    <w:rsid w:val="00B134CA"/>
    <w:rsid w:val="00B14C8C"/>
    <w:rsid w:val="00B209A9"/>
    <w:rsid w:val="00B27555"/>
    <w:rsid w:val="00B3525C"/>
    <w:rsid w:val="00B40D7A"/>
    <w:rsid w:val="00B46025"/>
    <w:rsid w:val="00B51E1F"/>
    <w:rsid w:val="00B522F0"/>
    <w:rsid w:val="00B55B48"/>
    <w:rsid w:val="00B633AC"/>
    <w:rsid w:val="00B63E43"/>
    <w:rsid w:val="00B662AA"/>
    <w:rsid w:val="00B73DA9"/>
    <w:rsid w:val="00B777E7"/>
    <w:rsid w:val="00B83EA4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0425"/>
    <w:rsid w:val="00BE2013"/>
    <w:rsid w:val="00BF1351"/>
    <w:rsid w:val="00BF2883"/>
    <w:rsid w:val="00BF3FCF"/>
    <w:rsid w:val="00BF4F32"/>
    <w:rsid w:val="00C02ACA"/>
    <w:rsid w:val="00C02E83"/>
    <w:rsid w:val="00C039F7"/>
    <w:rsid w:val="00C04DB0"/>
    <w:rsid w:val="00C07FA7"/>
    <w:rsid w:val="00C103E6"/>
    <w:rsid w:val="00C2384E"/>
    <w:rsid w:val="00C243D8"/>
    <w:rsid w:val="00C25038"/>
    <w:rsid w:val="00C25D17"/>
    <w:rsid w:val="00C33927"/>
    <w:rsid w:val="00C43220"/>
    <w:rsid w:val="00C465B1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D01F89"/>
    <w:rsid w:val="00D032FD"/>
    <w:rsid w:val="00D03CA2"/>
    <w:rsid w:val="00D04117"/>
    <w:rsid w:val="00D108F1"/>
    <w:rsid w:val="00D122BB"/>
    <w:rsid w:val="00D2093F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181C"/>
    <w:rsid w:val="00D9212A"/>
    <w:rsid w:val="00D92D95"/>
    <w:rsid w:val="00DB5106"/>
    <w:rsid w:val="00DB6265"/>
    <w:rsid w:val="00DC1EEE"/>
    <w:rsid w:val="00DC2CB6"/>
    <w:rsid w:val="00DD6ADC"/>
    <w:rsid w:val="00DE266F"/>
    <w:rsid w:val="00DE33DA"/>
    <w:rsid w:val="00DE3A80"/>
    <w:rsid w:val="00DE4F79"/>
    <w:rsid w:val="00DE7F41"/>
    <w:rsid w:val="00DF229E"/>
    <w:rsid w:val="00E00307"/>
    <w:rsid w:val="00E009BC"/>
    <w:rsid w:val="00E0373B"/>
    <w:rsid w:val="00E04DDD"/>
    <w:rsid w:val="00E16C44"/>
    <w:rsid w:val="00E23A77"/>
    <w:rsid w:val="00E3366B"/>
    <w:rsid w:val="00E33B98"/>
    <w:rsid w:val="00E35AD3"/>
    <w:rsid w:val="00E37156"/>
    <w:rsid w:val="00E5114F"/>
    <w:rsid w:val="00E55358"/>
    <w:rsid w:val="00E61E3A"/>
    <w:rsid w:val="00E640B9"/>
    <w:rsid w:val="00E64103"/>
    <w:rsid w:val="00E6677F"/>
    <w:rsid w:val="00E66C28"/>
    <w:rsid w:val="00E81DB4"/>
    <w:rsid w:val="00E82831"/>
    <w:rsid w:val="00E84138"/>
    <w:rsid w:val="00E945A1"/>
    <w:rsid w:val="00E96643"/>
    <w:rsid w:val="00EA0F0D"/>
    <w:rsid w:val="00EA2E61"/>
    <w:rsid w:val="00EA3D14"/>
    <w:rsid w:val="00EB28E5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37373"/>
    <w:rsid w:val="00F409B1"/>
    <w:rsid w:val="00F422DA"/>
    <w:rsid w:val="00F4394B"/>
    <w:rsid w:val="00F4549F"/>
    <w:rsid w:val="00F5176F"/>
    <w:rsid w:val="00F57CEF"/>
    <w:rsid w:val="00F60B93"/>
    <w:rsid w:val="00F67492"/>
    <w:rsid w:val="00F7111F"/>
    <w:rsid w:val="00F75EFA"/>
    <w:rsid w:val="00F77EAC"/>
    <w:rsid w:val="00F860D4"/>
    <w:rsid w:val="00F90761"/>
    <w:rsid w:val="00FA0B83"/>
    <w:rsid w:val="00FA57C1"/>
    <w:rsid w:val="00FA7BEE"/>
    <w:rsid w:val="00FB52FB"/>
    <w:rsid w:val="00FB6104"/>
    <w:rsid w:val="00FC614A"/>
    <w:rsid w:val="00FD4D6C"/>
    <w:rsid w:val="00FD5719"/>
    <w:rsid w:val="00FE02DF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BFCA"/>
  <w15:docId w15:val="{D367C209-8F12-49D0-AF7F-CF7398B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BF135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76FB1"/>
    <w:pPr>
      <w:spacing w:after="0" w:line="240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nzace@fno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penzace@fn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0E96-A3CF-449F-9A3C-08C926B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1487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Řoutilová Petra</cp:lastModifiedBy>
  <cp:revision>4</cp:revision>
  <cp:lastPrinted>2020-06-01T08:11:00Z</cp:lastPrinted>
  <dcterms:created xsi:type="dcterms:W3CDTF">2020-06-01T08:11:00Z</dcterms:created>
  <dcterms:modified xsi:type="dcterms:W3CDTF">2020-06-19T12:12:00Z</dcterms:modified>
</cp:coreProperties>
</file>