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AAE432A" w:rsidR="00947AE5" w:rsidRPr="00443330" w:rsidRDefault="00C85B39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Arch. Miloslav Hanzl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45E687E7" w:rsidR="00947AE5" w:rsidRPr="00443330" w:rsidRDefault="00C85B39" w:rsidP="00FA77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Pětihostská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33AF7FB8" w:rsidR="00947AE5" w:rsidRPr="00443330" w:rsidRDefault="00C85B39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66 Senohraby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41A9866F" w:rsidR="00947AE5" w:rsidRPr="00443330" w:rsidRDefault="00E9622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E96221">
              <w:rPr>
                <w:rFonts w:ascii="Times New Roman" w:hAnsi="Times New Roman"/>
              </w:rPr>
              <w:t>1022/2020/Zlic/FOPRI/</w:t>
            </w:r>
            <w:proofErr w:type="spellStart"/>
            <w:r w:rsidRPr="00E96221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6EC38E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40D5589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E96221">
              <w:rPr>
                <w:rFonts w:ascii="Times New Roman" w:hAnsi="Times New Roman"/>
              </w:rPr>
              <w:t>1</w:t>
            </w:r>
            <w:r w:rsidR="00443330" w:rsidRPr="00443330">
              <w:rPr>
                <w:rFonts w:ascii="Times New Roman" w:hAnsi="Times New Roman"/>
              </w:rPr>
              <w:t>9.</w:t>
            </w:r>
            <w:r w:rsidR="00E96221">
              <w:rPr>
                <w:rFonts w:ascii="Times New Roman" w:hAnsi="Times New Roman"/>
              </w:rPr>
              <w:t>6</w:t>
            </w:r>
            <w:r w:rsidR="00443330" w:rsidRPr="00443330">
              <w:rPr>
                <w:rFonts w:ascii="Times New Roman" w:hAnsi="Times New Roman"/>
              </w:rPr>
              <w:t>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0C676715" w14:textId="77777777" w:rsidR="002267D2" w:rsidRPr="00443330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2957325A" w14:textId="685EFFEF" w:rsidR="00443330" w:rsidRPr="00443330" w:rsidRDefault="00443330" w:rsidP="00443330">
      <w:pPr>
        <w:jc w:val="both"/>
        <w:rPr>
          <w:rFonts w:ascii="Times New Roman" w:hAnsi="Times New Roman"/>
        </w:rPr>
      </w:pPr>
      <w:r w:rsidRPr="00443330">
        <w:rPr>
          <w:rFonts w:ascii="Times New Roman" w:hAnsi="Times New Roman"/>
        </w:rPr>
        <w:t xml:space="preserve">zhotovení projektové dokumentace pro </w:t>
      </w:r>
      <w:r w:rsidR="00C85B39">
        <w:rPr>
          <w:rFonts w:ascii="Times New Roman" w:hAnsi="Times New Roman"/>
        </w:rPr>
        <w:t xml:space="preserve">realizaci stavby </w:t>
      </w:r>
      <w:r w:rsidRPr="00443330">
        <w:rPr>
          <w:rFonts w:ascii="Times New Roman" w:hAnsi="Times New Roman"/>
        </w:rPr>
        <w:t xml:space="preserve">včetně položkového rozpočtu a výkazu výměr na stavbu „Rekonstrukce </w:t>
      </w:r>
      <w:r w:rsidR="00C85B39">
        <w:rPr>
          <w:rFonts w:ascii="Times New Roman" w:hAnsi="Times New Roman"/>
        </w:rPr>
        <w:t>márnice hřbitov Sobín</w:t>
      </w:r>
      <w:r w:rsidRPr="00443330">
        <w:rPr>
          <w:rFonts w:ascii="Times New Roman" w:hAnsi="Times New Roman"/>
        </w:rPr>
        <w:t xml:space="preserve">“, která se nachází na </w:t>
      </w:r>
      <w:r w:rsidR="002267D2">
        <w:rPr>
          <w:rFonts w:ascii="Times New Roman" w:hAnsi="Times New Roman"/>
        </w:rPr>
        <w:t xml:space="preserve">pozemku </w:t>
      </w:r>
      <w:proofErr w:type="spellStart"/>
      <w:r w:rsidR="002267D2">
        <w:rPr>
          <w:rFonts w:ascii="Times New Roman" w:hAnsi="Times New Roman"/>
        </w:rPr>
        <w:t>parc.č</w:t>
      </w:r>
      <w:proofErr w:type="spellEnd"/>
      <w:r w:rsidR="002267D2">
        <w:rPr>
          <w:rFonts w:ascii="Times New Roman" w:hAnsi="Times New Roman"/>
        </w:rPr>
        <w:t xml:space="preserve">. 209, </w:t>
      </w:r>
      <w:proofErr w:type="spellStart"/>
      <w:r w:rsidR="002267D2">
        <w:rPr>
          <w:rFonts w:ascii="Times New Roman" w:hAnsi="Times New Roman"/>
        </w:rPr>
        <w:t>k.ú</w:t>
      </w:r>
      <w:proofErr w:type="spellEnd"/>
      <w:r w:rsidR="002267D2">
        <w:rPr>
          <w:rFonts w:ascii="Times New Roman" w:hAnsi="Times New Roman"/>
        </w:rPr>
        <w:t>. Sobín,</w:t>
      </w:r>
      <w:r w:rsidRPr="00443330">
        <w:rPr>
          <w:rFonts w:ascii="Times New Roman" w:hAnsi="Times New Roman"/>
        </w:rPr>
        <w:t xml:space="preserve"> dle Vaší cenové nabídky ze dne </w:t>
      </w:r>
      <w:r w:rsidR="002267D2">
        <w:rPr>
          <w:rFonts w:ascii="Times New Roman" w:hAnsi="Times New Roman"/>
        </w:rPr>
        <w:t>23.5.2020</w:t>
      </w:r>
      <w:r w:rsidRPr="00443330">
        <w:rPr>
          <w:rFonts w:ascii="Times New Roman" w:hAnsi="Times New Roman"/>
        </w:rPr>
        <w:t xml:space="preserve">. Celková cena dle Vaší nabídky činí </w:t>
      </w:r>
      <w:proofErr w:type="gramStart"/>
      <w:r w:rsidR="002267D2">
        <w:rPr>
          <w:rFonts w:ascii="Times New Roman" w:hAnsi="Times New Roman"/>
        </w:rPr>
        <w:t>78.000</w:t>
      </w:r>
      <w:r w:rsidRPr="00443330">
        <w:rPr>
          <w:rFonts w:ascii="Times New Roman" w:hAnsi="Times New Roman"/>
        </w:rPr>
        <w:t>,-</w:t>
      </w:r>
      <w:proofErr w:type="gramEnd"/>
      <w:r w:rsidRPr="00443330">
        <w:rPr>
          <w:rFonts w:ascii="Times New Roman" w:hAnsi="Times New Roman"/>
        </w:rPr>
        <w:t>Kč</w:t>
      </w:r>
      <w:r w:rsidR="002267D2">
        <w:rPr>
          <w:rFonts w:ascii="Times New Roman" w:hAnsi="Times New Roman"/>
        </w:rPr>
        <w:t>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211A3E"/>
    <w:rsid w:val="002267D2"/>
    <w:rsid w:val="0023619A"/>
    <w:rsid w:val="00245EB3"/>
    <w:rsid w:val="002A24CD"/>
    <w:rsid w:val="002D2D3F"/>
    <w:rsid w:val="002D3EE9"/>
    <w:rsid w:val="003376BE"/>
    <w:rsid w:val="00354F15"/>
    <w:rsid w:val="003576A9"/>
    <w:rsid w:val="00415AC7"/>
    <w:rsid w:val="004262B2"/>
    <w:rsid w:val="00434A39"/>
    <w:rsid w:val="00443330"/>
    <w:rsid w:val="004C43A0"/>
    <w:rsid w:val="004F33B5"/>
    <w:rsid w:val="00500043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823E5D"/>
    <w:rsid w:val="00836E3A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418F"/>
    <w:rsid w:val="009F6D1B"/>
    <w:rsid w:val="00A403C9"/>
    <w:rsid w:val="00A57662"/>
    <w:rsid w:val="00A60DCD"/>
    <w:rsid w:val="00AE2D02"/>
    <w:rsid w:val="00AE3061"/>
    <w:rsid w:val="00B26CA4"/>
    <w:rsid w:val="00B640C8"/>
    <w:rsid w:val="00B64387"/>
    <w:rsid w:val="00B90A73"/>
    <w:rsid w:val="00B9319A"/>
    <w:rsid w:val="00B96CB6"/>
    <w:rsid w:val="00BE23F8"/>
    <w:rsid w:val="00C7640E"/>
    <w:rsid w:val="00C85B39"/>
    <w:rsid w:val="00C90D27"/>
    <w:rsid w:val="00CA47EA"/>
    <w:rsid w:val="00CF4ABF"/>
    <w:rsid w:val="00D55AC4"/>
    <w:rsid w:val="00E12374"/>
    <w:rsid w:val="00E43BCB"/>
    <w:rsid w:val="00E46243"/>
    <w:rsid w:val="00E66A66"/>
    <w:rsid w:val="00E81598"/>
    <w:rsid w:val="00E96221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2020-06-19T09:09:00Z</cp:lastPrinted>
  <dcterms:created xsi:type="dcterms:W3CDTF">2020-06-19T09:21:00Z</dcterms:created>
  <dcterms:modified xsi:type="dcterms:W3CDTF">2020-06-19T09:21:00Z</dcterms:modified>
</cp:coreProperties>
</file>