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1BC83" w14:textId="77777777" w:rsidR="00D719BC" w:rsidRPr="003565BA" w:rsidRDefault="00D719BC" w:rsidP="003565BA">
      <w:pPr>
        <w:pStyle w:val="Prosttext"/>
        <w:jc w:val="center"/>
        <w:rPr>
          <w:rFonts w:ascii="Arial" w:hAnsi="Arial" w:cs="Arial"/>
          <w:b/>
          <w:kern w:val="32"/>
          <w:sz w:val="24"/>
          <w:szCs w:val="32"/>
        </w:rPr>
      </w:pPr>
      <w:r w:rsidRPr="003565BA">
        <w:rPr>
          <w:rFonts w:ascii="Arial" w:hAnsi="Arial" w:cs="Arial"/>
          <w:b/>
          <w:kern w:val="32"/>
          <w:sz w:val="28"/>
          <w:szCs w:val="28"/>
        </w:rPr>
        <w:t>PŘÍKAZNÍ SMLOUVA</w:t>
      </w:r>
    </w:p>
    <w:p w14:paraId="2F29ECD2" w14:textId="77777777" w:rsidR="00E846A6" w:rsidRDefault="00E846A6" w:rsidP="003565BA">
      <w:pPr>
        <w:pStyle w:val="Prosttext"/>
        <w:jc w:val="center"/>
        <w:rPr>
          <w:rFonts w:ascii="Arial" w:hAnsi="Arial" w:cs="Arial"/>
          <w:szCs w:val="22"/>
        </w:rPr>
      </w:pPr>
    </w:p>
    <w:p w14:paraId="766EF83F" w14:textId="77777777" w:rsidR="00D719BC" w:rsidRPr="00C2364B" w:rsidRDefault="00D719BC" w:rsidP="003565BA">
      <w:pPr>
        <w:pStyle w:val="Prosttext"/>
        <w:jc w:val="center"/>
        <w:rPr>
          <w:rFonts w:ascii="Arial" w:hAnsi="Arial" w:cs="Arial"/>
          <w:kern w:val="2"/>
          <w:szCs w:val="22"/>
        </w:rPr>
      </w:pPr>
      <w:r w:rsidRPr="00C2364B">
        <w:rPr>
          <w:rFonts w:ascii="Arial" w:hAnsi="Arial" w:cs="Arial"/>
          <w:szCs w:val="22"/>
        </w:rPr>
        <w:t>uzavřená v souladu s ustanovením § 2430 a souvisejícími zákona č. č. 89/2012 Sb., občanský zákoník</w:t>
      </w:r>
    </w:p>
    <w:p w14:paraId="1A367F6D" w14:textId="77777777" w:rsidR="00D719BC" w:rsidRPr="00C2364B" w:rsidRDefault="00D719BC" w:rsidP="003565BA">
      <w:pPr>
        <w:pStyle w:val="Prosttext"/>
        <w:rPr>
          <w:rFonts w:ascii="Arial" w:hAnsi="Arial" w:cs="Arial"/>
          <w:szCs w:val="22"/>
        </w:rPr>
      </w:pPr>
    </w:p>
    <w:p w14:paraId="37C339DC" w14:textId="77777777" w:rsidR="00D719BC" w:rsidRPr="00C2364B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  <w:r w:rsidRPr="00C2364B">
        <w:rPr>
          <w:rFonts w:ascii="Arial" w:hAnsi="Arial" w:cs="Arial"/>
          <w:b/>
          <w:szCs w:val="22"/>
        </w:rPr>
        <w:t>I. Smluvní strany</w:t>
      </w:r>
    </w:p>
    <w:p w14:paraId="578F8EC7" w14:textId="77777777" w:rsidR="00FE186F" w:rsidRDefault="00FE186F" w:rsidP="00FE186F">
      <w:pPr>
        <w:pStyle w:val="Podnadpis"/>
        <w:spacing w:line="280" w:lineRule="atLeast"/>
        <w:jc w:val="both"/>
        <w:rPr>
          <w:rFonts w:ascii="Arial" w:eastAsia="Calibri" w:hAnsi="Arial" w:cs="Arial"/>
          <w:b/>
          <w:sz w:val="22"/>
          <w:szCs w:val="22"/>
        </w:rPr>
      </w:pPr>
    </w:p>
    <w:p w14:paraId="39654AAD" w14:textId="77777777" w:rsidR="00FE186F" w:rsidRPr="00FE186F" w:rsidRDefault="00FE186F" w:rsidP="00015C09">
      <w:pPr>
        <w:pStyle w:val="Podnadpis"/>
        <w:spacing w:line="280" w:lineRule="atLeast"/>
        <w:ind w:left="2120" w:hanging="2120"/>
        <w:jc w:val="both"/>
        <w:rPr>
          <w:rFonts w:ascii="Arial" w:hAnsi="Arial" w:cs="Arial"/>
          <w:b/>
          <w:sz w:val="22"/>
          <w:szCs w:val="22"/>
        </w:rPr>
      </w:pPr>
      <w:r w:rsidRPr="00FE186F">
        <w:rPr>
          <w:rFonts w:ascii="Arial" w:eastAsia="Calibri" w:hAnsi="Arial" w:cs="Arial"/>
          <w:b/>
          <w:sz w:val="22"/>
          <w:szCs w:val="22"/>
        </w:rPr>
        <w:t>Příkazce</w:t>
      </w:r>
      <w:r w:rsidRPr="00FE186F">
        <w:rPr>
          <w:rFonts w:ascii="Arial" w:hAnsi="Arial" w:cs="Arial"/>
          <w:b/>
          <w:sz w:val="22"/>
          <w:szCs w:val="22"/>
        </w:rPr>
        <w:t xml:space="preserve">:     </w:t>
      </w:r>
      <w:r w:rsidRPr="00FE186F">
        <w:rPr>
          <w:rFonts w:ascii="Arial" w:hAnsi="Arial" w:cs="Arial"/>
          <w:b/>
          <w:sz w:val="22"/>
          <w:szCs w:val="22"/>
        </w:rPr>
        <w:tab/>
      </w:r>
      <w:r w:rsidRPr="00FE186F">
        <w:rPr>
          <w:rFonts w:ascii="Arial" w:hAnsi="Arial" w:cs="Arial"/>
          <w:b/>
          <w:sz w:val="22"/>
          <w:szCs w:val="22"/>
        </w:rPr>
        <w:tab/>
      </w:r>
      <w:r w:rsidR="007308B6" w:rsidRPr="007308B6">
        <w:rPr>
          <w:rFonts w:ascii="Arial" w:hAnsi="Arial" w:cs="Arial"/>
          <w:b/>
          <w:sz w:val="22"/>
          <w:szCs w:val="22"/>
        </w:rPr>
        <w:t>Střední odborná škola energetická, Obchodní akademie a Střední zdravotnická škola, Chomutov, příspěvková organizace</w:t>
      </w:r>
    </w:p>
    <w:p w14:paraId="7DEE9547" w14:textId="77777777" w:rsidR="00FE186F" w:rsidRPr="00FE186F" w:rsidRDefault="00FE186F" w:rsidP="00FE186F">
      <w:pPr>
        <w:pStyle w:val="Zkladntext"/>
        <w:spacing w:after="0" w:line="280" w:lineRule="atLeast"/>
        <w:rPr>
          <w:rFonts w:ascii="Arial" w:hAnsi="Arial" w:cs="Arial"/>
        </w:rPr>
      </w:pPr>
      <w:r w:rsidRPr="00FE186F">
        <w:rPr>
          <w:rFonts w:ascii="Arial" w:hAnsi="Arial" w:cs="Arial"/>
          <w:sz w:val="22"/>
          <w:szCs w:val="22"/>
        </w:rPr>
        <w:t>sídlo: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7308B6" w:rsidRPr="007308B6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7308B6" w:rsidRPr="007308B6">
        <w:rPr>
          <w:rFonts w:ascii="Arial" w:hAnsi="Arial" w:cs="Arial"/>
          <w:sz w:val="22"/>
          <w:szCs w:val="22"/>
        </w:rPr>
        <w:t>Průhoně</w:t>
      </w:r>
      <w:proofErr w:type="spellEnd"/>
      <w:r w:rsidR="007308B6" w:rsidRPr="007308B6">
        <w:rPr>
          <w:rFonts w:ascii="Arial" w:hAnsi="Arial" w:cs="Arial"/>
          <w:sz w:val="22"/>
          <w:szCs w:val="22"/>
        </w:rPr>
        <w:t xml:space="preserve"> 4800</w:t>
      </w:r>
      <w:r w:rsidR="0086130F" w:rsidRPr="00AD6E06">
        <w:rPr>
          <w:rFonts w:ascii="Arial" w:hAnsi="Arial" w:cs="Arial"/>
          <w:sz w:val="22"/>
          <w:szCs w:val="22"/>
        </w:rPr>
        <w:t>, 430 03 Chomutov</w:t>
      </w:r>
    </w:p>
    <w:p w14:paraId="44E1BB1B" w14:textId="27159F94" w:rsidR="00FE186F" w:rsidRDefault="0086130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FE186F" w:rsidRPr="00FE186F">
        <w:rPr>
          <w:rFonts w:ascii="Arial" w:hAnsi="Arial" w:cs="Arial"/>
          <w:sz w:val="22"/>
          <w:szCs w:val="22"/>
        </w:rPr>
        <w:t xml:space="preserve">: </w:t>
      </w:r>
      <w:r w:rsidR="00FE186F" w:rsidRPr="00FE186F">
        <w:rPr>
          <w:rFonts w:ascii="Arial" w:hAnsi="Arial" w:cs="Arial"/>
          <w:sz w:val="22"/>
          <w:szCs w:val="22"/>
        </w:rPr>
        <w:tab/>
      </w:r>
      <w:r w:rsidR="00FE186F" w:rsidRPr="00FE186F">
        <w:rPr>
          <w:rFonts w:ascii="Arial" w:hAnsi="Arial" w:cs="Arial"/>
          <w:sz w:val="22"/>
          <w:szCs w:val="22"/>
        </w:rPr>
        <w:tab/>
      </w:r>
      <w:r w:rsidR="00015C09" w:rsidRPr="00E334CC">
        <w:rPr>
          <w:rFonts w:ascii="Arial" w:hAnsi="Arial" w:cs="Arial"/>
          <w:sz w:val="22"/>
          <w:szCs w:val="22"/>
          <w:highlight w:val="black"/>
        </w:rPr>
        <w:t xml:space="preserve">Mgr. Jan Mareš, MBA, ředitelem </w:t>
      </w:r>
      <w:proofErr w:type="spellStart"/>
      <w:proofErr w:type="gramStart"/>
      <w:r w:rsidR="00015C09" w:rsidRPr="00E334CC">
        <w:rPr>
          <w:rFonts w:ascii="Arial" w:hAnsi="Arial" w:cs="Arial"/>
          <w:sz w:val="22"/>
          <w:szCs w:val="22"/>
          <w:highlight w:val="black"/>
        </w:rPr>
        <w:t>p.o</w:t>
      </w:r>
      <w:proofErr w:type="spellEnd"/>
      <w:r w:rsidR="00015C09" w:rsidRPr="008F0382">
        <w:rPr>
          <w:rFonts w:ascii="Arial" w:hAnsi="Arial" w:cs="Arial"/>
          <w:sz w:val="22"/>
          <w:szCs w:val="22"/>
        </w:rPr>
        <w:t>.</w:t>
      </w:r>
      <w:proofErr w:type="gramEnd"/>
    </w:p>
    <w:p w14:paraId="0397AD3D" w14:textId="687B678B" w:rsidR="0051175B" w:rsidRPr="00E334CC" w:rsidRDefault="00BB17A0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osoba: </w:t>
      </w:r>
      <w:r>
        <w:rPr>
          <w:rFonts w:ascii="Arial" w:hAnsi="Arial" w:cs="Arial"/>
          <w:sz w:val="22"/>
          <w:szCs w:val="22"/>
        </w:rPr>
        <w:tab/>
      </w:r>
      <w:r w:rsidRPr="00E334CC">
        <w:rPr>
          <w:rFonts w:ascii="Arial" w:hAnsi="Arial" w:cs="Arial"/>
          <w:sz w:val="22"/>
          <w:szCs w:val="22"/>
          <w:highlight w:val="black"/>
        </w:rPr>
        <w:t xml:space="preserve">Ing. Blanka Hvozdová, </w:t>
      </w:r>
      <w:hyperlink r:id="rId11" w:history="1">
        <w:r w:rsidRPr="00E334CC">
          <w:rPr>
            <w:rStyle w:val="Hypertextovodkaz"/>
            <w:rFonts w:ascii="Arial" w:hAnsi="Arial" w:cs="Arial"/>
            <w:color w:val="auto"/>
            <w:sz w:val="22"/>
            <w:szCs w:val="22"/>
            <w:highlight w:val="black"/>
          </w:rPr>
          <w:t>blanka.hvozdova@esoz.cz</w:t>
        </w:r>
      </w:hyperlink>
      <w:r w:rsidRPr="00E334CC">
        <w:rPr>
          <w:rFonts w:ascii="Arial" w:hAnsi="Arial" w:cs="Arial"/>
          <w:sz w:val="22"/>
          <w:szCs w:val="22"/>
        </w:rPr>
        <w:t xml:space="preserve"> </w:t>
      </w:r>
    </w:p>
    <w:p w14:paraId="22D3CD75" w14:textId="77777777" w:rsidR="00FE186F" w:rsidRDefault="00FE186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FE186F">
        <w:rPr>
          <w:rFonts w:ascii="Arial" w:hAnsi="Arial" w:cs="Arial"/>
          <w:sz w:val="22"/>
          <w:szCs w:val="22"/>
        </w:rPr>
        <w:t>: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7308B6" w:rsidRPr="007308B6">
        <w:rPr>
          <w:rFonts w:ascii="Arial" w:hAnsi="Arial" w:cs="Arial"/>
          <w:sz w:val="22"/>
          <w:szCs w:val="22"/>
        </w:rPr>
        <w:t>41324641</w:t>
      </w:r>
    </w:p>
    <w:p w14:paraId="327DC265" w14:textId="77777777" w:rsidR="0086130F" w:rsidRPr="00FE186F" w:rsidRDefault="0086130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308B6">
        <w:rPr>
          <w:rFonts w:ascii="Arial" w:hAnsi="Arial" w:cs="Arial"/>
          <w:sz w:val="22"/>
          <w:szCs w:val="22"/>
        </w:rPr>
        <w:t>CZ</w:t>
      </w:r>
      <w:r w:rsidR="007308B6" w:rsidRPr="007308B6">
        <w:rPr>
          <w:rFonts w:ascii="Arial" w:hAnsi="Arial" w:cs="Arial"/>
          <w:sz w:val="22"/>
          <w:szCs w:val="22"/>
        </w:rPr>
        <w:t>41324641</w:t>
      </w:r>
      <w:r w:rsidR="007308B6">
        <w:rPr>
          <w:rFonts w:ascii="Arial" w:hAnsi="Arial" w:cs="Arial"/>
          <w:sz w:val="22"/>
          <w:szCs w:val="22"/>
        </w:rPr>
        <w:t>, ve vztahu k předmětu smlouvy není plátcem DPH</w:t>
      </w:r>
    </w:p>
    <w:p w14:paraId="1D975BB5" w14:textId="77777777" w:rsidR="00FE186F" w:rsidRPr="00FE186F" w:rsidRDefault="00FE186F" w:rsidP="00FE186F">
      <w:pPr>
        <w:pStyle w:val="Zkladntext"/>
        <w:spacing w:after="0"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hAnsi="Arial" w:cs="Arial"/>
          <w:sz w:val="22"/>
          <w:szCs w:val="22"/>
        </w:rPr>
        <w:t>(dále jen „příkazce“)</w:t>
      </w:r>
    </w:p>
    <w:p w14:paraId="52A5FF60" w14:textId="77777777" w:rsidR="00FE186F" w:rsidRPr="00FE186F" w:rsidRDefault="00FE186F" w:rsidP="00FE186F">
      <w:pPr>
        <w:pStyle w:val="Podnadpis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542F0CC" w14:textId="77777777" w:rsidR="00FE186F" w:rsidRPr="00FE186F" w:rsidRDefault="00FE186F" w:rsidP="00FE186F">
      <w:pPr>
        <w:pStyle w:val="Podnadpis"/>
        <w:spacing w:line="280" w:lineRule="atLeast"/>
        <w:jc w:val="both"/>
        <w:rPr>
          <w:rFonts w:ascii="Arial" w:hAnsi="Arial" w:cs="Arial"/>
          <w:b/>
          <w:sz w:val="22"/>
          <w:szCs w:val="22"/>
        </w:rPr>
      </w:pPr>
      <w:r w:rsidRPr="00FE186F">
        <w:rPr>
          <w:rFonts w:ascii="Arial" w:eastAsia="Calibri" w:hAnsi="Arial" w:cs="Arial"/>
          <w:b/>
          <w:sz w:val="22"/>
          <w:szCs w:val="22"/>
        </w:rPr>
        <w:t>a</w:t>
      </w:r>
    </w:p>
    <w:p w14:paraId="341CA3AB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b/>
          <w:sz w:val="22"/>
          <w:szCs w:val="22"/>
        </w:rPr>
      </w:pPr>
    </w:p>
    <w:p w14:paraId="49BF9DA1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b/>
          <w:sz w:val="22"/>
          <w:szCs w:val="22"/>
        </w:rPr>
      </w:pPr>
      <w:r w:rsidRPr="00FE186F">
        <w:rPr>
          <w:rFonts w:ascii="Arial" w:eastAsia="Calibri" w:hAnsi="Arial" w:cs="Arial"/>
          <w:b/>
          <w:sz w:val="22"/>
          <w:szCs w:val="22"/>
        </w:rPr>
        <w:t>Příkazník</w:t>
      </w:r>
      <w:r w:rsidRPr="00FE186F">
        <w:rPr>
          <w:rFonts w:ascii="Arial" w:hAnsi="Arial" w:cs="Arial"/>
          <w:b/>
          <w:sz w:val="22"/>
          <w:szCs w:val="22"/>
        </w:rPr>
        <w:t>:</w:t>
      </w:r>
      <w:r w:rsidRPr="00FE186F">
        <w:rPr>
          <w:rFonts w:ascii="Arial" w:hAnsi="Arial" w:cs="Arial"/>
          <w:b/>
          <w:sz w:val="22"/>
          <w:szCs w:val="22"/>
        </w:rPr>
        <w:tab/>
      </w:r>
      <w:r w:rsidRPr="00FE186F">
        <w:rPr>
          <w:rFonts w:ascii="Arial" w:hAnsi="Arial" w:cs="Arial"/>
          <w:b/>
          <w:sz w:val="22"/>
          <w:szCs w:val="22"/>
        </w:rPr>
        <w:tab/>
      </w:r>
      <w:proofErr w:type="spellStart"/>
      <w:r w:rsidR="007308B6">
        <w:rPr>
          <w:rFonts w:ascii="Arial" w:eastAsia="Calibri" w:hAnsi="Arial" w:cs="Arial"/>
          <w:b/>
          <w:sz w:val="22"/>
          <w:szCs w:val="22"/>
        </w:rPr>
        <w:t>Consilium</w:t>
      </w:r>
      <w:proofErr w:type="spellEnd"/>
      <w:r w:rsidR="007308B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7308B6">
        <w:rPr>
          <w:rFonts w:ascii="Arial" w:eastAsia="Calibri" w:hAnsi="Arial" w:cs="Arial"/>
          <w:b/>
          <w:sz w:val="22"/>
          <w:szCs w:val="22"/>
        </w:rPr>
        <w:t>Bonum</w:t>
      </w:r>
      <w:proofErr w:type="spellEnd"/>
      <w:r>
        <w:rPr>
          <w:rFonts w:ascii="Arial" w:eastAsia="Calibri" w:hAnsi="Arial" w:cs="Arial"/>
          <w:b/>
          <w:sz w:val="22"/>
          <w:szCs w:val="22"/>
        </w:rPr>
        <w:t xml:space="preserve"> s.r.o.</w:t>
      </w:r>
    </w:p>
    <w:p w14:paraId="570F0067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sídlo</w:t>
      </w:r>
      <w:r w:rsidRPr="00FE186F">
        <w:rPr>
          <w:rFonts w:ascii="Arial" w:hAnsi="Arial" w:cs="Arial"/>
          <w:sz w:val="22"/>
          <w:szCs w:val="22"/>
        </w:rPr>
        <w:t>: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>Jiráskova 2915/52, 43003 Chomutov</w:t>
      </w:r>
      <w:r w:rsidRPr="00FE186F">
        <w:rPr>
          <w:rFonts w:ascii="Arial" w:hAnsi="Arial" w:cs="Arial"/>
          <w:sz w:val="22"/>
          <w:szCs w:val="22"/>
        </w:rPr>
        <w:t xml:space="preserve"> </w:t>
      </w:r>
    </w:p>
    <w:p w14:paraId="758F643A" w14:textId="77777777" w:rsidR="00FE186F" w:rsidRPr="00FE186F" w:rsidRDefault="0086130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zastoupena</w:t>
      </w:r>
      <w:r w:rsidR="00FE186F" w:rsidRPr="00FE186F">
        <w:rPr>
          <w:rFonts w:ascii="Arial" w:hAnsi="Arial" w:cs="Arial"/>
          <w:sz w:val="22"/>
          <w:szCs w:val="22"/>
        </w:rPr>
        <w:t xml:space="preserve">: </w:t>
      </w:r>
      <w:r w:rsidR="00FE186F" w:rsidRPr="00FE186F">
        <w:rPr>
          <w:rFonts w:ascii="Arial" w:hAnsi="Arial" w:cs="Arial"/>
          <w:sz w:val="22"/>
          <w:szCs w:val="22"/>
        </w:rPr>
        <w:tab/>
      </w:r>
      <w:r w:rsidR="00FE186F" w:rsidRPr="00FE186F">
        <w:rPr>
          <w:rFonts w:ascii="Arial" w:hAnsi="Arial" w:cs="Arial"/>
          <w:sz w:val="22"/>
          <w:szCs w:val="22"/>
        </w:rPr>
        <w:tab/>
      </w:r>
      <w:r w:rsidR="00FE186F" w:rsidRPr="00E334CC">
        <w:rPr>
          <w:rFonts w:ascii="Arial" w:hAnsi="Arial" w:cs="Arial"/>
          <w:sz w:val="22"/>
          <w:szCs w:val="22"/>
          <w:highlight w:val="black"/>
        </w:rPr>
        <w:t>Ing. Lukášem Tomkem, jednatelem</w:t>
      </w:r>
    </w:p>
    <w:p w14:paraId="19050C18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kontaktní</w:t>
      </w:r>
      <w:r w:rsidRPr="00FE186F">
        <w:rPr>
          <w:rFonts w:ascii="Arial" w:hAnsi="Arial" w:cs="Arial"/>
          <w:sz w:val="22"/>
          <w:szCs w:val="22"/>
        </w:rPr>
        <w:t xml:space="preserve"> </w:t>
      </w:r>
      <w:r w:rsidRPr="00FE186F">
        <w:rPr>
          <w:rFonts w:ascii="Arial" w:eastAsia="Calibri" w:hAnsi="Arial" w:cs="Arial"/>
          <w:sz w:val="22"/>
          <w:szCs w:val="22"/>
        </w:rPr>
        <w:t>osoba</w:t>
      </w:r>
      <w:r w:rsidRPr="00FE186F">
        <w:rPr>
          <w:rFonts w:ascii="Arial" w:hAnsi="Arial" w:cs="Arial"/>
          <w:sz w:val="22"/>
          <w:szCs w:val="22"/>
        </w:rPr>
        <w:t xml:space="preserve">: </w:t>
      </w:r>
      <w:r w:rsidRPr="00FE186F">
        <w:rPr>
          <w:rFonts w:ascii="Arial" w:hAnsi="Arial" w:cs="Arial"/>
          <w:sz w:val="22"/>
          <w:szCs w:val="22"/>
        </w:rPr>
        <w:tab/>
      </w:r>
      <w:r w:rsidRPr="00E334CC">
        <w:rPr>
          <w:rFonts w:ascii="Arial" w:eastAsia="Calibri" w:hAnsi="Arial" w:cs="Arial"/>
          <w:sz w:val="22"/>
          <w:szCs w:val="22"/>
          <w:highlight w:val="black"/>
        </w:rPr>
        <w:t>Ing</w:t>
      </w:r>
      <w:r w:rsidRPr="00E334CC">
        <w:rPr>
          <w:rFonts w:ascii="Arial" w:hAnsi="Arial" w:cs="Arial"/>
          <w:sz w:val="22"/>
          <w:szCs w:val="22"/>
          <w:highlight w:val="black"/>
        </w:rPr>
        <w:t xml:space="preserve">. </w:t>
      </w:r>
      <w:r w:rsidRPr="00E334CC">
        <w:rPr>
          <w:rFonts w:ascii="Arial" w:eastAsia="Calibri" w:hAnsi="Arial" w:cs="Arial"/>
          <w:sz w:val="22"/>
          <w:szCs w:val="22"/>
          <w:highlight w:val="black"/>
        </w:rPr>
        <w:t xml:space="preserve">Lukáš Tomko, </w:t>
      </w:r>
      <w:r w:rsidR="0086130F" w:rsidRPr="00E334CC">
        <w:rPr>
          <w:rFonts w:ascii="Arial" w:eastAsia="Calibri" w:hAnsi="Arial" w:cs="Arial"/>
          <w:sz w:val="22"/>
          <w:szCs w:val="22"/>
          <w:highlight w:val="black"/>
        </w:rPr>
        <w:t>tomko</w:t>
      </w:r>
      <w:r w:rsidRPr="00E334CC">
        <w:rPr>
          <w:rFonts w:ascii="Arial" w:eastAsia="Calibri" w:hAnsi="Arial" w:cs="Arial"/>
          <w:sz w:val="22"/>
          <w:szCs w:val="22"/>
          <w:highlight w:val="black"/>
        </w:rPr>
        <w:t>@</w:t>
      </w:r>
      <w:r w:rsidR="007308B6" w:rsidRPr="00E334CC">
        <w:rPr>
          <w:rFonts w:ascii="Arial" w:eastAsia="Calibri" w:hAnsi="Arial" w:cs="Arial"/>
          <w:sz w:val="22"/>
          <w:szCs w:val="22"/>
          <w:highlight w:val="black"/>
        </w:rPr>
        <w:t>consiliumbonum</w:t>
      </w:r>
      <w:r w:rsidRPr="00E334CC">
        <w:rPr>
          <w:rFonts w:ascii="Arial" w:eastAsia="Calibri" w:hAnsi="Arial" w:cs="Arial"/>
          <w:sz w:val="22"/>
          <w:szCs w:val="22"/>
          <w:highlight w:val="black"/>
        </w:rPr>
        <w:t>.cz, 777047076</w:t>
      </w:r>
    </w:p>
    <w:p w14:paraId="71ADB47B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IČ</w:t>
      </w:r>
      <w:r>
        <w:rPr>
          <w:rFonts w:ascii="Arial" w:eastAsia="Calibri" w:hAnsi="Arial" w:cs="Arial"/>
          <w:sz w:val="22"/>
          <w:szCs w:val="22"/>
        </w:rPr>
        <w:t>O</w:t>
      </w:r>
      <w:r w:rsidRPr="00FE186F">
        <w:rPr>
          <w:rFonts w:ascii="Arial" w:hAnsi="Arial" w:cs="Arial"/>
          <w:sz w:val="22"/>
          <w:szCs w:val="22"/>
        </w:rPr>
        <w:t xml:space="preserve">: 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7308B6">
        <w:rPr>
          <w:rFonts w:ascii="Arial" w:hAnsi="Arial" w:cs="Arial"/>
          <w:sz w:val="22"/>
          <w:szCs w:val="22"/>
        </w:rPr>
        <w:t>07306580</w:t>
      </w:r>
      <w:r w:rsidRPr="00FE186F">
        <w:rPr>
          <w:rFonts w:ascii="Arial" w:hAnsi="Arial" w:cs="Arial"/>
          <w:sz w:val="22"/>
          <w:szCs w:val="22"/>
        </w:rPr>
        <w:t xml:space="preserve"> </w:t>
      </w:r>
    </w:p>
    <w:p w14:paraId="2FF1C2A1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eastAsia="Calibri" w:hAnsi="Arial" w:cs="Arial"/>
          <w:sz w:val="22"/>
          <w:szCs w:val="22"/>
        </w:rPr>
        <w:t>DIČ</w:t>
      </w:r>
      <w:r w:rsidRPr="00FE186F">
        <w:rPr>
          <w:rFonts w:ascii="Arial" w:hAnsi="Arial" w:cs="Arial"/>
          <w:sz w:val="22"/>
          <w:szCs w:val="22"/>
        </w:rPr>
        <w:t xml:space="preserve">: </w:t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Pr="00FE186F">
        <w:rPr>
          <w:rFonts w:ascii="Arial" w:hAnsi="Arial" w:cs="Arial"/>
          <w:sz w:val="22"/>
          <w:szCs w:val="22"/>
        </w:rPr>
        <w:tab/>
      </w:r>
      <w:r w:rsidR="0086130F">
        <w:rPr>
          <w:rFonts w:ascii="Arial" w:hAnsi="Arial" w:cs="Arial"/>
          <w:sz w:val="22"/>
          <w:szCs w:val="22"/>
        </w:rPr>
        <w:t>CZ</w:t>
      </w:r>
      <w:r w:rsidR="007308B6">
        <w:rPr>
          <w:rFonts w:ascii="Arial" w:hAnsi="Arial" w:cs="Arial"/>
          <w:sz w:val="22"/>
          <w:szCs w:val="22"/>
        </w:rPr>
        <w:t>07306580, není plátcem DPH</w:t>
      </w:r>
    </w:p>
    <w:p w14:paraId="68C45C59" w14:textId="77777777" w:rsidR="00FE186F" w:rsidRPr="00FE186F" w:rsidRDefault="00FE186F" w:rsidP="00FE186F">
      <w:pPr>
        <w:pStyle w:val="Normln0"/>
        <w:spacing w:line="280" w:lineRule="atLeast"/>
        <w:rPr>
          <w:rFonts w:ascii="Arial" w:hAnsi="Arial" w:cs="Arial"/>
          <w:sz w:val="22"/>
          <w:szCs w:val="22"/>
        </w:rPr>
      </w:pPr>
      <w:r w:rsidRPr="00FE186F">
        <w:rPr>
          <w:rFonts w:ascii="Arial" w:hAnsi="Arial" w:cs="Arial"/>
          <w:sz w:val="22"/>
          <w:szCs w:val="22"/>
        </w:rPr>
        <w:t>(</w:t>
      </w:r>
      <w:r w:rsidRPr="00FE186F">
        <w:rPr>
          <w:rFonts w:ascii="Arial" w:eastAsia="Calibri" w:hAnsi="Arial" w:cs="Arial"/>
          <w:sz w:val="22"/>
          <w:szCs w:val="22"/>
        </w:rPr>
        <w:t>dále</w:t>
      </w:r>
      <w:r w:rsidRPr="00FE186F">
        <w:rPr>
          <w:rFonts w:ascii="Arial" w:hAnsi="Arial" w:cs="Arial"/>
          <w:sz w:val="22"/>
          <w:szCs w:val="22"/>
        </w:rPr>
        <w:t xml:space="preserve"> </w:t>
      </w:r>
      <w:r w:rsidRPr="00FE186F">
        <w:rPr>
          <w:rFonts w:ascii="Arial" w:eastAsia="Calibri" w:hAnsi="Arial" w:cs="Arial"/>
          <w:sz w:val="22"/>
          <w:szCs w:val="22"/>
        </w:rPr>
        <w:t>jen</w:t>
      </w:r>
      <w:r w:rsidRPr="00FE186F">
        <w:rPr>
          <w:rFonts w:ascii="Arial" w:hAnsi="Arial" w:cs="Arial"/>
          <w:sz w:val="22"/>
          <w:szCs w:val="22"/>
        </w:rPr>
        <w:t xml:space="preserve"> „</w:t>
      </w:r>
      <w:r w:rsidRPr="00FE186F">
        <w:rPr>
          <w:rFonts w:ascii="Arial" w:eastAsia="Calibri" w:hAnsi="Arial" w:cs="Arial"/>
          <w:sz w:val="22"/>
          <w:szCs w:val="22"/>
        </w:rPr>
        <w:t>příkazník</w:t>
      </w:r>
      <w:r w:rsidRPr="00FE186F">
        <w:rPr>
          <w:rFonts w:ascii="Arial" w:hAnsi="Arial" w:cs="Arial"/>
          <w:sz w:val="22"/>
          <w:szCs w:val="22"/>
        </w:rPr>
        <w:t>“)</w:t>
      </w:r>
    </w:p>
    <w:p w14:paraId="5017B592" w14:textId="77777777" w:rsidR="00D719BC" w:rsidRPr="00C2364B" w:rsidRDefault="00D719BC" w:rsidP="003565BA">
      <w:pPr>
        <w:rPr>
          <w:rFonts w:ascii="Arial" w:hAnsi="Arial" w:cs="Arial"/>
        </w:rPr>
      </w:pPr>
    </w:p>
    <w:p w14:paraId="0EBCE05C" w14:textId="77777777" w:rsidR="00D719BC" w:rsidRPr="00C2364B" w:rsidRDefault="00D719BC" w:rsidP="003565BA">
      <w:pPr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>uzavírají tuto příkazní smlouvu (dále jen „smlouva“), kterou se příkazník zavazuje pro příkazce na jeho účet zařídit činnosti specifikované v článku II. této smlouvy a příkazce se zavazuje za tyto činnosti zaplatit úplatu dle článku IV. této smlouvy.</w:t>
      </w:r>
    </w:p>
    <w:p w14:paraId="7EF7DD32" w14:textId="77777777" w:rsidR="00FE186F" w:rsidRDefault="00FE186F" w:rsidP="003565BA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</w:p>
    <w:p w14:paraId="05EDB4B7" w14:textId="77777777" w:rsidR="00D719BC" w:rsidRPr="005849CC" w:rsidRDefault="00D719BC" w:rsidP="003565BA">
      <w:pPr>
        <w:pStyle w:val="Prosttext"/>
        <w:spacing w:after="60"/>
        <w:jc w:val="center"/>
        <w:rPr>
          <w:rFonts w:ascii="Arial" w:hAnsi="Arial" w:cs="Arial"/>
          <w:b/>
          <w:szCs w:val="22"/>
        </w:rPr>
      </w:pPr>
      <w:r w:rsidRPr="005849CC">
        <w:rPr>
          <w:rFonts w:ascii="Arial" w:hAnsi="Arial" w:cs="Arial"/>
          <w:b/>
          <w:szCs w:val="22"/>
        </w:rPr>
        <w:t>Úvodní ustanovení</w:t>
      </w:r>
    </w:p>
    <w:p w14:paraId="0B3A732D" w14:textId="77777777" w:rsidR="00D719BC" w:rsidRPr="005849CC" w:rsidRDefault="00D719BC" w:rsidP="00E846A6">
      <w:pPr>
        <w:pStyle w:val="Zkladntext"/>
        <w:widowControl w:val="0"/>
        <w:tabs>
          <w:tab w:val="left" w:pos="360"/>
        </w:tabs>
        <w:suppressAutoHyphens/>
        <w:spacing w:after="60"/>
        <w:jc w:val="both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 xml:space="preserve">Příkazník čestně prohlašuje, že v době podpisu této smlouvy není </w:t>
      </w:r>
      <w:r w:rsidR="00DA0AF3" w:rsidRPr="005849CC">
        <w:rPr>
          <w:rFonts w:ascii="Arial" w:hAnsi="Arial" w:cs="Arial"/>
          <w:sz w:val="22"/>
          <w:szCs w:val="22"/>
        </w:rPr>
        <w:t>ve střetu zájmů ve smyslu § 4</w:t>
      </w:r>
      <w:r w:rsidRPr="005849CC">
        <w:rPr>
          <w:rFonts w:ascii="Arial" w:hAnsi="Arial" w:cs="Arial"/>
          <w:sz w:val="22"/>
          <w:szCs w:val="22"/>
        </w:rPr>
        <w:t xml:space="preserve">4 </w:t>
      </w:r>
      <w:r w:rsidR="00DA0AF3" w:rsidRPr="005849CC">
        <w:rPr>
          <w:rFonts w:ascii="Arial" w:hAnsi="Arial" w:cs="Arial"/>
          <w:sz w:val="22"/>
          <w:szCs w:val="22"/>
        </w:rPr>
        <w:t>zákona č. 134/201</w:t>
      </w:r>
      <w:r w:rsidRPr="005849CC">
        <w:rPr>
          <w:rFonts w:ascii="Arial" w:hAnsi="Arial" w:cs="Arial"/>
          <w:sz w:val="22"/>
          <w:szCs w:val="22"/>
        </w:rPr>
        <w:t xml:space="preserve">6 Sb., o </w:t>
      </w:r>
      <w:r w:rsidR="00DA0AF3" w:rsidRPr="005849CC">
        <w:rPr>
          <w:rFonts w:ascii="Arial" w:hAnsi="Arial" w:cs="Arial"/>
          <w:sz w:val="22"/>
          <w:szCs w:val="22"/>
        </w:rPr>
        <w:t>zadávání veřejných zakázek</w:t>
      </w:r>
      <w:r w:rsidRPr="005849CC">
        <w:rPr>
          <w:rFonts w:ascii="Arial" w:hAnsi="Arial" w:cs="Arial"/>
          <w:sz w:val="22"/>
          <w:szCs w:val="22"/>
        </w:rPr>
        <w:t>, ve znění pozdějších předpisů (dále též „Z</w:t>
      </w:r>
      <w:r w:rsidR="00DA0AF3" w:rsidRPr="005849CC">
        <w:rPr>
          <w:rFonts w:ascii="Arial" w:hAnsi="Arial" w:cs="Arial"/>
          <w:sz w:val="22"/>
          <w:szCs w:val="22"/>
        </w:rPr>
        <w:t>Z</w:t>
      </w:r>
      <w:r w:rsidRPr="005849CC">
        <w:rPr>
          <w:rFonts w:ascii="Arial" w:hAnsi="Arial" w:cs="Arial"/>
          <w:sz w:val="22"/>
          <w:szCs w:val="22"/>
        </w:rPr>
        <w:t xml:space="preserve">VZ“). Pokud by </w:t>
      </w:r>
      <w:r w:rsidR="008C2C7C" w:rsidRPr="005849CC">
        <w:rPr>
          <w:rFonts w:ascii="Arial" w:hAnsi="Arial" w:cs="Arial"/>
          <w:sz w:val="22"/>
          <w:szCs w:val="22"/>
        </w:rPr>
        <w:t xml:space="preserve">se </w:t>
      </w:r>
      <w:r w:rsidRPr="005849CC">
        <w:rPr>
          <w:rFonts w:ascii="Arial" w:hAnsi="Arial" w:cs="Arial"/>
          <w:sz w:val="22"/>
          <w:szCs w:val="22"/>
        </w:rPr>
        <w:t xml:space="preserve">v průběhu zadávacího řízení příkazník </w:t>
      </w:r>
      <w:r w:rsidR="008C2C7C" w:rsidRPr="005849CC">
        <w:rPr>
          <w:rFonts w:ascii="Arial" w:hAnsi="Arial" w:cs="Arial"/>
          <w:sz w:val="22"/>
          <w:szCs w:val="22"/>
        </w:rPr>
        <w:t>dostal do střetu zájmů</w:t>
      </w:r>
      <w:r w:rsidRPr="005849CC">
        <w:rPr>
          <w:rFonts w:ascii="Arial" w:hAnsi="Arial" w:cs="Arial"/>
          <w:sz w:val="22"/>
          <w:szCs w:val="22"/>
        </w:rPr>
        <w:t>, je povinen to bezodkladně oznámit příkazci. Pokud tak neučiní, má se za to, že žádné změny nenastaly. Příkazník současně čestně prohlašuje, že o všech skutečnostech, o kterých se dozví v souvislosti s plněním této smlouvy, zachová mlčenlivost.</w:t>
      </w:r>
    </w:p>
    <w:p w14:paraId="5C613CA5" w14:textId="77777777" w:rsidR="00D719BC" w:rsidRPr="005849CC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</w:p>
    <w:p w14:paraId="196061BB" w14:textId="77777777" w:rsidR="00E846A6" w:rsidRPr="005849CC" w:rsidRDefault="00E846A6" w:rsidP="003565BA">
      <w:pPr>
        <w:pStyle w:val="Prosttext"/>
        <w:jc w:val="center"/>
        <w:rPr>
          <w:rFonts w:ascii="Arial" w:hAnsi="Arial" w:cs="Arial"/>
          <w:b/>
          <w:szCs w:val="22"/>
        </w:rPr>
      </w:pPr>
    </w:p>
    <w:p w14:paraId="219209F8" w14:textId="77777777" w:rsidR="00D719BC" w:rsidRPr="005849CC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  <w:r w:rsidRPr="005849CC">
        <w:rPr>
          <w:rFonts w:ascii="Arial" w:hAnsi="Arial" w:cs="Arial"/>
          <w:b/>
          <w:szCs w:val="22"/>
        </w:rPr>
        <w:t>II. Předmět smlouvy</w:t>
      </w:r>
    </w:p>
    <w:p w14:paraId="7A952A0F" w14:textId="77777777" w:rsidR="00D719BC" w:rsidRPr="005849CC" w:rsidRDefault="00D719BC" w:rsidP="003565BA">
      <w:pPr>
        <w:pStyle w:val="Prosttext"/>
        <w:jc w:val="center"/>
        <w:rPr>
          <w:rFonts w:ascii="Arial" w:hAnsi="Arial" w:cs="Arial"/>
          <w:b/>
          <w:szCs w:val="22"/>
        </w:rPr>
      </w:pPr>
    </w:p>
    <w:p w14:paraId="477B7FC7" w14:textId="77777777" w:rsidR="006D0FEA" w:rsidRPr="005849CC" w:rsidRDefault="00D719BC" w:rsidP="006D0FEA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 xml:space="preserve">Předmětem této smlouvy je závazek příkazníka pro příkazce zajistit administraci a organizační zajištění </w:t>
      </w:r>
      <w:r w:rsidR="00FE186F" w:rsidRPr="005849CC">
        <w:rPr>
          <w:rFonts w:ascii="Arial" w:hAnsi="Arial" w:cs="Arial"/>
          <w:sz w:val="22"/>
          <w:szCs w:val="22"/>
        </w:rPr>
        <w:t>zadávací</w:t>
      </w:r>
      <w:r w:rsidRPr="005849CC">
        <w:rPr>
          <w:rFonts w:ascii="Arial" w:hAnsi="Arial" w:cs="Arial"/>
          <w:sz w:val="22"/>
          <w:szCs w:val="22"/>
        </w:rPr>
        <w:t>h</w:t>
      </w:r>
      <w:r w:rsidR="00FE186F" w:rsidRPr="005849CC">
        <w:rPr>
          <w:rFonts w:ascii="Arial" w:hAnsi="Arial" w:cs="Arial"/>
          <w:sz w:val="22"/>
          <w:szCs w:val="22"/>
        </w:rPr>
        <w:t>o řízení</w:t>
      </w:r>
      <w:r w:rsidRPr="005849CC">
        <w:rPr>
          <w:rFonts w:ascii="Arial" w:hAnsi="Arial" w:cs="Arial"/>
          <w:sz w:val="22"/>
          <w:szCs w:val="22"/>
        </w:rPr>
        <w:t xml:space="preserve"> </w:t>
      </w:r>
      <w:r w:rsidR="00FE186F" w:rsidRPr="005849CC">
        <w:rPr>
          <w:rFonts w:ascii="Arial" w:hAnsi="Arial" w:cs="Arial"/>
          <w:sz w:val="22"/>
          <w:szCs w:val="22"/>
        </w:rPr>
        <w:t>na veřejnou zakázku „</w:t>
      </w:r>
      <w:r w:rsidR="000D051E" w:rsidRPr="005849CC">
        <w:rPr>
          <w:rFonts w:ascii="Arial" w:hAnsi="Arial" w:cs="Arial"/>
          <w:sz w:val="22"/>
          <w:szCs w:val="22"/>
        </w:rPr>
        <w:t>Dodávka vybavení pro zkvalitnění podmínek vzdělávání na ESOZ“</w:t>
      </w:r>
      <w:r w:rsidR="003808DB" w:rsidRPr="005849CC">
        <w:rPr>
          <w:rFonts w:ascii="Arial" w:hAnsi="Arial" w:cs="Arial"/>
          <w:sz w:val="22"/>
          <w:szCs w:val="22"/>
        </w:rPr>
        <w:t>. Jedná se o podlimitní zakázk</w:t>
      </w:r>
      <w:r w:rsidR="006D0FEA" w:rsidRPr="005849CC">
        <w:rPr>
          <w:rFonts w:ascii="Arial" w:hAnsi="Arial" w:cs="Arial"/>
          <w:sz w:val="22"/>
          <w:szCs w:val="22"/>
        </w:rPr>
        <w:t>u</w:t>
      </w:r>
      <w:r w:rsidR="003808DB" w:rsidRPr="005849CC">
        <w:rPr>
          <w:rFonts w:ascii="Arial" w:hAnsi="Arial" w:cs="Arial"/>
          <w:sz w:val="22"/>
          <w:szCs w:val="22"/>
        </w:rPr>
        <w:t xml:space="preserve"> na </w:t>
      </w:r>
      <w:r w:rsidR="007308B6" w:rsidRPr="005849CC">
        <w:rPr>
          <w:rFonts w:ascii="Arial" w:hAnsi="Arial" w:cs="Arial"/>
          <w:sz w:val="22"/>
          <w:szCs w:val="22"/>
        </w:rPr>
        <w:t>dodávky</w:t>
      </w:r>
      <w:r w:rsidR="003808DB" w:rsidRPr="005849CC">
        <w:rPr>
          <w:rFonts w:ascii="Arial" w:hAnsi="Arial" w:cs="Arial"/>
          <w:sz w:val="22"/>
          <w:szCs w:val="22"/>
        </w:rPr>
        <w:t xml:space="preserve"> </w:t>
      </w:r>
      <w:r w:rsidR="007308B6" w:rsidRPr="005849CC">
        <w:rPr>
          <w:rFonts w:ascii="Arial" w:hAnsi="Arial" w:cs="Arial"/>
          <w:sz w:val="22"/>
          <w:szCs w:val="22"/>
        </w:rPr>
        <w:t xml:space="preserve">rozdělenou na části a </w:t>
      </w:r>
      <w:r w:rsidR="006D0FEA" w:rsidRPr="005849CC">
        <w:rPr>
          <w:rFonts w:ascii="Arial" w:hAnsi="Arial" w:cs="Arial"/>
          <w:sz w:val="22"/>
          <w:szCs w:val="22"/>
        </w:rPr>
        <w:t xml:space="preserve">zadávanou ve zjednodušeném </w:t>
      </w:r>
      <w:r w:rsidR="007308B6" w:rsidRPr="005849CC">
        <w:rPr>
          <w:rFonts w:ascii="Arial" w:hAnsi="Arial" w:cs="Arial"/>
          <w:sz w:val="22"/>
          <w:szCs w:val="22"/>
        </w:rPr>
        <w:t xml:space="preserve">podlimitním řízení </w:t>
      </w:r>
      <w:r w:rsidR="006D0FEA" w:rsidRPr="005849CC">
        <w:rPr>
          <w:rFonts w:ascii="Arial" w:hAnsi="Arial" w:cs="Arial"/>
          <w:sz w:val="22"/>
          <w:szCs w:val="22"/>
        </w:rPr>
        <w:t xml:space="preserve">ve smyslu § </w:t>
      </w:r>
      <w:r w:rsidR="007308B6" w:rsidRPr="005849CC">
        <w:rPr>
          <w:rFonts w:ascii="Arial" w:hAnsi="Arial" w:cs="Arial"/>
          <w:sz w:val="22"/>
          <w:szCs w:val="22"/>
        </w:rPr>
        <w:t>53 a násl.</w:t>
      </w:r>
      <w:r w:rsidR="006D0FEA" w:rsidRPr="005849CC">
        <w:rPr>
          <w:rFonts w:ascii="Arial" w:hAnsi="Arial" w:cs="Arial"/>
          <w:sz w:val="22"/>
          <w:szCs w:val="22"/>
        </w:rPr>
        <w:t xml:space="preserve"> ZZVZ. </w:t>
      </w:r>
    </w:p>
    <w:p w14:paraId="67E1D8B8" w14:textId="77777777" w:rsidR="006D0FEA" w:rsidRPr="005849CC" w:rsidRDefault="006D0FEA" w:rsidP="006D0FEA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 xml:space="preserve">VZ bude zadávána elektronicky prostřednictvím certifikovaného elektronického nástroje </w:t>
      </w:r>
      <w:r w:rsidR="000D051E" w:rsidRPr="005849CC">
        <w:rPr>
          <w:rFonts w:ascii="Arial" w:hAnsi="Arial" w:cs="Arial"/>
          <w:b/>
          <w:bCs/>
          <w:sz w:val="22"/>
          <w:szCs w:val="22"/>
        </w:rPr>
        <w:t xml:space="preserve">Tender </w:t>
      </w:r>
      <w:proofErr w:type="spellStart"/>
      <w:r w:rsidR="000D051E" w:rsidRPr="005849CC">
        <w:rPr>
          <w:rFonts w:ascii="Arial" w:hAnsi="Arial" w:cs="Arial"/>
          <w:b/>
          <w:bCs/>
          <w:sz w:val="22"/>
          <w:szCs w:val="22"/>
        </w:rPr>
        <w:t>arena</w:t>
      </w:r>
      <w:proofErr w:type="spellEnd"/>
      <w:r w:rsidRPr="005849CC">
        <w:rPr>
          <w:rFonts w:ascii="Arial" w:hAnsi="Arial" w:cs="Arial"/>
          <w:sz w:val="22"/>
          <w:szCs w:val="22"/>
        </w:rPr>
        <w:t xml:space="preserve"> (</w:t>
      </w:r>
      <w:r w:rsidR="00714256" w:rsidRPr="005849CC">
        <w:rPr>
          <w:rFonts w:ascii="Arial" w:hAnsi="Arial" w:cs="Arial"/>
          <w:sz w:val="22"/>
          <w:szCs w:val="22"/>
        </w:rPr>
        <w:t>dále též „</w:t>
      </w:r>
      <w:r w:rsidR="000D051E" w:rsidRPr="005849CC">
        <w:rPr>
          <w:rFonts w:ascii="Arial" w:hAnsi="Arial" w:cs="Arial"/>
          <w:sz w:val="22"/>
          <w:szCs w:val="22"/>
        </w:rPr>
        <w:t>TA</w:t>
      </w:r>
      <w:r w:rsidR="00714256" w:rsidRPr="005849CC">
        <w:rPr>
          <w:rFonts w:ascii="Arial" w:hAnsi="Arial" w:cs="Arial"/>
          <w:sz w:val="22"/>
          <w:szCs w:val="22"/>
        </w:rPr>
        <w:t>“</w:t>
      </w:r>
      <w:r w:rsidRPr="005849CC">
        <w:rPr>
          <w:rFonts w:ascii="Arial" w:hAnsi="Arial" w:cs="Arial"/>
          <w:sz w:val="22"/>
          <w:szCs w:val="22"/>
        </w:rPr>
        <w:t>).</w:t>
      </w:r>
    </w:p>
    <w:p w14:paraId="5E440C78" w14:textId="77777777" w:rsidR="006D0FEA" w:rsidRPr="005849CC" w:rsidRDefault="006D0FEA" w:rsidP="006D0FEA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 xml:space="preserve">Zakázka je členěna na </w:t>
      </w:r>
      <w:r w:rsidR="000D051E" w:rsidRPr="005849CC">
        <w:rPr>
          <w:rFonts w:ascii="Arial" w:hAnsi="Arial" w:cs="Arial"/>
          <w:b/>
          <w:bCs/>
          <w:sz w:val="22"/>
          <w:szCs w:val="22"/>
        </w:rPr>
        <w:t>4</w:t>
      </w:r>
      <w:r w:rsidRPr="005849CC">
        <w:rPr>
          <w:rFonts w:ascii="Arial" w:hAnsi="Arial" w:cs="Arial"/>
          <w:b/>
          <w:bCs/>
          <w:sz w:val="22"/>
          <w:szCs w:val="22"/>
        </w:rPr>
        <w:t xml:space="preserve"> část</w:t>
      </w:r>
      <w:r w:rsidR="000D051E" w:rsidRPr="005849CC">
        <w:rPr>
          <w:rFonts w:ascii="Arial" w:hAnsi="Arial" w:cs="Arial"/>
          <w:b/>
          <w:bCs/>
          <w:sz w:val="22"/>
          <w:szCs w:val="22"/>
        </w:rPr>
        <w:t>i.</w:t>
      </w:r>
    </w:p>
    <w:p w14:paraId="739F3A92" w14:textId="77777777" w:rsidR="00121D17" w:rsidRPr="005849CC" w:rsidRDefault="00121D17" w:rsidP="00121D17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lastRenderedPageBreak/>
        <w:t xml:space="preserve">Předpokládaná hodnota VZ činí bez DPH: </w:t>
      </w:r>
      <w:r w:rsidR="005E2D95" w:rsidRPr="005849CC">
        <w:rPr>
          <w:rFonts w:ascii="Arial" w:hAnsi="Arial" w:cs="Arial"/>
          <w:b/>
          <w:bCs/>
          <w:sz w:val="22"/>
          <w:szCs w:val="22"/>
        </w:rPr>
        <w:t>2 304 </w:t>
      </w:r>
      <w:r w:rsidR="005849CC">
        <w:rPr>
          <w:rFonts w:ascii="Arial" w:hAnsi="Arial" w:cs="Arial"/>
          <w:b/>
          <w:bCs/>
          <w:sz w:val="22"/>
          <w:szCs w:val="22"/>
        </w:rPr>
        <w:t>1</w:t>
      </w:r>
      <w:r w:rsidR="005E2D95" w:rsidRPr="005849CC">
        <w:rPr>
          <w:rFonts w:ascii="Arial" w:hAnsi="Arial" w:cs="Arial"/>
          <w:b/>
          <w:bCs/>
          <w:sz w:val="22"/>
          <w:szCs w:val="22"/>
        </w:rPr>
        <w:t xml:space="preserve">00,00 </w:t>
      </w:r>
      <w:r w:rsidRPr="005849CC">
        <w:rPr>
          <w:rFonts w:ascii="Arial" w:hAnsi="Arial" w:cs="Arial"/>
          <w:sz w:val="22"/>
          <w:szCs w:val="22"/>
        </w:rPr>
        <w:t>Kč</w:t>
      </w:r>
    </w:p>
    <w:p w14:paraId="3E96F138" w14:textId="77777777" w:rsidR="00121D17" w:rsidRPr="005849CC" w:rsidRDefault="00121D17" w:rsidP="00121D17">
      <w:pPr>
        <w:pStyle w:val="Style12"/>
        <w:spacing w:after="120" w:line="240" w:lineRule="auto"/>
        <w:ind w:left="360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>Jednotlivé části VZ jsou:</w:t>
      </w:r>
    </w:p>
    <w:p w14:paraId="3FB0C6B0" w14:textId="77777777" w:rsidR="00121D17" w:rsidRPr="005849CC" w:rsidRDefault="00121D17" w:rsidP="00121D17">
      <w:pPr>
        <w:pStyle w:val="Odstavecseseznamem"/>
        <w:spacing w:after="120"/>
        <w:ind w:left="360"/>
        <w:jc w:val="both"/>
        <w:rPr>
          <w:rFonts w:ascii="Arial" w:hAnsi="Arial" w:cs="Arial"/>
          <w:bCs/>
          <w:iCs/>
        </w:rPr>
      </w:pPr>
      <w:bookmarkStart w:id="0" w:name="_Toc24026903"/>
      <w:r w:rsidRPr="005849CC">
        <w:rPr>
          <w:rFonts w:ascii="Arial" w:hAnsi="Arial" w:cs="Arial"/>
          <w:bCs/>
          <w:iCs/>
        </w:rPr>
        <w:t>Část 01 - „</w:t>
      </w:r>
      <w:r w:rsidR="005E2D95" w:rsidRPr="005849CC">
        <w:rPr>
          <w:rFonts w:ascii="Arial" w:hAnsi="Arial" w:cs="Arial"/>
          <w:bCs/>
          <w:iCs/>
        </w:rPr>
        <w:t>Dodávka nářadí</w:t>
      </w:r>
      <w:r w:rsidRPr="005849CC">
        <w:rPr>
          <w:rFonts w:ascii="Arial" w:hAnsi="Arial" w:cs="Arial"/>
          <w:bCs/>
          <w:iCs/>
        </w:rPr>
        <w:t>“</w:t>
      </w:r>
      <w:bookmarkEnd w:id="0"/>
      <w:r w:rsidRPr="005849CC">
        <w:rPr>
          <w:rFonts w:ascii="Arial" w:hAnsi="Arial" w:cs="Arial"/>
          <w:bCs/>
          <w:iCs/>
        </w:rPr>
        <w:t xml:space="preserve">, předpokládaná hodnota </w:t>
      </w:r>
      <w:r w:rsidR="005849CC" w:rsidRPr="005849CC">
        <w:rPr>
          <w:rFonts w:ascii="Arial" w:hAnsi="Arial" w:cs="Arial"/>
          <w:bCs/>
          <w:iCs/>
        </w:rPr>
        <w:t>1 113 100,00 Kč</w:t>
      </w:r>
    </w:p>
    <w:p w14:paraId="7BC32381" w14:textId="77777777" w:rsidR="00121D17" w:rsidRPr="005849CC" w:rsidRDefault="00121D17" w:rsidP="00121D17">
      <w:pPr>
        <w:pStyle w:val="Odstavecseseznamem"/>
        <w:spacing w:after="120"/>
        <w:ind w:left="360"/>
        <w:jc w:val="both"/>
        <w:rPr>
          <w:rFonts w:ascii="Arial" w:hAnsi="Arial" w:cs="Arial"/>
          <w:bCs/>
          <w:iCs/>
        </w:rPr>
      </w:pPr>
      <w:bookmarkStart w:id="1" w:name="_Toc24026916"/>
      <w:r w:rsidRPr="005849CC">
        <w:rPr>
          <w:rFonts w:ascii="Arial" w:hAnsi="Arial" w:cs="Arial"/>
          <w:bCs/>
          <w:iCs/>
        </w:rPr>
        <w:t>Část 02 - „</w:t>
      </w:r>
      <w:r w:rsidR="005E2D95" w:rsidRPr="005849CC">
        <w:rPr>
          <w:rFonts w:ascii="Arial" w:hAnsi="Arial" w:cs="Arial"/>
          <w:bCs/>
          <w:iCs/>
        </w:rPr>
        <w:t>Dodávka výukových stavebnic</w:t>
      </w:r>
      <w:r w:rsidRPr="005849CC">
        <w:rPr>
          <w:rFonts w:ascii="Arial" w:hAnsi="Arial" w:cs="Arial"/>
          <w:bCs/>
          <w:iCs/>
        </w:rPr>
        <w:t>“</w:t>
      </w:r>
      <w:bookmarkEnd w:id="1"/>
      <w:r w:rsidRPr="005849CC">
        <w:rPr>
          <w:rFonts w:ascii="Arial" w:hAnsi="Arial" w:cs="Arial"/>
          <w:bCs/>
          <w:iCs/>
        </w:rPr>
        <w:t xml:space="preserve">, předpokládaná hodnota </w:t>
      </w:r>
      <w:r w:rsidR="005849CC" w:rsidRPr="005849CC">
        <w:rPr>
          <w:rFonts w:ascii="Arial" w:hAnsi="Arial" w:cs="Arial"/>
          <w:bCs/>
          <w:iCs/>
        </w:rPr>
        <w:t xml:space="preserve">235 200,00 </w:t>
      </w:r>
      <w:r w:rsidRPr="005849CC">
        <w:rPr>
          <w:rFonts w:ascii="Arial" w:hAnsi="Arial" w:cs="Arial"/>
          <w:bCs/>
          <w:iCs/>
        </w:rPr>
        <w:t>Kč</w:t>
      </w:r>
    </w:p>
    <w:p w14:paraId="0835F657" w14:textId="77777777" w:rsidR="00121D17" w:rsidRPr="005849CC" w:rsidRDefault="00121D17" w:rsidP="005849CC">
      <w:pPr>
        <w:pStyle w:val="Odstavecseseznamem"/>
        <w:spacing w:after="120"/>
        <w:ind w:left="360"/>
        <w:jc w:val="both"/>
        <w:rPr>
          <w:rFonts w:ascii="Arial" w:hAnsi="Arial" w:cs="Arial"/>
          <w:bCs/>
          <w:iCs/>
        </w:rPr>
      </w:pPr>
      <w:bookmarkStart w:id="2" w:name="_Toc24026919"/>
      <w:r w:rsidRPr="005849CC">
        <w:rPr>
          <w:rFonts w:ascii="Arial" w:hAnsi="Arial" w:cs="Arial"/>
          <w:bCs/>
          <w:iCs/>
        </w:rPr>
        <w:t>Část 03 - „</w:t>
      </w:r>
      <w:r w:rsidR="005E2D95" w:rsidRPr="005849CC">
        <w:rPr>
          <w:rFonts w:ascii="Arial" w:hAnsi="Arial" w:cs="Arial"/>
          <w:bCs/>
          <w:iCs/>
        </w:rPr>
        <w:t>Dodávka výpočetní techniky</w:t>
      </w:r>
      <w:r w:rsidRPr="005849CC">
        <w:rPr>
          <w:rFonts w:ascii="Arial" w:hAnsi="Arial" w:cs="Arial"/>
          <w:bCs/>
          <w:iCs/>
        </w:rPr>
        <w:t>“</w:t>
      </w:r>
      <w:bookmarkEnd w:id="2"/>
      <w:r w:rsidRPr="005849CC">
        <w:rPr>
          <w:rFonts w:ascii="Arial" w:hAnsi="Arial" w:cs="Arial"/>
          <w:bCs/>
          <w:iCs/>
        </w:rPr>
        <w:t xml:space="preserve">, předpokládaná hodnota </w:t>
      </w:r>
      <w:r w:rsidR="005849CC" w:rsidRPr="005849CC">
        <w:rPr>
          <w:rFonts w:ascii="Arial" w:hAnsi="Arial" w:cs="Arial"/>
          <w:bCs/>
          <w:iCs/>
        </w:rPr>
        <w:t>589 200,00 Kč</w:t>
      </w:r>
    </w:p>
    <w:p w14:paraId="19381F6E" w14:textId="77777777" w:rsidR="00121D17" w:rsidRPr="005849CC" w:rsidRDefault="00121D17" w:rsidP="005849CC">
      <w:pPr>
        <w:pStyle w:val="Odstavecseseznamem"/>
        <w:spacing w:after="120"/>
        <w:ind w:left="360"/>
        <w:jc w:val="both"/>
        <w:rPr>
          <w:rFonts w:ascii="Arial" w:hAnsi="Arial" w:cs="Arial"/>
          <w:bCs/>
          <w:iCs/>
        </w:rPr>
      </w:pPr>
      <w:bookmarkStart w:id="3" w:name="_Toc24026922"/>
      <w:r w:rsidRPr="005849CC">
        <w:rPr>
          <w:rFonts w:ascii="Arial" w:hAnsi="Arial" w:cs="Arial"/>
          <w:bCs/>
          <w:iCs/>
        </w:rPr>
        <w:t>Část 04 - „</w:t>
      </w:r>
      <w:r w:rsidR="005E2D95" w:rsidRPr="005849CC">
        <w:rPr>
          <w:rFonts w:ascii="Arial" w:hAnsi="Arial" w:cs="Arial"/>
          <w:bCs/>
          <w:iCs/>
        </w:rPr>
        <w:t>Dodávka výukových modelů a simulátorů</w:t>
      </w:r>
      <w:r w:rsidRPr="005849CC">
        <w:rPr>
          <w:rFonts w:ascii="Arial" w:hAnsi="Arial" w:cs="Arial"/>
          <w:bCs/>
          <w:iCs/>
        </w:rPr>
        <w:t>“</w:t>
      </w:r>
      <w:bookmarkEnd w:id="3"/>
      <w:r w:rsidRPr="005849CC">
        <w:rPr>
          <w:rFonts w:ascii="Arial" w:hAnsi="Arial" w:cs="Arial"/>
          <w:bCs/>
          <w:iCs/>
        </w:rPr>
        <w:t xml:space="preserve">, předpokládaná hodnota </w:t>
      </w:r>
      <w:r w:rsidR="005849CC">
        <w:rPr>
          <w:rFonts w:ascii="Arial" w:hAnsi="Arial" w:cs="Arial"/>
          <w:bCs/>
          <w:iCs/>
        </w:rPr>
        <w:t>366 600,00 </w:t>
      </w:r>
      <w:r w:rsidR="005849CC" w:rsidRPr="005849CC">
        <w:rPr>
          <w:rFonts w:ascii="Arial" w:hAnsi="Arial" w:cs="Arial"/>
          <w:bCs/>
          <w:iCs/>
        </w:rPr>
        <w:t>Kč</w:t>
      </w:r>
    </w:p>
    <w:p w14:paraId="191A7ECD" w14:textId="77777777" w:rsidR="00714256" w:rsidRPr="005849CC" w:rsidRDefault="00714256" w:rsidP="00714256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 xml:space="preserve">Za účelem zadání VZ </w:t>
      </w:r>
      <w:r w:rsidR="005E2D95" w:rsidRPr="005849CC">
        <w:rPr>
          <w:rFonts w:ascii="Arial" w:hAnsi="Arial" w:cs="Arial"/>
          <w:sz w:val="22"/>
          <w:szCs w:val="22"/>
        </w:rPr>
        <w:t>umožní</w:t>
      </w:r>
      <w:r w:rsidRPr="005849CC">
        <w:rPr>
          <w:rFonts w:ascii="Arial" w:hAnsi="Arial" w:cs="Arial"/>
          <w:sz w:val="22"/>
          <w:szCs w:val="22"/>
        </w:rPr>
        <w:t xml:space="preserve"> příkazce </w:t>
      </w:r>
      <w:r w:rsidR="001B2176" w:rsidRPr="005849CC">
        <w:rPr>
          <w:rFonts w:ascii="Arial" w:hAnsi="Arial" w:cs="Arial"/>
          <w:sz w:val="22"/>
          <w:szCs w:val="22"/>
        </w:rPr>
        <w:t xml:space="preserve">příkazníkovi přístup na svůj </w:t>
      </w:r>
      <w:r w:rsidRPr="005849CC">
        <w:rPr>
          <w:rFonts w:ascii="Arial" w:hAnsi="Arial" w:cs="Arial"/>
          <w:sz w:val="22"/>
          <w:szCs w:val="22"/>
        </w:rPr>
        <w:t>profil zadavatele v </w:t>
      </w:r>
      <w:r w:rsidR="001B2176" w:rsidRPr="005849CC">
        <w:rPr>
          <w:rFonts w:ascii="Arial" w:hAnsi="Arial" w:cs="Arial"/>
          <w:sz w:val="22"/>
          <w:szCs w:val="22"/>
        </w:rPr>
        <w:t>TA</w:t>
      </w:r>
      <w:r w:rsidRPr="005849CC">
        <w:rPr>
          <w:rFonts w:ascii="Arial" w:hAnsi="Arial" w:cs="Arial"/>
          <w:sz w:val="22"/>
          <w:szCs w:val="22"/>
        </w:rPr>
        <w:t xml:space="preserve"> a </w:t>
      </w:r>
      <w:r w:rsidR="001B2176" w:rsidRPr="005849CC">
        <w:rPr>
          <w:rFonts w:ascii="Arial" w:hAnsi="Arial" w:cs="Arial"/>
          <w:sz w:val="22"/>
          <w:szCs w:val="22"/>
        </w:rPr>
        <w:t xml:space="preserve">příkazník bude </w:t>
      </w:r>
      <w:r w:rsidRPr="005849CC">
        <w:rPr>
          <w:rFonts w:ascii="Arial" w:hAnsi="Arial" w:cs="Arial"/>
          <w:sz w:val="22"/>
          <w:szCs w:val="22"/>
        </w:rPr>
        <w:t xml:space="preserve">u VZ vystupovat jako </w:t>
      </w:r>
      <w:r w:rsidR="001B2176" w:rsidRPr="005849CC">
        <w:rPr>
          <w:rFonts w:ascii="Arial" w:hAnsi="Arial" w:cs="Arial"/>
          <w:sz w:val="22"/>
          <w:szCs w:val="22"/>
        </w:rPr>
        <w:t>manažer zakázky</w:t>
      </w:r>
      <w:r w:rsidRPr="005849CC">
        <w:rPr>
          <w:rFonts w:ascii="Arial" w:hAnsi="Arial" w:cs="Arial"/>
          <w:sz w:val="22"/>
          <w:szCs w:val="22"/>
        </w:rPr>
        <w:t>.</w:t>
      </w:r>
    </w:p>
    <w:p w14:paraId="287F4F06" w14:textId="77777777" w:rsidR="003808DB" w:rsidRPr="005849CC" w:rsidRDefault="00D719BC" w:rsidP="00646BE8">
      <w:pPr>
        <w:pStyle w:val="Style12"/>
        <w:numPr>
          <w:ilvl w:val="0"/>
          <w:numId w:val="26"/>
        </w:numPr>
        <w:spacing w:after="120" w:line="240" w:lineRule="auto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>Administrací a o</w:t>
      </w:r>
      <w:r w:rsidRPr="005849CC">
        <w:rPr>
          <w:rFonts w:ascii="Arial" w:hAnsi="Arial" w:cs="Arial"/>
          <w:bCs/>
          <w:sz w:val="22"/>
          <w:szCs w:val="22"/>
        </w:rPr>
        <w:t>rganizačním zajištěním zadávacího řízení se rozumí</w:t>
      </w:r>
      <w:r w:rsidRPr="005849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849CC">
        <w:rPr>
          <w:rFonts w:ascii="Arial" w:hAnsi="Arial" w:cs="Arial"/>
          <w:bCs/>
          <w:sz w:val="22"/>
          <w:szCs w:val="22"/>
        </w:rPr>
        <w:t xml:space="preserve">zejména </w:t>
      </w:r>
      <w:r w:rsidR="003808DB" w:rsidRPr="005849CC">
        <w:rPr>
          <w:rFonts w:ascii="Arial" w:hAnsi="Arial" w:cs="Arial"/>
          <w:sz w:val="22"/>
          <w:szCs w:val="22"/>
        </w:rPr>
        <w:t xml:space="preserve">veškeré činnosti potřebné </w:t>
      </w:r>
      <w:r w:rsidRPr="005849CC">
        <w:rPr>
          <w:rFonts w:ascii="Arial" w:hAnsi="Arial" w:cs="Arial"/>
          <w:sz w:val="22"/>
          <w:szCs w:val="22"/>
        </w:rPr>
        <w:t>dle Z</w:t>
      </w:r>
      <w:r w:rsidR="003808DB" w:rsidRPr="005849CC">
        <w:rPr>
          <w:rFonts w:ascii="Arial" w:hAnsi="Arial" w:cs="Arial"/>
          <w:sz w:val="22"/>
          <w:szCs w:val="22"/>
        </w:rPr>
        <w:t>Z</w:t>
      </w:r>
      <w:r w:rsidRPr="005849CC">
        <w:rPr>
          <w:rFonts w:ascii="Arial" w:hAnsi="Arial" w:cs="Arial"/>
          <w:sz w:val="22"/>
          <w:szCs w:val="22"/>
        </w:rPr>
        <w:t>VZ a závazných pokynů či pravidel poskytovatele dotace, k zajištění řádného průběhu a ukončení zadávacího řízení.</w:t>
      </w:r>
    </w:p>
    <w:p w14:paraId="370756C6" w14:textId="77777777" w:rsidR="00D719BC" w:rsidRPr="005849CC" w:rsidRDefault="003808DB" w:rsidP="004E37E4">
      <w:pPr>
        <w:pStyle w:val="Style12"/>
        <w:spacing w:line="240" w:lineRule="auto"/>
        <w:rPr>
          <w:rFonts w:ascii="Arial" w:hAnsi="Arial" w:cs="Arial"/>
          <w:sz w:val="22"/>
          <w:szCs w:val="22"/>
        </w:rPr>
      </w:pPr>
      <w:r w:rsidRPr="005849CC">
        <w:rPr>
          <w:rFonts w:ascii="Arial" w:hAnsi="Arial" w:cs="Arial"/>
          <w:sz w:val="22"/>
          <w:szCs w:val="22"/>
        </w:rPr>
        <w:t xml:space="preserve">Jednat se bude </w:t>
      </w:r>
      <w:r w:rsidR="00D719BC" w:rsidRPr="005849CC">
        <w:rPr>
          <w:rFonts w:ascii="Arial" w:hAnsi="Arial" w:cs="Arial"/>
          <w:sz w:val="22"/>
          <w:szCs w:val="22"/>
        </w:rPr>
        <w:t>zejména o následující činnosti:</w:t>
      </w:r>
    </w:p>
    <w:p w14:paraId="2F98A93F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 přípravou zadávacího řízení: příprava zadávacích podmínek a jejich konzultace se zadavatelem a s osobami pověřenými zadavatelem; zpracování a kompletování zadávacích podmínek včetně návrhu smlouvy;</w:t>
      </w:r>
    </w:p>
    <w:p w14:paraId="0EA19C06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 povinností uveřejňování a odeslání dle Z</w:t>
      </w:r>
      <w:r w:rsidR="003808DB" w:rsidRPr="005849CC">
        <w:rPr>
          <w:rFonts w:ascii="Arial" w:hAnsi="Arial" w:cs="Arial"/>
        </w:rPr>
        <w:t>Z</w:t>
      </w:r>
      <w:r w:rsidRPr="005849CC">
        <w:rPr>
          <w:rFonts w:ascii="Arial" w:hAnsi="Arial" w:cs="Arial"/>
        </w:rPr>
        <w:t>VZ</w:t>
      </w:r>
      <w:r w:rsidR="00714256" w:rsidRPr="005849CC">
        <w:rPr>
          <w:rFonts w:ascii="Arial" w:hAnsi="Arial" w:cs="Arial"/>
        </w:rPr>
        <w:t xml:space="preserve"> na profilu zadavatele a ve Věstníku veřejných zakázek</w:t>
      </w:r>
      <w:r w:rsidRPr="005849CC">
        <w:rPr>
          <w:rFonts w:ascii="Arial" w:hAnsi="Arial" w:cs="Arial"/>
        </w:rPr>
        <w:t xml:space="preserve">: odeslání </w:t>
      </w:r>
      <w:r w:rsidR="00714256" w:rsidRPr="005849CC">
        <w:rPr>
          <w:rFonts w:ascii="Arial" w:hAnsi="Arial" w:cs="Arial"/>
        </w:rPr>
        <w:t>oznámení o zahájení ZŘ vč. zadávacích podmínek</w:t>
      </w:r>
      <w:r w:rsidRPr="005849CC">
        <w:rPr>
          <w:rFonts w:ascii="Arial" w:hAnsi="Arial" w:cs="Arial"/>
        </w:rPr>
        <w:t>, uveřejnění a odeslání dodatečných informací a výsledku zadávacího řízení, případně oznámení o zrušení zadávacího řízení;</w:t>
      </w:r>
    </w:p>
    <w:p w14:paraId="68EB4641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 průb</w:t>
      </w:r>
      <w:r w:rsidR="0075451E" w:rsidRPr="005849CC">
        <w:rPr>
          <w:rFonts w:ascii="Arial" w:hAnsi="Arial" w:cs="Arial"/>
        </w:rPr>
        <w:t xml:space="preserve">ěhem lhůty pro podání nabídek: </w:t>
      </w:r>
      <w:r w:rsidRPr="005849CC">
        <w:rPr>
          <w:rFonts w:ascii="Arial" w:hAnsi="Arial" w:cs="Arial"/>
        </w:rPr>
        <w:t>přijímání žádostí o dodatečné informace, zpracování, odeslání a uveřejňování dodatečných informací v souladu se Z</w:t>
      </w:r>
      <w:r w:rsidR="00472A31" w:rsidRPr="005849CC">
        <w:rPr>
          <w:rFonts w:ascii="Arial" w:hAnsi="Arial" w:cs="Arial"/>
        </w:rPr>
        <w:t>Z</w:t>
      </w:r>
      <w:r w:rsidRPr="005849CC">
        <w:rPr>
          <w:rFonts w:ascii="Arial" w:hAnsi="Arial" w:cs="Arial"/>
        </w:rPr>
        <w:t>VZ;</w:t>
      </w:r>
    </w:p>
    <w:p w14:paraId="24F30EAC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 administrací přípravy, průběhu a výstupů jednání komise: zpracování</w:t>
      </w:r>
      <w:r w:rsidR="0075451E" w:rsidRPr="005849CC">
        <w:rPr>
          <w:rFonts w:ascii="Arial" w:hAnsi="Arial" w:cs="Arial"/>
        </w:rPr>
        <w:t xml:space="preserve"> dokumentů pro ustanovení komise</w:t>
      </w:r>
      <w:r w:rsidRPr="005849CC">
        <w:rPr>
          <w:rFonts w:ascii="Arial" w:hAnsi="Arial" w:cs="Arial"/>
        </w:rPr>
        <w:t xml:space="preserve">, zpracování seznamu doručených nabídek, účast na jednáních a </w:t>
      </w:r>
      <w:r w:rsidR="0075451E" w:rsidRPr="005849CC">
        <w:rPr>
          <w:rFonts w:ascii="Arial" w:hAnsi="Arial" w:cs="Arial"/>
        </w:rPr>
        <w:t>zajištění průběhu jednání komise</w:t>
      </w:r>
      <w:r w:rsidRPr="005849CC">
        <w:rPr>
          <w:rFonts w:ascii="Arial" w:hAnsi="Arial" w:cs="Arial"/>
        </w:rPr>
        <w:t xml:space="preserve"> včetně zpracování příslušné související dokumentace, čestných prohlášení, protokolů a zápisů, žádostí o objasnění nabídek nebo předložení dodatečných informací či dokladů, žádostí o zdůvodnění mimořádně nízké nabídkové ceny, oznámení o vyloučení uchazečů a další související činnosti dle požadavků Z</w:t>
      </w:r>
      <w:r w:rsidR="0075451E" w:rsidRPr="005849CC">
        <w:rPr>
          <w:rFonts w:ascii="Arial" w:hAnsi="Arial" w:cs="Arial"/>
        </w:rPr>
        <w:t>Z</w:t>
      </w:r>
      <w:r w:rsidRPr="005849CC">
        <w:rPr>
          <w:rFonts w:ascii="Arial" w:hAnsi="Arial" w:cs="Arial"/>
        </w:rPr>
        <w:t>VZ;</w:t>
      </w:r>
    </w:p>
    <w:p w14:paraId="1B8694E8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 průběhem lhůty, po kterou jsou uchazeči svými nabídkami vázáni: zpracování podkladů pro rozhodnutí zadavatele o výběru nejvhodnější nabídky, zpracování, uveřejnění a odeslání oznámení o výběru nejvhodnější nabídky;</w:t>
      </w:r>
    </w:p>
    <w:p w14:paraId="150B5982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 ukončením zadávacího řízení: administrace procesu uzavření smlouvy s vybraným dodavatelem, odeslání informace o uzavření smlouvy v souladu se Z</w:t>
      </w:r>
      <w:r w:rsidR="0075451E" w:rsidRPr="005849CC">
        <w:rPr>
          <w:rFonts w:ascii="Arial" w:hAnsi="Arial" w:cs="Arial"/>
        </w:rPr>
        <w:t>Z</w:t>
      </w:r>
      <w:r w:rsidRPr="005849CC">
        <w:rPr>
          <w:rFonts w:ascii="Arial" w:hAnsi="Arial" w:cs="Arial"/>
        </w:rPr>
        <w:t xml:space="preserve">VZ, zpracování a zajištění uveřejnění oznámení o zadání veřejné zakázky ve Věstníku veřejných zakázek, zpracování a uveřejnění písemné zprávy zadavatele a uzavřené smlouvy na profilu zadavatele; případně zrušení zadávacího řízení, zpracování, uveřejnění a odeslání příslušné dokumentace; </w:t>
      </w:r>
    </w:p>
    <w:p w14:paraId="6F757FCE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 předáním a sumarizací dokumentace k veřejné zakázce k archivaci,</w:t>
      </w:r>
    </w:p>
    <w:p w14:paraId="09B4E8CB" w14:textId="77777777" w:rsidR="00D719BC" w:rsidRPr="005849CC" w:rsidRDefault="00D719BC" w:rsidP="00646BE8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činnosti spojené s případným řešením opravných prostředků uplatněných uchazeči: zpracování rozhodnutí zadavatele o námitkách uchazečů, spolupráce se zadavatelem a odborné poradenství v případě řízení před Úřadem pro ochranu hospodářské soutěže</w:t>
      </w:r>
      <w:r w:rsidR="00E876D3" w:rsidRPr="005849CC">
        <w:rPr>
          <w:rFonts w:ascii="Arial" w:hAnsi="Arial" w:cs="Arial"/>
        </w:rPr>
        <w:t>;</w:t>
      </w:r>
    </w:p>
    <w:p w14:paraId="7C535709" w14:textId="77777777" w:rsidR="00D719BC" w:rsidRPr="005849CC" w:rsidRDefault="00D719BC" w:rsidP="00646BE8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43EE351" w14:textId="77777777" w:rsidR="001B2176" w:rsidRPr="005849CC" w:rsidRDefault="00D719BC" w:rsidP="00015C09">
      <w:pPr>
        <w:spacing w:before="60"/>
        <w:jc w:val="both"/>
        <w:rPr>
          <w:rStyle w:val="Zdraznn"/>
          <w:rFonts w:ascii="Arial" w:hAnsi="Arial" w:cs="Arial"/>
          <w:bCs/>
          <w:i w:val="0"/>
          <w:iCs w:val="0"/>
        </w:rPr>
      </w:pPr>
      <w:r w:rsidRPr="005849CC">
        <w:rPr>
          <w:rStyle w:val="Zdraznn"/>
          <w:rFonts w:ascii="Arial" w:hAnsi="Arial" w:cs="Arial"/>
          <w:bCs/>
          <w:i w:val="0"/>
          <w:iCs w:val="0"/>
        </w:rPr>
        <w:t xml:space="preserve">Pokud některé činnosti, které jsou potřebné k řádnému </w:t>
      </w:r>
      <w:r w:rsidRPr="005849CC">
        <w:rPr>
          <w:rFonts w:ascii="Arial" w:hAnsi="Arial" w:cs="Arial"/>
        </w:rPr>
        <w:t xml:space="preserve">zajištění administrace a organizace zadávacího řízení </w:t>
      </w:r>
      <w:r w:rsidRPr="005849CC">
        <w:rPr>
          <w:rStyle w:val="Zdraznn"/>
          <w:rFonts w:ascii="Arial" w:hAnsi="Arial" w:cs="Arial"/>
          <w:bCs/>
          <w:i w:val="0"/>
          <w:iCs w:val="0"/>
        </w:rPr>
        <w:t>dle Z</w:t>
      </w:r>
      <w:r w:rsidR="0075451E" w:rsidRPr="005849CC">
        <w:rPr>
          <w:rStyle w:val="Zdraznn"/>
          <w:rFonts w:ascii="Arial" w:hAnsi="Arial" w:cs="Arial"/>
          <w:bCs/>
          <w:i w:val="0"/>
          <w:iCs w:val="0"/>
        </w:rPr>
        <w:t>Z</w:t>
      </w:r>
      <w:r w:rsidRPr="005849CC">
        <w:rPr>
          <w:rStyle w:val="Zdraznn"/>
          <w:rFonts w:ascii="Arial" w:hAnsi="Arial" w:cs="Arial"/>
          <w:bCs/>
          <w:i w:val="0"/>
          <w:iCs w:val="0"/>
        </w:rPr>
        <w:t>VZ a závazných pokynů či pravidel poskytovatele dotace, nejsou zahrnuty ve výše uvedeném výčtu, má se za to, že jsou jeho obsahem.</w:t>
      </w:r>
    </w:p>
    <w:p w14:paraId="1BA35566" w14:textId="77777777" w:rsidR="00015C09" w:rsidRPr="005849CC" w:rsidRDefault="00015C09" w:rsidP="00015C09">
      <w:pPr>
        <w:spacing w:before="60"/>
        <w:jc w:val="both"/>
        <w:rPr>
          <w:rStyle w:val="Zdraznn"/>
          <w:rFonts w:ascii="Arial" w:hAnsi="Arial" w:cs="Arial"/>
          <w:bCs/>
          <w:i w:val="0"/>
          <w:iCs w:val="0"/>
        </w:rPr>
      </w:pPr>
    </w:p>
    <w:p w14:paraId="640FDBA8" w14:textId="77777777" w:rsidR="00015C09" w:rsidRPr="005849CC" w:rsidRDefault="00015C09" w:rsidP="00015C09">
      <w:pPr>
        <w:spacing w:before="60"/>
        <w:jc w:val="both"/>
        <w:rPr>
          <w:rStyle w:val="Zdraznn"/>
          <w:rFonts w:ascii="Arial" w:hAnsi="Arial" w:cs="Arial"/>
          <w:bCs/>
          <w:i w:val="0"/>
          <w:iCs w:val="0"/>
        </w:rPr>
      </w:pPr>
    </w:p>
    <w:p w14:paraId="4F6A9F50" w14:textId="77777777" w:rsidR="00015C09" w:rsidRPr="005849CC" w:rsidRDefault="00015C09" w:rsidP="00015C09">
      <w:pPr>
        <w:spacing w:before="60"/>
        <w:jc w:val="both"/>
        <w:rPr>
          <w:rFonts w:ascii="Arial" w:hAnsi="Arial" w:cs="Arial"/>
          <w:bCs/>
        </w:rPr>
      </w:pPr>
    </w:p>
    <w:p w14:paraId="486E8D63" w14:textId="77777777" w:rsidR="00D719BC" w:rsidRPr="005849CC" w:rsidRDefault="00D719BC" w:rsidP="003565BA">
      <w:pPr>
        <w:jc w:val="center"/>
        <w:rPr>
          <w:rFonts w:ascii="Arial" w:hAnsi="Arial" w:cs="Arial"/>
          <w:b/>
        </w:rPr>
      </w:pPr>
      <w:r w:rsidRPr="005849CC">
        <w:rPr>
          <w:rFonts w:ascii="Arial" w:hAnsi="Arial" w:cs="Arial"/>
          <w:b/>
        </w:rPr>
        <w:t>III. Doba plnění</w:t>
      </w:r>
    </w:p>
    <w:p w14:paraId="5432FA30" w14:textId="77777777" w:rsidR="00015C09" w:rsidRPr="005849CC" w:rsidRDefault="00D719BC" w:rsidP="00714256">
      <w:pPr>
        <w:pStyle w:val="Zkladntext2"/>
        <w:numPr>
          <w:ilvl w:val="1"/>
          <w:numId w:val="2"/>
        </w:numPr>
        <w:tabs>
          <w:tab w:val="num" w:pos="360"/>
        </w:tabs>
        <w:spacing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Plnění předmětu smlouvy bude zahájeno bezodkladně po uzavření smlouvy.</w:t>
      </w:r>
      <w:r w:rsidR="005B1E83" w:rsidRPr="005849CC">
        <w:rPr>
          <w:rFonts w:ascii="Arial" w:hAnsi="Arial" w:cs="Arial"/>
        </w:rPr>
        <w:t xml:space="preserve"> </w:t>
      </w:r>
      <w:r w:rsidR="001B2176" w:rsidRPr="005849CC">
        <w:rPr>
          <w:rFonts w:ascii="Arial" w:hAnsi="Arial" w:cs="Arial"/>
        </w:rPr>
        <w:t xml:space="preserve">Kompletní zadávací podmínky včetně všech relevantních příloh budou příkazci předány nejpozději </w:t>
      </w:r>
      <w:proofErr w:type="gramStart"/>
      <w:r w:rsidR="001B2176" w:rsidRPr="005849CC">
        <w:rPr>
          <w:rFonts w:ascii="Arial" w:hAnsi="Arial" w:cs="Arial"/>
          <w:b/>
          <w:bCs/>
        </w:rPr>
        <w:t>22.6.2020</w:t>
      </w:r>
      <w:proofErr w:type="gramEnd"/>
      <w:r w:rsidR="001B2176" w:rsidRPr="005849CC">
        <w:rPr>
          <w:rFonts w:ascii="Arial" w:hAnsi="Arial" w:cs="Arial"/>
        </w:rPr>
        <w:t xml:space="preserve"> za předpokladu plné spolupráce příkazce dle </w:t>
      </w:r>
      <w:r w:rsidR="00015C09" w:rsidRPr="005849CC">
        <w:rPr>
          <w:rFonts w:ascii="Arial" w:hAnsi="Arial" w:cs="Arial"/>
        </w:rPr>
        <w:t xml:space="preserve">čl. VII. </w:t>
      </w:r>
    </w:p>
    <w:p w14:paraId="42B4DA81" w14:textId="77777777" w:rsidR="00E846A6" w:rsidRPr="005849CC" w:rsidRDefault="004E37E4" w:rsidP="00714256">
      <w:pPr>
        <w:pStyle w:val="Zkladntext2"/>
        <w:numPr>
          <w:ilvl w:val="1"/>
          <w:numId w:val="2"/>
        </w:numPr>
        <w:tabs>
          <w:tab w:val="num" w:pos="360"/>
        </w:tabs>
        <w:spacing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Vyhlášení ZŘ v </w:t>
      </w:r>
      <w:r w:rsidR="00015C09" w:rsidRPr="005849CC">
        <w:rPr>
          <w:rFonts w:ascii="Arial" w:hAnsi="Arial" w:cs="Arial"/>
        </w:rPr>
        <w:t>TA</w:t>
      </w:r>
      <w:r w:rsidRPr="005849CC">
        <w:rPr>
          <w:rFonts w:ascii="Arial" w:hAnsi="Arial" w:cs="Arial"/>
        </w:rPr>
        <w:t xml:space="preserve"> </w:t>
      </w:r>
      <w:r w:rsidR="005B1E83" w:rsidRPr="005849CC">
        <w:rPr>
          <w:rFonts w:ascii="Arial" w:hAnsi="Arial" w:cs="Arial"/>
        </w:rPr>
        <w:t xml:space="preserve">se předpokládá </w:t>
      </w:r>
      <w:r w:rsidR="00015C09" w:rsidRPr="005849CC">
        <w:rPr>
          <w:rFonts w:ascii="Arial" w:hAnsi="Arial" w:cs="Arial"/>
        </w:rPr>
        <w:t xml:space="preserve">po schválení zadávacích podmínek zřizovatelem příkazce </w:t>
      </w:r>
      <w:r w:rsidR="005B1E83" w:rsidRPr="005849CC">
        <w:rPr>
          <w:rFonts w:ascii="Arial" w:hAnsi="Arial" w:cs="Arial"/>
        </w:rPr>
        <w:t xml:space="preserve">do 1 měsíce od podpisu této smlouvy. </w:t>
      </w:r>
    </w:p>
    <w:p w14:paraId="2F2F6340" w14:textId="77777777" w:rsidR="00E846A6" w:rsidRPr="005849CC" w:rsidRDefault="00E846A6" w:rsidP="00E846A6">
      <w:pPr>
        <w:pStyle w:val="Zkladntext2"/>
        <w:spacing w:line="240" w:lineRule="auto"/>
        <w:ind w:left="357"/>
        <w:jc w:val="both"/>
        <w:rPr>
          <w:rFonts w:ascii="Arial" w:hAnsi="Arial" w:cs="Arial"/>
        </w:rPr>
      </w:pPr>
    </w:p>
    <w:p w14:paraId="47FF66AA" w14:textId="77777777" w:rsidR="00D719BC" w:rsidRPr="005849CC" w:rsidRDefault="00D719BC" w:rsidP="003565BA">
      <w:pPr>
        <w:jc w:val="center"/>
        <w:rPr>
          <w:rFonts w:ascii="Arial" w:hAnsi="Arial" w:cs="Arial"/>
          <w:b/>
        </w:rPr>
      </w:pPr>
      <w:r w:rsidRPr="005849CC">
        <w:rPr>
          <w:rFonts w:ascii="Arial" w:hAnsi="Arial" w:cs="Arial"/>
          <w:b/>
        </w:rPr>
        <w:t>IV. Výše úplaty, platební podmínky</w:t>
      </w:r>
    </w:p>
    <w:p w14:paraId="2C126E7C" w14:textId="77777777" w:rsidR="0075451E" w:rsidRPr="005849CC" w:rsidRDefault="00D719BC" w:rsidP="0075451E">
      <w:pPr>
        <w:pStyle w:val="Zkladntext2"/>
        <w:numPr>
          <w:ilvl w:val="0"/>
          <w:numId w:val="30"/>
        </w:numPr>
        <w:tabs>
          <w:tab w:val="clear" w:pos="144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Za činnosti specifikované v článku II. smlouvy vykonané příkazníkem jménem a ve prospěch příkazce se příkazce zavazuje zaplatit příkazníkovi dohodnutou úplatu</w:t>
      </w:r>
      <w:r w:rsidR="00E434A3" w:rsidRPr="005849CC">
        <w:rPr>
          <w:rFonts w:ascii="Arial" w:hAnsi="Arial" w:cs="Arial"/>
        </w:rPr>
        <w:t xml:space="preserve"> ve výši </w:t>
      </w:r>
      <w:r w:rsidR="00015C09" w:rsidRPr="005849CC">
        <w:rPr>
          <w:rFonts w:ascii="Arial" w:hAnsi="Arial" w:cs="Arial"/>
          <w:b/>
          <w:bCs/>
        </w:rPr>
        <w:t>12 500</w:t>
      </w:r>
      <w:r w:rsidR="00E434A3" w:rsidRPr="005849CC">
        <w:rPr>
          <w:rFonts w:ascii="Arial" w:hAnsi="Arial" w:cs="Arial"/>
          <w:b/>
          <w:bCs/>
        </w:rPr>
        <w:t xml:space="preserve"> Kč bez DPH</w:t>
      </w:r>
      <w:r w:rsidR="00E434A3" w:rsidRPr="005849CC">
        <w:rPr>
          <w:rFonts w:ascii="Arial" w:hAnsi="Arial" w:cs="Arial"/>
        </w:rPr>
        <w:t xml:space="preserve"> za každou jednotlivou část VZ, tj. celkem </w:t>
      </w:r>
      <w:r w:rsidR="00714256" w:rsidRPr="005849CC">
        <w:rPr>
          <w:rFonts w:ascii="Arial" w:hAnsi="Arial" w:cs="Arial"/>
        </w:rPr>
        <w:t>v</w:t>
      </w:r>
      <w:r w:rsidR="00E434A3" w:rsidRPr="005849CC">
        <w:rPr>
          <w:rFonts w:ascii="Arial" w:hAnsi="Arial" w:cs="Arial"/>
        </w:rPr>
        <w:t>e</w:t>
      </w:r>
      <w:r w:rsidR="00714256" w:rsidRPr="005849CC">
        <w:rPr>
          <w:rFonts w:ascii="Arial" w:hAnsi="Arial" w:cs="Arial"/>
        </w:rPr>
        <w:t xml:space="preserve"> výši </w:t>
      </w:r>
      <w:r w:rsidR="00015C09" w:rsidRPr="005849CC">
        <w:rPr>
          <w:rFonts w:ascii="Arial" w:hAnsi="Arial" w:cs="Arial"/>
          <w:b/>
        </w:rPr>
        <w:t>50 000</w:t>
      </w:r>
      <w:r w:rsidR="0075451E" w:rsidRPr="005849CC">
        <w:rPr>
          <w:rFonts w:ascii="Arial" w:hAnsi="Arial" w:cs="Arial"/>
          <w:b/>
        </w:rPr>
        <w:t xml:space="preserve"> Kč </w:t>
      </w:r>
      <w:r w:rsidR="0075451E" w:rsidRPr="005849CC">
        <w:rPr>
          <w:rFonts w:ascii="Arial" w:hAnsi="Arial" w:cs="Arial"/>
        </w:rPr>
        <w:t>bez DP</w:t>
      </w:r>
      <w:r w:rsidR="00714256" w:rsidRPr="005849CC">
        <w:rPr>
          <w:rFonts w:ascii="Arial" w:hAnsi="Arial" w:cs="Arial"/>
        </w:rPr>
        <w:t>H</w:t>
      </w:r>
      <w:r w:rsidR="00015C09" w:rsidRPr="005849CC">
        <w:rPr>
          <w:rFonts w:ascii="Arial" w:hAnsi="Arial" w:cs="Arial"/>
        </w:rPr>
        <w:t>. Příkazník není plátcem DPH</w:t>
      </w:r>
      <w:r w:rsidR="0075451E" w:rsidRPr="005849CC">
        <w:rPr>
          <w:rFonts w:ascii="Arial" w:hAnsi="Arial" w:cs="Arial"/>
        </w:rPr>
        <w:t>.</w:t>
      </w:r>
      <w:r w:rsidR="00015C09" w:rsidRPr="005849CC">
        <w:rPr>
          <w:rFonts w:ascii="Arial" w:hAnsi="Arial" w:cs="Arial"/>
        </w:rPr>
        <w:t xml:space="preserve"> Pokud by se příkazník stal v průběhu plnění plátcem DPH, bude ke sjednané ceně připočteno DPH v sazbě dle platných právních předpisů.</w:t>
      </w:r>
    </w:p>
    <w:p w14:paraId="5A256602" w14:textId="77777777" w:rsidR="00714256" w:rsidRPr="005849CC" w:rsidRDefault="004E37E4" w:rsidP="0075451E">
      <w:pPr>
        <w:pStyle w:val="Zkladntext2"/>
        <w:numPr>
          <w:ilvl w:val="0"/>
          <w:numId w:val="30"/>
        </w:numPr>
        <w:tabs>
          <w:tab w:val="clear" w:pos="144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Úplata bude hrazena ve výši </w:t>
      </w:r>
      <w:r w:rsidR="00015C09" w:rsidRPr="005849CC">
        <w:rPr>
          <w:rFonts w:ascii="Arial" w:hAnsi="Arial" w:cs="Arial"/>
        </w:rPr>
        <w:t>12 500</w:t>
      </w:r>
      <w:r w:rsidRPr="005849CC">
        <w:rPr>
          <w:rFonts w:ascii="Arial" w:hAnsi="Arial" w:cs="Arial"/>
        </w:rPr>
        <w:t xml:space="preserve"> Kč bez DPH za každou dokončenou část VZ. Dokončenou částí VZ se rozumí </w:t>
      </w:r>
      <w:r w:rsidR="00E434A3" w:rsidRPr="005849CC">
        <w:rPr>
          <w:rFonts w:ascii="Arial" w:hAnsi="Arial" w:cs="Arial"/>
        </w:rPr>
        <w:t>část zadaná, případně část zrušená na základě rozhodnutí příkazce bez zavinění příkazníka. Příkazník je oprávněn fakturovat dokončenou část VZ po p</w:t>
      </w:r>
      <w:r w:rsidRPr="005849CC">
        <w:rPr>
          <w:rFonts w:ascii="Arial" w:hAnsi="Arial" w:cs="Arial"/>
        </w:rPr>
        <w:t xml:space="preserve">ředání kompletní dokumentace dané části </w:t>
      </w:r>
      <w:r w:rsidR="00E434A3" w:rsidRPr="005849CC">
        <w:rPr>
          <w:rFonts w:ascii="Arial" w:hAnsi="Arial" w:cs="Arial"/>
        </w:rPr>
        <w:t>VZ k archivaci příkazci po provedení všech povinných úkonů dle ZZVZ.</w:t>
      </w:r>
    </w:p>
    <w:p w14:paraId="67C74832" w14:textId="77777777" w:rsidR="00626E78" w:rsidRPr="005849CC" w:rsidRDefault="00626E78" w:rsidP="00904D83">
      <w:pPr>
        <w:pStyle w:val="Zkladntext2"/>
        <w:numPr>
          <w:ilvl w:val="0"/>
          <w:numId w:val="30"/>
        </w:numPr>
        <w:tabs>
          <w:tab w:val="clear" w:pos="144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Úplata obsahuje veškeré náklady příkazníka, které mu vzniknou v souvislosti s plněním předmětu této smlouvy, včetně např. těchto nákladů:</w:t>
      </w:r>
    </w:p>
    <w:p w14:paraId="63298E76" w14:textId="77777777" w:rsidR="00626E78" w:rsidRPr="005849CC" w:rsidRDefault="00626E78" w:rsidP="00904D8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náklady spojené s používáním telefonu,</w:t>
      </w:r>
    </w:p>
    <w:p w14:paraId="4C4B3F13" w14:textId="77777777" w:rsidR="00626E78" w:rsidRPr="005849CC" w:rsidRDefault="00626E78" w:rsidP="00904D8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mzdové náklady pracovníků příkazníka,</w:t>
      </w:r>
    </w:p>
    <w:p w14:paraId="7DBF9F8E" w14:textId="77777777" w:rsidR="00626E78" w:rsidRPr="005849CC" w:rsidRDefault="00626E78" w:rsidP="00904D8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zvýšené náklady vzniklé případnými podanými námitkami uchazečů či podaným návrhem na přezkum úkonů zadavatele k Úřadu pro ochranu hospodářské soutěže,</w:t>
      </w:r>
    </w:p>
    <w:p w14:paraId="3B58FAC1" w14:textId="77777777" w:rsidR="00626E78" w:rsidRPr="005849CC" w:rsidRDefault="00626E78" w:rsidP="00904D8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náklady na zveřejnění </w:t>
      </w:r>
      <w:r w:rsidR="00E434A3" w:rsidRPr="005849CC">
        <w:rPr>
          <w:rFonts w:ascii="Arial" w:hAnsi="Arial" w:cs="Arial"/>
        </w:rPr>
        <w:t>formulářů</w:t>
      </w:r>
      <w:r w:rsidRPr="005849CC">
        <w:rPr>
          <w:rFonts w:ascii="Arial" w:hAnsi="Arial" w:cs="Arial"/>
        </w:rPr>
        <w:t xml:space="preserve"> ve Věstníku veřejných zakázek,</w:t>
      </w:r>
    </w:p>
    <w:p w14:paraId="5F9894CE" w14:textId="77777777" w:rsidR="00626E78" w:rsidRPr="005849CC" w:rsidRDefault="00626E78" w:rsidP="00904D8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cestovné spojené s plněním předmětu této smlouvy,</w:t>
      </w:r>
    </w:p>
    <w:p w14:paraId="7B9182BE" w14:textId="77777777" w:rsidR="00626E78" w:rsidRPr="005849CC" w:rsidRDefault="00626E78" w:rsidP="00904D8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poštovné.</w:t>
      </w:r>
    </w:p>
    <w:p w14:paraId="1851A00C" w14:textId="77777777" w:rsidR="00904D83" w:rsidRPr="005849CC" w:rsidRDefault="00904D83" w:rsidP="00904D83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E75AAEE" w14:textId="77777777" w:rsidR="00D719BC" w:rsidRPr="005849CC" w:rsidRDefault="00D719BC" w:rsidP="0075451E">
      <w:pPr>
        <w:pStyle w:val="Zkladntext2"/>
        <w:numPr>
          <w:ilvl w:val="0"/>
          <w:numId w:val="30"/>
        </w:numPr>
        <w:tabs>
          <w:tab w:val="clear" w:pos="144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Úplata za administraci a organizační zajištění zadávací</w:t>
      </w:r>
      <w:r w:rsidR="007C0FE4" w:rsidRPr="005849CC">
        <w:rPr>
          <w:rFonts w:ascii="Arial" w:hAnsi="Arial" w:cs="Arial"/>
        </w:rPr>
        <w:t>ho</w:t>
      </w:r>
      <w:r w:rsidRPr="005849CC">
        <w:rPr>
          <w:rFonts w:ascii="Arial" w:hAnsi="Arial" w:cs="Arial"/>
        </w:rPr>
        <w:t xml:space="preserve"> řízení</w:t>
      </w:r>
      <w:r w:rsidR="007C0FE4" w:rsidRPr="005849CC">
        <w:rPr>
          <w:rFonts w:ascii="Arial" w:hAnsi="Arial" w:cs="Arial"/>
        </w:rPr>
        <w:t>, resp. jednotlivých jeho částí,</w:t>
      </w:r>
      <w:r w:rsidRPr="005849CC">
        <w:rPr>
          <w:rFonts w:ascii="Arial" w:hAnsi="Arial" w:cs="Arial"/>
        </w:rPr>
        <w:t xml:space="preserve"> bude příkazníkovi uhrazena bezhotovostní platbou na základě faktury se splatností </w:t>
      </w:r>
      <w:r w:rsidR="00E434A3" w:rsidRPr="005849CC">
        <w:rPr>
          <w:rFonts w:ascii="Arial" w:hAnsi="Arial" w:cs="Arial"/>
        </w:rPr>
        <w:t>14</w:t>
      </w:r>
      <w:r w:rsidRPr="005849CC">
        <w:rPr>
          <w:rFonts w:ascii="Arial" w:hAnsi="Arial" w:cs="Arial"/>
        </w:rPr>
        <w:t xml:space="preserve"> dnů ode dne jejího doručení příkazci, kterou je příkazník oprávněn vystavit nejdříve </w:t>
      </w:r>
      <w:r w:rsidR="00E434A3" w:rsidRPr="005849CC">
        <w:rPr>
          <w:rFonts w:ascii="Arial" w:hAnsi="Arial" w:cs="Arial"/>
        </w:rPr>
        <w:t>v termínu stanoveném v čl. IV. bod 2.</w:t>
      </w:r>
      <w:r w:rsidRPr="005849CC">
        <w:rPr>
          <w:rFonts w:ascii="Arial" w:hAnsi="Arial" w:cs="Arial"/>
        </w:rPr>
        <w:t>, příp. v den následující po ukončení řízení před Úřadem pro ochranu hospodářské soutěže.</w:t>
      </w:r>
    </w:p>
    <w:p w14:paraId="532B1346" w14:textId="77777777" w:rsidR="00D719BC" w:rsidRPr="005849CC" w:rsidRDefault="00D719BC" w:rsidP="0075451E">
      <w:pPr>
        <w:pStyle w:val="Zkladntext2"/>
        <w:numPr>
          <w:ilvl w:val="0"/>
          <w:numId w:val="30"/>
        </w:numPr>
        <w:tabs>
          <w:tab w:val="clear" w:pos="144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Faktura vystavená příkazníkem musí obsahovat náležitosti </w:t>
      </w:r>
      <w:r w:rsidR="0075451E" w:rsidRPr="005849CC">
        <w:rPr>
          <w:rFonts w:ascii="Arial" w:hAnsi="Arial" w:cs="Arial"/>
        </w:rPr>
        <w:t>dané právními předpisy,</w:t>
      </w:r>
      <w:r w:rsidRPr="005849CC">
        <w:rPr>
          <w:rFonts w:ascii="Arial" w:hAnsi="Arial" w:cs="Arial"/>
        </w:rPr>
        <w:t xml:space="preserve"> musí být označena názvem veřejné zakázky</w:t>
      </w:r>
      <w:r w:rsidRPr="005849CC">
        <w:rPr>
          <w:rFonts w:ascii="Arial" w:hAnsi="Arial" w:cs="Arial"/>
          <w:bCs/>
        </w:rPr>
        <w:t>, projektu a číslem projektu</w:t>
      </w:r>
      <w:r w:rsidRPr="005849CC">
        <w:rPr>
          <w:rFonts w:ascii="Arial" w:hAnsi="Arial" w:cs="Arial"/>
        </w:rPr>
        <w:t>. Platba se považuje za uhrazenou okamžikem odepsání fakturované částky z účtu příkazce ve prospěch účtu příkazníka.</w:t>
      </w:r>
    </w:p>
    <w:p w14:paraId="368F41B7" w14:textId="77777777" w:rsidR="00D719BC" w:rsidRPr="005849CC" w:rsidRDefault="00D719BC" w:rsidP="005B1E83">
      <w:pPr>
        <w:pStyle w:val="Zkladntext2"/>
        <w:numPr>
          <w:ilvl w:val="0"/>
          <w:numId w:val="30"/>
        </w:numPr>
        <w:tabs>
          <w:tab w:val="clear" w:pos="1440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Příkazce je oprávněn před uplynutím lhůty splatnosti vrátit příkazníkovi bez zaplacení fakturu, která neobsahuje stanovené náležitosti nebo která obsahuje chybné údaje a příkazník je povinen dle povahy nesprávnosti fakturu doplnit nebo nově vystavit. Splatnost vrácené faktury v takovém případě neběží a nová lhůta splatnosti počíná běžet od opětovného doručení náležitě doplněné či nově vystavené faktury.</w:t>
      </w:r>
    </w:p>
    <w:p w14:paraId="30D8E8CA" w14:textId="77777777" w:rsidR="00D719BC" w:rsidRPr="005849CC" w:rsidRDefault="00D719BC" w:rsidP="003565BA">
      <w:pPr>
        <w:jc w:val="both"/>
        <w:rPr>
          <w:rFonts w:ascii="Arial" w:hAnsi="Arial" w:cs="Arial"/>
        </w:rPr>
      </w:pPr>
    </w:p>
    <w:p w14:paraId="0C676906" w14:textId="77777777" w:rsidR="00015C09" w:rsidRPr="005849CC" w:rsidRDefault="00015C09" w:rsidP="003565BA">
      <w:pPr>
        <w:jc w:val="both"/>
        <w:rPr>
          <w:rFonts w:ascii="Arial" w:hAnsi="Arial" w:cs="Arial"/>
        </w:rPr>
      </w:pPr>
    </w:p>
    <w:p w14:paraId="7634C446" w14:textId="77777777" w:rsidR="00015C09" w:rsidRPr="005849CC" w:rsidRDefault="00015C09" w:rsidP="003565BA">
      <w:pPr>
        <w:jc w:val="both"/>
        <w:rPr>
          <w:rFonts w:ascii="Arial" w:hAnsi="Arial" w:cs="Arial"/>
        </w:rPr>
      </w:pPr>
    </w:p>
    <w:p w14:paraId="615A9B00" w14:textId="77777777" w:rsidR="00015C09" w:rsidRPr="005849CC" w:rsidRDefault="00015C09" w:rsidP="003565BA">
      <w:pPr>
        <w:jc w:val="both"/>
        <w:rPr>
          <w:rFonts w:ascii="Arial" w:hAnsi="Arial" w:cs="Arial"/>
        </w:rPr>
      </w:pPr>
    </w:p>
    <w:p w14:paraId="6BF94CA7" w14:textId="77777777" w:rsidR="00D719BC" w:rsidRPr="005849CC" w:rsidRDefault="00D719BC" w:rsidP="003565BA">
      <w:pPr>
        <w:jc w:val="center"/>
        <w:rPr>
          <w:rFonts w:ascii="Arial" w:hAnsi="Arial" w:cs="Arial"/>
          <w:b/>
        </w:rPr>
      </w:pPr>
      <w:r w:rsidRPr="005849CC">
        <w:rPr>
          <w:rFonts w:ascii="Arial" w:hAnsi="Arial" w:cs="Arial"/>
          <w:b/>
        </w:rPr>
        <w:t>V. Ukončení smlouvy, odstoupení od smlouvy</w:t>
      </w:r>
    </w:p>
    <w:p w14:paraId="55FE93F5" w14:textId="77777777" w:rsidR="00D719BC" w:rsidRPr="005849CC" w:rsidRDefault="00D719BC" w:rsidP="003565BA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</w:rPr>
      </w:pPr>
      <w:r w:rsidRPr="005849CC">
        <w:rPr>
          <w:rFonts w:ascii="Arial" w:hAnsi="Arial" w:cs="Arial"/>
        </w:rPr>
        <w:t>Tato smlouva může být ukončena</w:t>
      </w:r>
    </w:p>
    <w:p w14:paraId="227F106C" w14:textId="77777777" w:rsidR="00D719BC" w:rsidRPr="005849CC" w:rsidRDefault="00D719BC" w:rsidP="003565BA">
      <w:pPr>
        <w:numPr>
          <w:ilvl w:val="0"/>
          <w:numId w:val="6"/>
        </w:numPr>
        <w:spacing w:after="120" w:line="240" w:lineRule="auto"/>
        <w:ind w:left="720"/>
        <w:jc w:val="both"/>
        <w:rPr>
          <w:rFonts w:ascii="Arial" w:hAnsi="Arial" w:cs="Arial"/>
          <w:b/>
        </w:rPr>
      </w:pPr>
      <w:r w:rsidRPr="005849CC">
        <w:rPr>
          <w:rFonts w:ascii="Arial" w:hAnsi="Arial" w:cs="Arial"/>
        </w:rPr>
        <w:t>písemnou dohodou smluvních stran,</w:t>
      </w:r>
    </w:p>
    <w:p w14:paraId="7FA5C0B8" w14:textId="77777777" w:rsidR="00D719BC" w:rsidRPr="005849CC" w:rsidRDefault="00D719BC" w:rsidP="003565BA">
      <w:pPr>
        <w:numPr>
          <w:ilvl w:val="0"/>
          <w:numId w:val="6"/>
        </w:numPr>
        <w:spacing w:after="120" w:line="240" w:lineRule="auto"/>
        <w:ind w:left="720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jednostranným odstoupením smluvní strany od smlouvy pro její podstatné porušení druhou smluvní stranou s tím, že podstatným porušením smlouvy se rozumí neplnění věcných a termínových závazků vyplývajících z článků II. a III. smlouvy, zejména neplnění, kterým příkazník ohrozil řádný průběh některého ze zadávacích řízení,</w:t>
      </w:r>
    </w:p>
    <w:p w14:paraId="14DF499C" w14:textId="77777777" w:rsidR="00D719BC" w:rsidRPr="005849CC" w:rsidRDefault="00D719BC" w:rsidP="003565BA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</w:rPr>
      </w:pPr>
      <w:r w:rsidRPr="005849CC">
        <w:rPr>
          <w:rFonts w:ascii="Arial" w:hAnsi="Arial" w:cs="Arial"/>
        </w:rPr>
        <w:t>Příkazce má dále právo od smlouvy odstoupit kdykoliv v průběhu zadávacího řízení, došlo</w:t>
      </w:r>
      <w:r w:rsidR="007C0FE4" w:rsidRPr="005849CC">
        <w:rPr>
          <w:rFonts w:ascii="Arial" w:hAnsi="Arial" w:cs="Arial"/>
        </w:rPr>
        <w:t>-</w:t>
      </w:r>
      <w:r w:rsidRPr="005849CC">
        <w:rPr>
          <w:rFonts w:ascii="Arial" w:hAnsi="Arial" w:cs="Arial"/>
        </w:rPr>
        <w:t xml:space="preserve">li k podstatné změně okolností na straně příkazce. </w:t>
      </w:r>
    </w:p>
    <w:p w14:paraId="55179566" w14:textId="77777777" w:rsidR="00D719BC" w:rsidRPr="005849CC" w:rsidRDefault="005B1E83" w:rsidP="003565BA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Příkazník má </w:t>
      </w:r>
      <w:r w:rsidR="00D719BC" w:rsidRPr="005849CC">
        <w:rPr>
          <w:rFonts w:ascii="Arial" w:hAnsi="Arial" w:cs="Arial"/>
        </w:rPr>
        <w:t>právo od smlouvy odstoupit v případě, že mu příkazce neposkytuje potřebnou součinnost pro naplnění účelu smlouvy, přestože k tomu byl příkazce písemně vyzván.</w:t>
      </w:r>
    </w:p>
    <w:p w14:paraId="04CB5EF2" w14:textId="77777777" w:rsidR="00D719BC" w:rsidRPr="005849CC" w:rsidRDefault="00D719BC" w:rsidP="003565BA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Odstoupení od smlouvy musí být provedeno písemným oznámením prokazatelně doručeným druhé smluvní straně. Právní účinky odstoupení nastávají dnem doručení oznámení o odstoupení od smlouvy druhé smluvní straně.</w:t>
      </w:r>
    </w:p>
    <w:p w14:paraId="09062B2E" w14:textId="77777777" w:rsidR="005B1E83" w:rsidRPr="005849CC" w:rsidRDefault="00D719BC" w:rsidP="003565BA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V případě, že dojde k odstoupení od smlouvy z důvodů na straně příkazce, je příkazník oprávněn fakturovat poměrnou část sjednané úplaty úměrnou provedenému dílčímu plnění.</w:t>
      </w:r>
    </w:p>
    <w:p w14:paraId="4CB33F34" w14:textId="77777777" w:rsidR="00E846A6" w:rsidRPr="005849CC" w:rsidRDefault="00E846A6" w:rsidP="007C0FE4">
      <w:pPr>
        <w:spacing w:after="120" w:line="240" w:lineRule="auto"/>
        <w:jc w:val="both"/>
        <w:rPr>
          <w:rFonts w:ascii="Arial" w:hAnsi="Arial" w:cs="Arial"/>
        </w:rPr>
      </w:pPr>
    </w:p>
    <w:p w14:paraId="138C9046" w14:textId="77777777" w:rsidR="00D719BC" w:rsidRPr="005849CC" w:rsidRDefault="00D719BC" w:rsidP="003565BA">
      <w:pPr>
        <w:jc w:val="center"/>
        <w:rPr>
          <w:rFonts w:ascii="Arial" w:hAnsi="Arial" w:cs="Arial"/>
          <w:b/>
        </w:rPr>
      </w:pPr>
      <w:r w:rsidRPr="005849CC">
        <w:rPr>
          <w:rFonts w:ascii="Arial" w:hAnsi="Arial" w:cs="Arial"/>
          <w:b/>
        </w:rPr>
        <w:t>VI. Práva duševního vlastnictví</w:t>
      </w:r>
    </w:p>
    <w:p w14:paraId="128793DE" w14:textId="77777777" w:rsidR="00D719BC" w:rsidRPr="005849CC" w:rsidRDefault="00D719BC" w:rsidP="00E74DE4">
      <w:pPr>
        <w:spacing w:after="0" w:line="240" w:lineRule="auto"/>
        <w:jc w:val="both"/>
        <w:rPr>
          <w:rFonts w:ascii="Arial" w:hAnsi="Arial" w:cs="Arial"/>
          <w:bCs/>
        </w:rPr>
      </w:pPr>
      <w:r w:rsidRPr="005849CC">
        <w:rPr>
          <w:rFonts w:ascii="Arial" w:hAnsi="Arial" w:cs="Arial"/>
          <w:bCs/>
        </w:rPr>
        <w:t xml:space="preserve">Příkazník se zavazuje, že při realizaci činností dle této smlouvy neporuší práva třetích osob, která těmto osobám mohou plynout z práv k duševnímu vlastnictví, zejména z práva autorského a práv průmyslového vlastnictví. Za případné porušení této povinnosti je vůči takovým třetím osobám odpovědný výhradně příkazník. </w:t>
      </w:r>
    </w:p>
    <w:p w14:paraId="7640553B" w14:textId="77777777" w:rsidR="00AD7E86" w:rsidRPr="005849CC" w:rsidRDefault="00AD7E86" w:rsidP="00E846A6">
      <w:pPr>
        <w:pStyle w:val="Nadpis1"/>
        <w:keepNext w:val="0"/>
        <w:tabs>
          <w:tab w:val="num" w:pos="720"/>
        </w:tabs>
        <w:rPr>
          <w:rFonts w:ascii="Arial" w:hAnsi="Arial" w:cs="Arial"/>
          <w:sz w:val="22"/>
          <w:szCs w:val="22"/>
        </w:rPr>
      </w:pPr>
    </w:p>
    <w:p w14:paraId="1D12B15F" w14:textId="77777777" w:rsidR="00E846A6" w:rsidRPr="005849CC" w:rsidRDefault="00E846A6" w:rsidP="00E846A6">
      <w:pPr>
        <w:rPr>
          <w:lang w:eastAsia="cs-CZ"/>
        </w:rPr>
      </w:pPr>
    </w:p>
    <w:p w14:paraId="712B4394" w14:textId="77777777" w:rsidR="00D719BC" w:rsidRPr="005849CC" w:rsidRDefault="00D719BC" w:rsidP="00E846A6">
      <w:pPr>
        <w:jc w:val="center"/>
        <w:rPr>
          <w:rFonts w:ascii="Arial" w:hAnsi="Arial" w:cs="Arial"/>
          <w:b/>
        </w:rPr>
      </w:pPr>
      <w:r w:rsidRPr="005849CC">
        <w:rPr>
          <w:rFonts w:ascii="Arial" w:hAnsi="Arial" w:cs="Arial"/>
          <w:b/>
        </w:rPr>
        <w:t>VII. Práva a povinnosti smluvních stran</w:t>
      </w:r>
    </w:p>
    <w:p w14:paraId="23CC7C34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Příkazník je při provádění sjednaných činností stanovených v článku II. smlouvy povinen postupovat s odbornou péčí, dle svých nejlepších znalostí a schopností, v zájmu a dle pokynů příkazce a v souladu s platnými právními předpisy, přičemž je při své činnosti povinen sledovat a chránit oprávněné zájmy příkazce.</w:t>
      </w:r>
    </w:p>
    <w:p w14:paraId="76C59F0B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Příkazník plní příkaz poctivě a pečlivě podle svých schopností; použije přitom každého prostředku, kterého vyžaduje povaha obstarávané záležitosti, jakož i takového, který se shoduje s vůlí příkazce. Od příkazcových pokynů se příkazník může odchýlit, pokud to je nezbytné v zájmu příkazce a pokud nemůže včas obdržet jeho souhlas. </w:t>
      </w:r>
    </w:p>
    <w:p w14:paraId="16736621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Příkazník se zavazuje zachovávat mlčenlivost o všech záležitostech, o nichž se dozvěděl při plnění této smlouvy.</w:t>
      </w:r>
    </w:p>
    <w:p w14:paraId="6421C0A6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</w:rPr>
      </w:pPr>
      <w:r w:rsidRPr="005849CC">
        <w:rPr>
          <w:rFonts w:ascii="Arial" w:hAnsi="Arial" w:cs="Arial"/>
        </w:rPr>
        <w:t>Příkazník je povinen bez zbytečného odkladu oznámit příkazci všechny okolnosti, které zjistil při zařizování činností, a které mohou mít vliv na změnu pokynů nebo zájmů příkazce.</w:t>
      </w:r>
    </w:p>
    <w:p w14:paraId="7DE89723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</w:rPr>
      </w:pPr>
      <w:r w:rsidRPr="005849CC">
        <w:rPr>
          <w:rFonts w:ascii="Arial" w:hAnsi="Arial" w:cs="Arial"/>
        </w:rPr>
        <w:t>Příkazce je povinen odevzdat včas příkazníkovi veškeré informace, jež jsou nezbytně nutné k věcnému plnění ze smlouvy, pokud z jejich povahy nevyplývá, že je má zajistit příkazník v rámci plnění smlouvy sám. Příkazce je povinen vystavit příkazníkovi v případě potřeby plnou moc.</w:t>
      </w:r>
    </w:p>
    <w:p w14:paraId="5EFB1D10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</w:rPr>
      </w:pPr>
      <w:r w:rsidRPr="005849CC">
        <w:rPr>
          <w:rFonts w:ascii="Arial" w:hAnsi="Arial" w:cs="Arial"/>
        </w:rPr>
        <w:lastRenderedPageBreak/>
        <w:t>Příkazník použije všechny materiály, které obdrží od příkazce v souvislosti s plněním smlouvy výhradě za plněním účelu smlouvy. Po skončení plnění, popř. dílčího plnění ze smlouvy, předá příkazník příkazci bez zbytečného odkladu všechny materiály, které od příkazce v souvislosti s plněním převzal.</w:t>
      </w:r>
    </w:p>
    <w:p w14:paraId="6296D8AF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Cs/>
        </w:rPr>
      </w:pPr>
      <w:r w:rsidRPr="005849CC">
        <w:rPr>
          <w:rFonts w:ascii="Arial" w:hAnsi="Arial" w:cs="Arial"/>
        </w:rPr>
        <w:t xml:space="preserve">Příkazník je povinen vždy před vlastním provedením písemných úkonů tyto elektronickou poštou odeslat příkazci k posouzení a schválení. Příkazce je povinen posoudit a schválit tyto úkoly bez zbytečných průtahů a písemně (opět elektronickou poštou) je potvrdit příkazníkovi. </w:t>
      </w:r>
    </w:p>
    <w:p w14:paraId="5003A4AA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Příkazce je povinen vytvořit řádné podmínky pro činnost příkazníka a poskytovat mu během plnění předmětu smlouvy potřebnou součinnost, zejména předat příkazníkovi všechny dokumenty nezbytně nutné k provedení předmětu smlouvy (soutěžní podmínky, dokumenty o průběhu zadávacího řízení, námitky, návrhy atd.).</w:t>
      </w:r>
    </w:p>
    <w:p w14:paraId="36D0E799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Příkazník odpovídá za případné vady a ško</w:t>
      </w:r>
      <w:bookmarkStart w:id="4" w:name="_GoBack"/>
      <w:bookmarkEnd w:id="4"/>
      <w:r w:rsidRPr="005849CC">
        <w:rPr>
          <w:rFonts w:ascii="Arial" w:hAnsi="Arial" w:cs="Arial"/>
        </w:rPr>
        <w:t>dy způsobené příkazci v důsledku neplnění smluvních podmínek, vyjma škod vzniklých vinou příkazce.</w:t>
      </w:r>
    </w:p>
    <w:p w14:paraId="0751AA42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Příkazník neodpovídá za vady, které byly způsobeny použitím podkladů převzatých od příkazce, u kterých ani při vynaložení veškeré odborné péče nemohl zjistit jejich nevhodnost, případně na ně upozornil příkazce, ale ten na jejich použití trval.</w:t>
      </w:r>
    </w:p>
    <w:p w14:paraId="62FD5900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Příkazník ručí za bezchybné provedení činností specifikovaných v článku II smlouvy, a poskytuje záruku za řádný výkon činností dle této smlouvy.</w:t>
      </w:r>
    </w:p>
    <w:p w14:paraId="2C4C4997" w14:textId="77777777" w:rsidR="00D719BC" w:rsidRPr="005849CC" w:rsidRDefault="00D719BC" w:rsidP="003565BA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Příkazník poskytuje další záruky za bezvadnou přípravu a organizační zajištění celého průběhu zadávacích řízení dle Z</w:t>
      </w:r>
      <w:r w:rsidR="007C0FE4" w:rsidRPr="005849CC">
        <w:rPr>
          <w:rFonts w:ascii="Arial" w:hAnsi="Arial" w:cs="Arial"/>
        </w:rPr>
        <w:t>Z</w:t>
      </w:r>
      <w:r w:rsidRPr="005849CC">
        <w:rPr>
          <w:rFonts w:ascii="Arial" w:hAnsi="Arial" w:cs="Arial"/>
        </w:rPr>
        <w:t xml:space="preserve">VZ v následujícím rozsahu: </w:t>
      </w:r>
    </w:p>
    <w:p w14:paraId="05AFF19D" w14:textId="77777777" w:rsidR="00D719BC" w:rsidRPr="005849CC" w:rsidRDefault="00D719BC" w:rsidP="003565BA">
      <w:pPr>
        <w:numPr>
          <w:ilvl w:val="0"/>
          <w:numId w:val="8"/>
        </w:numPr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v případě zrušení zadávacího řízení Úřadem pro ochranu hospodářské soutěže nebo v případě zrušení zadávacího řízení příkazcem z důvodů chyb ze strany příkazníka se příkazník zavazuje provést činnosti dle článku II. smlouvy pro následné zadání veřejné zakázky bezplatně,</w:t>
      </w:r>
    </w:p>
    <w:p w14:paraId="49D4B9A6" w14:textId="1A7E9460" w:rsidR="00D719BC" w:rsidRPr="005849CC" w:rsidRDefault="00D719BC" w:rsidP="003565BA">
      <w:pPr>
        <w:numPr>
          <w:ilvl w:val="0"/>
          <w:numId w:val="8"/>
        </w:numPr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v případě uznání návrhu </w:t>
      </w:r>
      <w:r w:rsidR="004E37E4" w:rsidRPr="005849CC">
        <w:rPr>
          <w:rFonts w:ascii="Arial" w:hAnsi="Arial" w:cs="Arial"/>
        </w:rPr>
        <w:t>účastníka</w:t>
      </w:r>
      <w:r w:rsidRPr="005849CC">
        <w:rPr>
          <w:rFonts w:ascii="Arial" w:hAnsi="Arial" w:cs="Arial"/>
        </w:rPr>
        <w:t xml:space="preserve"> za důvodný</w:t>
      </w:r>
      <w:r w:rsidR="00E334CC">
        <w:rPr>
          <w:rFonts w:ascii="Arial" w:hAnsi="Arial" w:cs="Arial"/>
        </w:rPr>
        <w:t>,</w:t>
      </w:r>
      <w:r w:rsidRPr="005849CC">
        <w:rPr>
          <w:rFonts w:ascii="Arial" w:hAnsi="Arial" w:cs="Arial"/>
        </w:rPr>
        <w:t xml:space="preserve"> Úřadem pro ochranu hospodářské soutěže</w:t>
      </w:r>
      <w:r w:rsidR="00E334CC">
        <w:rPr>
          <w:rFonts w:ascii="Arial" w:hAnsi="Arial" w:cs="Arial"/>
        </w:rPr>
        <w:t>,</w:t>
      </w:r>
      <w:r w:rsidRPr="005849CC">
        <w:rPr>
          <w:rFonts w:ascii="Arial" w:hAnsi="Arial" w:cs="Arial"/>
        </w:rPr>
        <w:t xml:space="preserve"> jde vzniklá sankce v plné výši k tíži příkazníka, pokud důvodem udělení sankce není pochybení příkazce.</w:t>
      </w:r>
    </w:p>
    <w:p w14:paraId="00E2F631" w14:textId="77777777" w:rsidR="00AD7E86" w:rsidRPr="005849CC" w:rsidRDefault="00AD7E86" w:rsidP="004E37E4">
      <w:pPr>
        <w:pStyle w:val="Style12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1E0B63F6" w14:textId="77777777" w:rsidR="00E846A6" w:rsidRPr="005849CC" w:rsidRDefault="00E846A6" w:rsidP="003565BA">
      <w:pPr>
        <w:pStyle w:val="Style1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60683A6" w14:textId="77777777" w:rsidR="00D719BC" w:rsidRPr="005849CC" w:rsidRDefault="004E37E4" w:rsidP="003565BA">
      <w:pPr>
        <w:pStyle w:val="Style1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849CC">
        <w:rPr>
          <w:rFonts w:ascii="Arial" w:hAnsi="Arial" w:cs="Arial"/>
          <w:b/>
          <w:sz w:val="22"/>
          <w:szCs w:val="22"/>
        </w:rPr>
        <w:t>VII</w:t>
      </w:r>
      <w:r w:rsidR="00D719BC" w:rsidRPr="005849CC">
        <w:rPr>
          <w:rFonts w:ascii="Arial" w:hAnsi="Arial" w:cs="Arial"/>
          <w:b/>
          <w:sz w:val="22"/>
          <w:szCs w:val="22"/>
        </w:rPr>
        <w:t>I. Závěrečná ustanovení</w:t>
      </w:r>
    </w:p>
    <w:p w14:paraId="32F54DE3" w14:textId="77777777" w:rsidR="00D719BC" w:rsidRPr="005849CC" w:rsidRDefault="00D719BC" w:rsidP="003565BA">
      <w:pPr>
        <w:pStyle w:val="Style1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7B9BFB5" w14:textId="77777777" w:rsidR="000124A3" w:rsidRPr="00C2364B" w:rsidRDefault="000124A3" w:rsidP="000124A3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C2364B">
        <w:rPr>
          <w:rFonts w:ascii="Arial" w:hAnsi="Arial" w:cs="Arial"/>
        </w:rPr>
        <w:t>Tato smlouva nabývá platnosti a účinnosti dnem jejího podpisu oprávněnými zástupci obou smluvních stran.</w:t>
      </w:r>
    </w:p>
    <w:p w14:paraId="7BFC25BE" w14:textId="77777777" w:rsidR="00D719BC" w:rsidRPr="005849CC" w:rsidRDefault="00D719B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Tuto smlouvu lze měnit a </w:t>
      </w:r>
      <w:r w:rsidR="00CC52D3" w:rsidRPr="005849CC">
        <w:rPr>
          <w:rFonts w:ascii="Arial" w:hAnsi="Arial" w:cs="Arial"/>
        </w:rPr>
        <w:t>doplňovat pouze formou</w:t>
      </w:r>
      <w:r w:rsidRPr="005849CC">
        <w:rPr>
          <w:rFonts w:ascii="Arial" w:hAnsi="Arial" w:cs="Arial"/>
        </w:rPr>
        <w:t xml:space="preserve"> písemných, vzestupně číslovaných dodatků.</w:t>
      </w:r>
    </w:p>
    <w:p w14:paraId="1340E38F" w14:textId="77777777" w:rsidR="00D719BC" w:rsidRPr="005849CC" w:rsidRDefault="00D719B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Práva a povinnosti touto smlouvou neupravené se řídí příslušnými ustanoveními zákona č. 89/2012 Sb., občanský zákoník.</w:t>
      </w:r>
    </w:p>
    <w:p w14:paraId="3B66B067" w14:textId="77777777" w:rsidR="00D719BC" w:rsidRPr="005849CC" w:rsidRDefault="00D719B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Případné spory se smluvní strany zavazují řešit přednostně dohodou a až sekundárně u soudu místně příslušného podle sídla příkazce.</w:t>
      </w:r>
    </w:p>
    <w:p w14:paraId="6D8A35E2" w14:textId="77777777" w:rsidR="00D719BC" w:rsidRPr="005849CC" w:rsidRDefault="00D719B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 xml:space="preserve">Tato smlouva je vyhotovena ve </w:t>
      </w:r>
      <w:r w:rsidR="005B1E83" w:rsidRPr="005849CC">
        <w:rPr>
          <w:rFonts w:ascii="Arial" w:hAnsi="Arial" w:cs="Arial"/>
        </w:rPr>
        <w:t>dvou</w:t>
      </w:r>
      <w:r w:rsidRPr="005849CC">
        <w:rPr>
          <w:rFonts w:ascii="Arial" w:hAnsi="Arial" w:cs="Arial"/>
        </w:rPr>
        <w:t xml:space="preserve"> stejnopisech, z nichž </w:t>
      </w:r>
      <w:r w:rsidR="005B1E83" w:rsidRPr="005849CC">
        <w:rPr>
          <w:rFonts w:ascii="Arial" w:hAnsi="Arial" w:cs="Arial"/>
        </w:rPr>
        <w:t xml:space="preserve">jeden obdrží příkazce a jeden </w:t>
      </w:r>
      <w:r w:rsidRPr="005849CC">
        <w:rPr>
          <w:rFonts w:ascii="Arial" w:hAnsi="Arial" w:cs="Arial"/>
        </w:rPr>
        <w:t>obdrží příkazník.</w:t>
      </w:r>
    </w:p>
    <w:p w14:paraId="6A421077" w14:textId="77777777" w:rsidR="00D719BC" w:rsidRPr="005849CC" w:rsidRDefault="00D719BC" w:rsidP="003565BA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Smluvní strany prohlašují, že tuto smlouvu uzavírají svobodně a vážně, že považují obsah této smlouvy za určitý a srozumitelný a že jsou jim známy veškeré skutečnosti, které jsou pro uzavření této smlouvy rozhodující.</w:t>
      </w:r>
    </w:p>
    <w:p w14:paraId="037E9EB1" w14:textId="77777777" w:rsidR="00E6048A" w:rsidRPr="000124A3" w:rsidRDefault="00D719BC" w:rsidP="000124A3">
      <w:pPr>
        <w:numPr>
          <w:ilvl w:val="0"/>
          <w:numId w:val="9"/>
        </w:numPr>
        <w:tabs>
          <w:tab w:val="left" w:pos="360"/>
        </w:tabs>
        <w:spacing w:after="120" w:line="240" w:lineRule="auto"/>
        <w:ind w:left="357" w:hanging="357"/>
        <w:jc w:val="both"/>
        <w:rPr>
          <w:rFonts w:ascii="Arial" w:hAnsi="Arial" w:cs="Arial"/>
        </w:rPr>
      </w:pPr>
      <w:r w:rsidRPr="005849CC">
        <w:rPr>
          <w:rFonts w:ascii="Arial" w:hAnsi="Arial" w:cs="Arial"/>
        </w:rPr>
        <w:t>Smluvní strany prohlašují, že skutečnosti uvedené v této smlouvě nepovažují za obchodní tajemství ve smyslu § 504 zákona č. 89/2012 Sb., občanský zákoník a udělují svolení k jejich zveřejnění bez stanovení jakýchkoliv dalších podmínek.</w:t>
      </w:r>
    </w:p>
    <w:p w14:paraId="2B9AB0A3" w14:textId="77777777" w:rsidR="00D719BC" w:rsidRPr="00C2364B" w:rsidRDefault="005B1E83" w:rsidP="00C31894">
      <w:pPr>
        <w:tabs>
          <w:tab w:val="left" w:pos="2681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 </w:t>
      </w:r>
      <w:r w:rsidR="004E37E4">
        <w:rPr>
          <w:rFonts w:ascii="Arial" w:hAnsi="Arial" w:cs="Arial"/>
        </w:rPr>
        <w:t>Chomutově</w:t>
      </w:r>
      <w:r w:rsidR="00D719BC" w:rsidRPr="00C2364B">
        <w:rPr>
          <w:rFonts w:ascii="Arial" w:hAnsi="Arial" w:cs="Arial"/>
        </w:rPr>
        <w:t xml:space="preserve"> dne </w:t>
      </w:r>
      <w:proofErr w:type="gramStart"/>
      <w:r w:rsidR="00015C09">
        <w:rPr>
          <w:rFonts w:ascii="Arial" w:hAnsi="Arial" w:cs="Arial"/>
        </w:rPr>
        <w:t>15</w:t>
      </w:r>
      <w:r w:rsidR="00C31894">
        <w:rPr>
          <w:rFonts w:ascii="Arial" w:hAnsi="Arial" w:cs="Arial"/>
        </w:rPr>
        <w:t>.</w:t>
      </w:r>
      <w:r w:rsidR="00015C09">
        <w:rPr>
          <w:rFonts w:ascii="Arial" w:hAnsi="Arial" w:cs="Arial"/>
        </w:rPr>
        <w:t>6</w:t>
      </w:r>
      <w:r w:rsidR="00C31894">
        <w:rPr>
          <w:rFonts w:ascii="Arial" w:hAnsi="Arial" w:cs="Arial"/>
        </w:rPr>
        <w:t>.20</w:t>
      </w:r>
      <w:r w:rsidR="00015C09">
        <w:rPr>
          <w:rFonts w:ascii="Arial" w:hAnsi="Arial" w:cs="Arial"/>
        </w:rPr>
        <w:t>20</w:t>
      </w:r>
      <w:proofErr w:type="gramEnd"/>
    </w:p>
    <w:tbl>
      <w:tblPr>
        <w:tblW w:w="9222" w:type="dxa"/>
        <w:tblLook w:val="01E0" w:firstRow="1" w:lastRow="1" w:firstColumn="1" w:lastColumn="1" w:noHBand="0" w:noVBand="0"/>
      </w:tblPr>
      <w:tblGrid>
        <w:gridCol w:w="4645"/>
        <w:gridCol w:w="4577"/>
      </w:tblGrid>
      <w:tr w:rsidR="00D719BC" w:rsidRPr="00C2364B" w14:paraId="6034AD6D" w14:textId="77777777" w:rsidTr="005D2413">
        <w:trPr>
          <w:trHeight w:val="513"/>
        </w:trPr>
        <w:tc>
          <w:tcPr>
            <w:tcW w:w="4645" w:type="dxa"/>
          </w:tcPr>
          <w:p w14:paraId="687729DD" w14:textId="77777777" w:rsidR="00904D83" w:rsidRDefault="00904D83" w:rsidP="00F373A2">
            <w:pPr>
              <w:jc w:val="center"/>
              <w:rPr>
                <w:rFonts w:ascii="Arial" w:hAnsi="Arial" w:cs="Arial"/>
              </w:rPr>
            </w:pPr>
          </w:p>
          <w:p w14:paraId="3E8DFC85" w14:textId="77777777" w:rsidR="00904D83" w:rsidRDefault="00904D83" w:rsidP="00F373A2">
            <w:pPr>
              <w:jc w:val="center"/>
              <w:rPr>
                <w:rFonts w:ascii="Arial" w:hAnsi="Arial" w:cs="Arial"/>
              </w:rPr>
            </w:pPr>
          </w:p>
          <w:p w14:paraId="681D501B" w14:textId="77777777"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  <w:r w:rsidRPr="00C2364B">
              <w:rPr>
                <w:rFonts w:ascii="Arial" w:hAnsi="Arial" w:cs="Arial"/>
              </w:rPr>
              <w:t>za příkazce:</w:t>
            </w:r>
          </w:p>
        </w:tc>
        <w:tc>
          <w:tcPr>
            <w:tcW w:w="4577" w:type="dxa"/>
          </w:tcPr>
          <w:p w14:paraId="47971B30" w14:textId="77777777" w:rsidR="00904D83" w:rsidRDefault="00904D83" w:rsidP="00CC52D3">
            <w:pPr>
              <w:rPr>
                <w:rFonts w:ascii="Arial" w:hAnsi="Arial" w:cs="Arial"/>
              </w:rPr>
            </w:pPr>
          </w:p>
          <w:p w14:paraId="0AFAD230" w14:textId="77777777" w:rsidR="00904D83" w:rsidRDefault="00904D83" w:rsidP="00CC52D3">
            <w:pPr>
              <w:rPr>
                <w:rFonts w:ascii="Arial" w:hAnsi="Arial" w:cs="Arial"/>
              </w:rPr>
            </w:pPr>
          </w:p>
          <w:p w14:paraId="535E356E" w14:textId="77777777" w:rsidR="00D719BC" w:rsidRPr="00C2364B" w:rsidRDefault="00D719BC" w:rsidP="00904D83">
            <w:pPr>
              <w:jc w:val="center"/>
              <w:rPr>
                <w:rFonts w:ascii="Arial" w:hAnsi="Arial" w:cs="Arial"/>
              </w:rPr>
            </w:pPr>
            <w:r w:rsidRPr="00C2364B">
              <w:rPr>
                <w:rFonts w:ascii="Arial" w:hAnsi="Arial" w:cs="Arial"/>
              </w:rPr>
              <w:t>za příkazníka:</w:t>
            </w:r>
          </w:p>
        </w:tc>
      </w:tr>
      <w:tr w:rsidR="00D719BC" w:rsidRPr="00C2364B" w14:paraId="1A59EB39" w14:textId="77777777" w:rsidTr="005D2413">
        <w:trPr>
          <w:trHeight w:val="3053"/>
        </w:trPr>
        <w:tc>
          <w:tcPr>
            <w:tcW w:w="4645" w:type="dxa"/>
          </w:tcPr>
          <w:p w14:paraId="5FEE2116" w14:textId="77777777" w:rsidR="00CC52D3" w:rsidRDefault="00CC52D3" w:rsidP="00CC52D3">
            <w:pPr>
              <w:rPr>
                <w:rFonts w:ascii="Arial" w:hAnsi="Arial" w:cs="Arial"/>
              </w:rPr>
            </w:pPr>
          </w:p>
          <w:p w14:paraId="4D7837D0" w14:textId="77777777" w:rsidR="00CC52D3" w:rsidRDefault="00CC52D3" w:rsidP="00CC52D3">
            <w:pPr>
              <w:rPr>
                <w:rFonts w:ascii="Arial" w:hAnsi="Arial" w:cs="Arial"/>
              </w:rPr>
            </w:pPr>
          </w:p>
          <w:p w14:paraId="1801F2D8" w14:textId="77777777" w:rsidR="00E6048A" w:rsidRDefault="00E6048A" w:rsidP="00CC52D3">
            <w:pPr>
              <w:rPr>
                <w:rFonts w:ascii="Arial" w:hAnsi="Arial" w:cs="Arial"/>
              </w:rPr>
            </w:pPr>
          </w:p>
          <w:p w14:paraId="1DCDF880" w14:textId="77777777" w:rsidR="00E6048A" w:rsidRDefault="00E6048A" w:rsidP="00CC52D3">
            <w:pPr>
              <w:rPr>
                <w:rFonts w:ascii="Arial" w:hAnsi="Arial" w:cs="Arial"/>
              </w:rPr>
            </w:pPr>
          </w:p>
          <w:p w14:paraId="01C30A8A" w14:textId="77777777" w:rsidR="00CC52D3" w:rsidRDefault="00CC52D3" w:rsidP="00CC52D3">
            <w:pPr>
              <w:rPr>
                <w:rFonts w:ascii="Arial" w:hAnsi="Arial" w:cs="Arial"/>
              </w:rPr>
            </w:pPr>
          </w:p>
          <w:p w14:paraId="327800EA" w14:textId="77777777" w:rsidR="00D719BC" w:rsidRPr="00C2364B" w:rsidRDefault="00CC52D3" w:rsidP="00CC52D3">
            <w:pPr>
              <w:jc w:val="center"/>
              <w:rPr>
                <w:rFonts w:ascii="Arial" w:hAnsi="Arial" w:cs="Arial"/>
              </w:rPr>
            </w:pPr>
            <w:r w:rsidRPr="00C2364B">
              <w:rPr>
                <w:rFonts w:ascii="Arial" w:hAnsi="Arial" w:cs="Arial"/>
              </w:rPr>
              <w:t>……………………………………..</w:t>
            </w:r>
          </w:p>
          <w:p w14:paraId="40C7CE01" w14:textId="77777777" w:rsidR="00C31894" w:rsidRDefault="00015C09" w:rsidP="00FC1D23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7308B6">
              <w:rPr>
                <w:rFonts w:ascii="Arial" w:hAnsi="Arial" w:cs="Arial"/>
                <w:b/>
              </w:rPr>
              <w:t>Střední odborná škola energetická, Obchodní akademie a Střední zdravotnická škola, Chomutov, příspěvková organizace</w:t>
            </w:r>
          </w:p>
          <w:p w14:paraId="4C36C14C" w14:textId="77777777" w:rsidR="00C31894" w:rsidRDefault="00015C09" w:rsidP="00FC1D23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E334CC">
              <w:rPr>
                <w:rFonts w:ascii="Arial" w:hAnsi="Arial" w:cs="Arial"/>
                <w:highlight w:val="black"/>
              </w:rPr>
              <w:t>Mgr. Jan Mareš, MBA</w:t>
            </w:r>
          </w:p>
          <w:p w14:paraId="6BA25EA4" w14:textId="77777777" w:rsidR="00D719BC" w:rsidRPr="00C2364B" w:rsidRDefault="00015C09" w:rsidP="00FC1D23">
            <w:pPr>
              <w:jc w:val="center"/>
              <w:rPr>
                <w:rFonts w:ascii="Arial" w:hAnsi="Arial" w:cs="Arial"/>
              </w:rPr>
            </w:pPr>
            <w:r w:rsidRPr="008F0382">
              <w:rPr>
                <w:rFonts w:ascii="Arial" w:hAnsi="Arial" w:cs="Arial"/>
              </w:rPr>
              <w:t xml:space="preserve">ředitel </w:t>
            </w:r>
            <w:proofErr w:type="spellStart"/>
            <w:proofErr w:type="gramStart"/>
            <w:r w:rsidRPr="008F0382">
              <w:rPr>
                <w:rFonts w:ascii="Arial" w:hAnsi="Arial" w:cs="Arial"/>
              </w:rPr>
              <w:t>p.o</w:t>
            </w:r>
            <w:proofErr w:type="spellEnd"/>
            <w:r w:rsidRPr="008F0382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4577" w:type="dxa"/>
          </w:tcPr>
          <w:p w14:paraId="4F15B835" w14:textId="77777777" w:rsidR="00D719BC" w:rsidRPr="00C2364B" w:rsidRDefault="00D719BC" w:rsidP="00F373A2">
            <w:pPr>
              <w:rPr>
                <w:rFonts w:ascii="Arial" w:hAnsi="Arial" w:cs="Arial"/>
              </w:rPr>
            </w:pPr>
          </w:p>
          <w:p w14:paraId="0F48A232" w14:textId="77777777" w:rsidR="00D719BC" w:rsidRDefault="00D719BC" w:rsidP="00F373A2">
            <w:pPr>
              <w:rPr>
                <w:rFonts w:ascii="Arial" w:hAnsi="Arial" w:cs="Arial"/>
              </w:rPr>
            </w:pPr>
          </w:p>
          <w:p w14:paraId="708322F1" w14:textId="77777777" w:rsidR="00E6048A" w:rsidRDefault="00E6048A" w:rsidP="00F373A2">
            <w:pPr>
              <w:rPr>
                <w:rFonts w:ascii="Arial" w:hAnsi="Arial" w:cs="Arial"/>
              </w:rPr>
            </w:pPr>
          </w:p>
          <w:p w14:paraId="71E05C07" w14:textId="77777777" w:rsidR="00E6048A" w:rsidRDefault="00E6048A" w:rsidP="00F373A2">
            <w:pPr>
              <w:rPr>
                <w:rFonts w:ascii="Arial" w:hAnsi="Arial" w:cs="Arial"/>
              </w:rPr>
            </w:pPr>
          </w:p>
          <w:p w14:paraId="473768B6" w14:textId="77777777" w:rsidR="007D4979" w:rsidRPr="00C2364B" w:rsidRDefault="007D4979" w:rsidP="00CD06B4">
            <w:pPr>
              <w:jc w:val="center"/>
              <w:rPr>
                <w:rFonts w:ascii="Arial" w:hAnsi="Arial" w:cs="Arial"/>
              </w:rPr>
            </w:pPr>
          </w:p>
          <w:p w14:paraId="33B8E4CF" w14:textId="77777777"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  <w:r w:rsidRPr="00C31894">
              <w:rPr>
                <w:rFonts w:ascii="Arial" w:hAnsi="Arial" w:cs="Arial"/>
              </w:rPr>
              <w:t>……………………………………..</w:t>
            </w:r>
          </w:p>
          <w:p w14:paraId="572EB91B" w14:textId="77777777" w:rsidR="00D719BC" w:rsidRPr="00F333B7" w:rsidRDefault="00015C09" w:rsidP="00C31894">
            <w:pPr>
              <w:spacing w:after="0"/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Consilium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Bonum</w:t>
            </w:r>
            <w:proofErr w:type="spellEnd"/>
            <w:r w:rsidR="00C31894" w:rsidRPr="00F333B7">
              <w:rPr>
                <w:rFonts w:ascii="Arial" w:hAnsi="Arial" w:cs="Arial"/>
                <w:b/>
                <w:bCs/>
              </w:rPr>
              <w:t xml:space="preserve"> s.r.o.</w:t>
            </w:r>
          </w:p>
          <w:p w14:paraId="36802DD5" w14:textId="77777777" w:rsidR="00C31894" w:rsidRDefault="00C31894" w:rsidP="00C31894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 w:rsidRPr="00E334CC">
              <w:rPr>
                <w:rFonts w:ascii="Arial" w:hAnsi="Arial" w:cs="Arial"/>
                <w:highlight w:val="black"/>
              </w:rPr>
              <w:t>Ing. Lukáš Tomko</w:t>
            </w:r>
          </w:p>
          <w:p w14:paraId="6E6B02DE" w14:textId="77777777" w:rsidR="00C31894" w:rsidRPr="00C2364B" w:rsidRDefault="00C31894" w:rsidP="00C31894">
            <w:pPr>
              <w:spacing w:after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  <w:tr w:rsidR="00D719BC" w:rsidRPr="00C2364B" w14:paraId="7CE3DA9F" w14:textId="77777777" w:rsidTr="005D2413">
        <w:trPr>
          <w:trHeight w:val="438"/>
        </w:trPr>
        <w:tc>
          <w:tcPr>
            <w:tcW w:w="4645" w:type="dxa"/>
          </w:tcPr>
          <w:p w14:paraId="06A1A4D4" w14:textId="77777777" w:rsidR="00D719BC" w:rsidRPr="00C2364B" w:rsidRDefault="00D719BC" w:rsidP="00F37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77" w:type="dxa"/>
          </w:tcPr>
          <w:p w14:paraId="023D188F" w14:textId="77777777" w:rsidR="00D719BC" w:rsidRPr="00C2364B" w:rsidRDefault="00D719BC" w:rsidP="00F373A2">
            <w:pPr>
              <w:rPr>
                <w:rFonts w:ascii="Arial" w:hAnsi="Arial" w:cs="Arial"/>
              </w:rPr>
            </w:pPr>
          </w:p>
        </w:tc>
      </w:tr>
    </w:tbl>
    <w:p w14:paraId="4C46FA34" w14:textId="77777777" w:rsidR="00D719BC" w:rsidRPr="003565BA" w:rsidRDefault="00D719BC" w:rsidP="007802B3">
      <w:pPr>
        <w:tabs>
          <w:tab w:val="left" w:pos="6645"/>
        </w:tabs>
      </w:pPr>
      <w:r>
        <w:rPr>
          <w:rFonts w:ascii="Arial" w:hAnsi="Arial" w:cs="Arial"/>
        </w:rPr>
        <w:tab/>
      </w:r>
    </w:p>
    <w:sectPr w:rsidR="00D719BC" w:rsidRPr="003565BA" w:rsidSect="00BD4A8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C33AB" w14:textId="77777777" w:rsidR="00060086" w:rsidRDefault="00060086">
      <w:r>
        <w:separator/>
      </w:r>
    </w:p>
  </w:endnote>
  <w:endnote w:type="continuationSeparator" w:id="0">
    <w:p w14:paraId="0924C39F" w14:textId="77777777" w:rsidR="00060086" w:rsidRDefault="0006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58491" w14:textId="77777777" w:rsidR="00D719BC" w:rsidRDefault="00D719BC" w:rsidP="00C812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6B8EF6" w14:textId="77777777" w:rsidR="00D719BC" w:rsidRDefault="00D719BC" w:rsidP="0094338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FC31E" w14:textId="63DD1CC0" w:rsidR="00D719BC" w:rsidRDefault="00D719BC" w:rsidP="00C8122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34CC">
      <w:rPr>
        <w:rStyle w:val="slostrnky"/>
        <w:noProof/>
      </w:rPr>
      <w:t>1</w:t>
    </w:r>
    <w:r>
      <w:rPr>
        <w:rStyle w:val="slostrnky"/>
      </w:rPr>
      <w:fldChar w:fldCharType="end"/>
    </w:r>
  </w:p>
  <w:p w14:paraId="2B5D0315" w14:textId="77777777" w:rsidR="00D719BC" w:rsidRDefault="00D719BC" w:rsidP="0094338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EC2C5" w14:textId="77777777" w:rsidR="00060086" w:rsidRDefault="00060086">
      <w:r>
        <w:separator/>
      </w:r>
    </w:p>
  </w:footnote>
  <w:footnote w:type="continuationSeparator" w:id="0">
    <w:p w14:paraId="45C23C7B" w14:textId="77777777" w:rsidR="00060086" w:rsidRDefault="0006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084541"/>
    <w:multiLevelType w:val="multilevel"/>
    <w:tmpl w:val="15A489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226A54"/>
    <w:multiLevelType w:val="hybridMultilevel"/>
    <w:tmpl w:val="B162967E"/>
    <w:lvl w:ilvl="0" w:tplc="BB124BBC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E04C0D2">
      <w:start w:val="4"/>
      <w:numFmt w:val="bullet"/>
      <w:lvlText w:val="-"/>
      <w:lvlJc w:val="left"/>
      <w:pPr>
        <w:ind w:left="1364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B84DF3"/>
    <w:multiLevelType w:val="hybridMultilevel"/>
    <w:tmpl w:val="6AD29BFA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C3333"/>
    <w:multiLevelType w:val="hybridMultilevel"/>
    <w:tmpl w:val="E7F6481E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C16475"/>
    <w:multiLevelType w:val="hybridMultilevel"/>
    <w:tmpl w:val="FC0E4A46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101BF7"/>
    <w:multiLevelType w:val="hybridMultilevel"/>
    <w:tmpl w:val="066A84FC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435BC"/>
    <w:multiLevelType w:val="hybridMultilevel"/>
    <w:tmpl w:val="5E289C46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BB1345"/>
    <w:multiLevelType w:val="hybridMultilevel"/>
    <w:tmpl w:val="EF46F868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AB609C"/>
    <w:multiLevelType w:val="hybridMultilevel"/>
    <w:tmpl w:val="172C55A6"/>
    <w:lvl w:ilvl="0" w:tplc="0CEAB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472492"/>
    <w:multiLevelType w:val="hybridMultilevel"/>
    <w:tmpl w:val="807811AE"/>
    <w:lvl w:ilvl="0" w:tplc="6C649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7471C2"/>
    <w:multiLevelType w:val="hybridMultilevel"/>
    <w:tmpl w:val="E418312C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E424DA"/>
    <w:multiLevelType w:val="hybridMultilevel"/>
    <w:tmpl w:val="EE6E850A"/>
    <w:lvl w:ilvl="0" w:tplc="603C40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0B431D"/>
    <w:multiLevelType w:val="hybridMultilevel"/>
    <w:tmpl w:val="49DE2E5A"/>
    <w:lvl w:ilvl="0" w:tplc="69CC40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353DE7"/>
    <w:multiLevelType w:val="hybridMultilevel"/>
    <w:tmpl w:val="348AE244"/>
    <w:lvl w:ilvl="0" w:tplc="0CEAB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BE0A9C"/>
    <w:multiLevelType w:val="hybridMultilevel"/>
    <w:tmpl w:val="83F00AA4"/>
    <w:lvl w:ilvl="0" w:tplc="A6DA94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7733A"/>
    <w:multiLevelType w:val="hybridMultilevel"/>
    <w:tmpl w:val="8620F9A0"/>
    <w:lvl w:ilvl="0" w:tplc="F7CA9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824787"/>
    <w:multiLevelType w:val="hybridMultilevel"/>
    <w:tmpl w:val="9B9EA6CC"/>
    <w:lvl w:ilvl="0" w:tplc="4F32C0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55C11D36"/>
    <w:multiLevelType w:val="hybridMultilevel"/>
    <w:tmpl w:val="D22A25BE"/>
    <w:lvl w:ilvl="0" w:tplc="0CEABF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463C9F"/>
    <w:multiLevelType w:val="hybridMultilevel"/>
    <w:tmpl w:val="E4D080F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0" w15:restartNumberingAfterBreak="0">
    <w:nsid w:val="622B57DF"/>
    <w:multiLevelType w:val="hybridMultilevel"/>
    <w:tmpl w:val="8B00E03E"/>
    <w:lvl w:ilvl="0" w:tplc="7374B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6562C8"/>
    <w:multiLevelType w:val="hybridMultilevel"/>
    <w:tmpl w:val="AECAF704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C508DC"/>
    <w:multiLevelType w:val="multilevel"/>
    <w:tmpl w:val="74FED5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1C0993"/>
    <w:multiLevelType w:val="hybridMultilevel"/>
    <w:tmpl w:val="FB20BA38"/>
    <w:lvl w:ilvl="0" w:tplc="63C4F2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A6DA9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FF37C0C"/>
    <w:multiLevelType w:val="hybridMultilevel"/>
    <w:tmpl w:val="9266DA28"/>
    <w:lvl w:ilvl="0" w:tplc="2490EAF6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E603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D07396"/>
    <w:multiLevelType w:val="multilevel"/>
    <w:tmpl w:val="49DE2E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FBC19DE"/>
    <w:multiLevelType w:val="hybridMultilevel"/>
    <w:tmpl w:val="9588292C"/>
    <w:lvl w:ilvl="0" w:tplc="DBF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3"/>
  </w:num>
  <w:num w:numId="13">
    <w:abstractNumId w:val="24"/>
  </w:num>
  <w:num w:numId="14">
    <w:abstractNumId w:val="16"/>
  </w:num>
  <w:num w:numId="15">
    <w:abstractNumId w:val="19"/>
  </w:num>
  <w:num w:numId="16">
    <w:abstractNumId w:val="6"/>
  </w:num>
  <w:num w:numId="17">
    <w:abstractNumId w:val="1"/>
  </w:num>
  <w:num w:numId="18">
    <w:abstractNumId w:val="11"/>
  </w:num>
  <w:num w:numId="19">
    <w:abstractNumId w:val="18"/>
  </w:num>
  <w:num w:numId="20">
    <w:abstractNumId w:val="12"/>
  </w:num>
  <w:num w:numId="21">
    <w:abstractNumId w:val="9"/>
  </w:num>
  <w:num w:numId="22">
    <w:abstractNumId w:val="25"/>
  </w:num>
  <w:num w:numId="23">
    <w:abstractNumId w:val="13"/>
  </w:num>
  <w:num w:numId="24">
    <w:abstractNumId w:val="8"/>
  </w:num>
  <w:num w:numId="25">
    <w:abstractNumId w:val="7"/>
  </w:num>
  <w:num w:numId="26">
    <w:abstractNumId w:val="14"/>
  </w:num>
  <w:num w:numId="27">
    <w:abstractNumId w:val="22"/>
  </w:num>
  <w:num w:numId="28">
    <w:abstractNumId w:val="2"/>
  </w:num>
  <w:num w:numId="29">
    <w:abstractNumId w:val="23"/>
  </w:num>
  <w:num w:numId="30">
    <w:abstractNumId w:val="1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3E"/>
    <w:rsid w:val="000124A3"/>
    <w:rsid w:val="00015C09"/>
    <w:rsid w:val="00042896"/>
    <w:rsid w:val="0004512E"/>
    <w:rsid w:val="00060086"/>
    <w:rsid w:val="0008153E"/>
    <w:rsid w:val="00082384"/>
    <w:rsid w:val="000D051E"/>
    <w:rsid w:val="00112770"/>
    <w:rsid w:val="001130A7"/>
    <w:rsid w:val="00121D17"/>
    <w:rsid w:val="00137F2B"/>
    <w:rsid w:val="001B2176"/>
    <w:rsid w:val="001D09D4"/>
    <w:rsid w:val="002422AE"/>
    <w:rsid w:val="002B3C92"/>
    <w:rsid w:val="003565BA"/>
    <w:rsid w:val="003658C8"/>
    <w:rsid w:val="00366121"/>
    <w:rsid w:val="0038062E"/>
    <w:rsid w:val="003808DB"/>
    <w:rsid w:val="00383990"/>
    <w:rsid w:val="003D2FBC"/>
    <w:rsid w:val="0046122D"/>
    <w:rsid w:val="004652B8"/>
    <w:rsid w:val="00472A31"/>
    <w:rsid w:val="004E37E4"/>
    <w:rsid w:val="0051175B"/>
    <w:rsid w:val="00533D2E"/>
    <w:rsid w:val="005849CC"/>
    <w:rsid w:val="005B1E83"/>
    <w:rsid w:val="005D2413"/>
    <w:rsid w:val="005E2D95"/>
    <w:rsid w:val="005F2A19"/>
    <w:rsid w:val="00626E78"/>
    <w:rsid w:val="00646BE8"/>
    <w:rsid w:val="006D0FEA"/>
    <w:rsid w:val="00700626"/>
    <w:rsid w:val="00714256"/>
    <w:rsid w:val="007308B6"/>
    <w:rsid w:val="00730FC8"/>
    <w:rsid w:val="0073306E"/>
    <w:rsid w:val="0075451E"/>
    <w:rsid w:val="007802B3"/>
    <w:rsid w:val="007C0FE4"/>
    <w:rsid w:val="007C22C3"/>
    <w:rsid w:val="007D4979"/>
    <w:rsid w:val="00806F4B"/>
    <w:rsid w:val="0086130F"/>
    <w:rsid w:val="008C2C7C"/>
    <w:rsid w:val="008D2615"/>
    <w:rsid w:val="008F1623"/>
    <w:rsid w:val="008F5103"/>
    <w:rsid w:val="00904D83"/>
    <w:rsid w:val="009106CB"/>
    <w:rsid w:val="00917D67"/>
    <w:rsid w:val="00943388"/>
    <w:rsid w:val="009A184F"/>
    <w:rsid w:val="00A13FC5"/>
    <w:rsid w:val="00AA267B"/>
    <w:rsid w:val="00AD7E86"/>
    <w:rsid w:val="00AF5536"/>
    <w:rsid w:val="00B315F7"/>
    <w:rsid w:val="00B46D67"/>
    <w:rsid w:val="00B76484"/>
    <w:rsid w:val="00B80FB1"/>
    <w:rsid w:val="00BB17A0"/>
    <w:rsid w:val="00BC2106"/>
    <w:rsid w:val="00BD4A8F"/>
    <w:rsid w:val="00C2364B"/>
    <w:rsid w:val="00C31894"/>
    <w:rsid w:val="00C35E56"/>
    <w:rsid w:val="00C372C2"/>
    <w:rsid w:val="00C535F6"/>
    <w:rsid w:val="00C8122D"/>
    <w:rsid w:val="00CC32C0"/>
    <w:rsid w:val="00CC52D3"/>
    <w:rsid w:val="00CD06B4"/>
    <w:rsid w:val="00D55494"/>
    <w:rsid w:val="00D676C4"/>
    <w:rsid w:val="00D719BC"/>
    <w:rsid w:val="00D934F8"/>
    <w:rsid w:val="00DA0AF3"/>
    <w:rsid w:val="00DC06B7"/>
    <w:rsid w:val="00DF5948"/>
    <w:rsid w:val="00E334CC"/>
    <w:rsid w:val="00E434A3"/>
    <w:rsid w:val="00E6048A"/>
    <w:rsid w:val="00E74DE4"/>
    <w:rsid w:val="00E846A6"/>
    <w:rsid w:val="00E876D3"/>
    <w:rsid w:val="00EB015D"/>
    <w:rsid w:val="00EB7E7B"/>
    <w:rsid w:val="00ED3ED4"/>
    <w:rsid w:val="00F333B7"/>
    <w:rsid w:val="00F373A2"/>
    <w:rsid w:val="00FC1D23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7EB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A8F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3565BA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Style12">
    <w:name w:val="Style12"/>
    <w:basedOn w:val="Normln"/>
    <w:uiPriority w:val="99"/>
    <w:rsid w:val="003565BA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FontStyle38">
    <w:name w:val="Font Style38"/>
    <w:uiPriority w:val="99"/>
    <w:rsid w:val="003565BA"/>
    <w:rPr>
      <w:rFonts w:ascii="Times New Roman" w:hAnsi="Times New Roman"/>
      <w:color w:val="000000"/>
      <w:sz w:val="20"/>
    </w:rPr>
  </w:style>
  <w:style w:type="character" w:styleId="Zdraznn">
    <w:name w:val="Emphasis"/>
    <w:uiPriority w:val="99"/>
    <w:qFormat/>
    <w:locked/>
    <w:rsid w:val="003565BA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rsid w:val="003565BA"/>
    <w:pPr>
      <w:widowControl w:val="0"/>
      <w:suppressAutoHyphens/>
      <w:spacing w:after="0" w:line="240" w:lineRule="auto"/>
    </w:pPr>
    <w:rPr>
      <w:rFonts w:ascii="Verdana" w:eastAsia="Times New Roman" w:hAnsi="Verdana"/>
      <w:kern w:val="1"/>
      <w:szCs w:val="20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3565BA"/>
    <w:pPr>
      <w:spacing w:after="120" w:line="480" w:lineRule="auto"/>
      <w:jc w:val="center"/>
    </w:pPr>
    <w:rPr>
      <w:rFonts w:eastAsia="Times New Roman"/>
      <w:szCs w:val="20"/>
    </w:rPr>
  </w:style>
  <w:style w:type="character" w:customStyle="1" w:styleId="BodyText2Char">
    <w:name w:val="Body Text 2 Char"/>
    <w:uiPriority w:val="99"/>
    <w:semiHidden/>
    <w:locked/>
    <w:rPr>
      <w:rFonts w:cs="Times New Roman"/>
      <w:lang w:eastAsia="en-US"/>
    </w:rPr>
  </w:style>
  <w:style w:type="character" w:customStyle="1" w:styleId="Zkladntext2Char">
    <w:name w:val="Základní text 2 Char"/>
    <w:link w:val="Zkladntext2"/>
    <w:uiPriority w:val="99"/>
    <w:semiHidden/>
    <w:locked/>
    <w:rsid w:val="003565BA"/>
    <w:rPr>
      <w:rFonts w:ascii="Calibri" w:hAnsi="Calibri"/>
      <w:sz w:val="22"/>
      <w:lang w:val="cs-CZ" w:eastAsia="en-US"/>
    </w:rPr>
  </w:style>
  <w:style w:type="paragraph" w:styleId="Zkladntext">
    <w:name w:val="Body Text"/>
    <w:basedOn w:val="Normln"/>
    <w:link w:val="ZkladntextChar"/>
    <w:uiPriority w:val="99"/>
    <w:rsid w:val="003565BA"/>
    <w:pPr>
      <w:spacing w:after="12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lang w:eastAsia="en-US"/>
    </w:rPr>
  </w:style>
  <w:style w:type="paragraph" w:customStyle="1" w:styleId="style120">
    <w:name w:val="style12"/>
    <w:basedOn w:val="Normln"/>
    <w:uiPriority w:val="99"/>
    <w:rsid w:val="00356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3565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C23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C2364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lang w:eastAsia="en-US"/>
    </w:rPr>
  </w:style>
  <w:style w:type="character" w:styleId="Hypertextovodkaz">
    <w:name w:val="Hyperlink"/>
    <w:uiPriority w:val="99"/>
    <w:rsid w:val="00C2364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428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Odkaznakoment">
    <w:name w:val="annotation reference"/>
    <w:uiPriority w:val="99"/>
    <w:semiHidden/>
    <w:rsid w:val="0004289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42896"/>
    <w:pPr>
      <w:spacing w:after="0" w:line="240" w:lineRule="auto"/>
    </w:pPr>
    <w:rPr>
      <w:sz w:val="20"/>
      <w:szCs w:val="20"/>
      <w:lang w:eastAsia="cs-CZ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042896"/>
    <w:rPr>
      <w:rFonts w:ascii="Calibri" w:hAnsi="Calibri"/>
      <w:lang w:val="cs-CZ" w:eastAsia="cs-CZ"/>
    </w:rPr>
  </w:style>
  <w:style w:type="character" w:styleId="slostrnky">
    <w:name w:val="page number"/>
    <w:uiPriority w:val="99"/>
    <w:rsid w:val="00943388"/>
    <w:rPr>
      <w:rFonts w:cs="Times New Roman"/>
    </w:rPr>
  </w:style>
  <w:style w:type="paragraph" w:styleId="Podnadpis">
    <w:name w:val="Subtitle"/>
    <w:basedOn w:val="Normln"/>
    <w:next w:val="Zkladntext"/>
    <w:link w:val="PodnadpisChar"/>
    <w:qFormat/>
    <w:locked/>
    <w:rsid w:val="00FE186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PodnadpisChar">
    <w:name w:val="Podnadpis Char"/>
    <w:link w:val="Podnadpis"/>
    <w:rsid w:val="00FE186F"/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Normln0">
    <w:name w:val="Normální~"/>
    <w:basedOn w:val="Normln"/>
    <w:rsid w:val="00FE186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21D1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2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1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lanka.hvozdova@esoz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4B6CCD-5678-4CF6-B537-12C7594B4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8294E-ED15-44A0-9C1C-92A8BF46A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A3DD1-45A6-4095-A11B-FDB46A9E5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F4C8F2-3878-491B-A3F5-02EE8057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2066</Words>
  <Characters>12192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Roman Novotný</dc:creator>
  <cp:keywords/>
  <dc:description/>
  <cp:lastModifiedBy>Petra Kouřilová</cp:lastModifiedBy>
  <cp:revision>3</cp:revision>
  <cp:lastPrinted>2020-06-16T08:16:00Z</cp:lastPrinted>
  <dcterms:created xsi:type="dcterms:W3CDTF">2020-06-16T08:03:00Z</dcterms:created>
  <dcterms:modified xsi:type="dcterms:W3CDTF">2020-06-16T08:21:00Z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