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9A0B" w14:textId="77777777" w:rsidR="007835B6" w:rsidRPr="00DA7E4F" w:rsidRDefault="007835B6" w:rsidP="002C610F"/>
    <w:p w14:paraId="6FC489F6" w14:textId="77777777" w:rsidR="007835B6" w:rsidRDefault="007835B6" w:rsidP="007835B6">
      <w:pPr>
        <w:pStyle w:val="Body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1ED923C" w14:textId="1FC9A3F0" w:rsidR="007835B6" w:rsidRPr="00DD0377" w:rsidRDefault="00090A88" w:rsidP="00C17E03">
      <w:pPr>
        <w:pStyle w:val="BodyText"/>
        <w:suppressAutoHyphens/>
        <w:spacing w:line="240" w:lineRule="atLeast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DD0377">
        <w:rPr>
          <w:rFonts w:ascii="Arial" w:hAnsi="Arial" w:cs="Arial"/>
          <w:b/>
          <w:spacing w:val="40"/>
          <w:sz w:val="28"/>
          <w:szCs w:val="28"/>
        </w:rPr>
        <w:t xml:space="preserve">Upgrade </w:t>
      </w:r>
      <w:proofErr w:type="spellStart"/>
      <w:r w:rsidRPr="00DD0377">
        <w:rPr>
          <w:rFonts w:ascii="Arial" w:hAnsi="Arial" w:cs="Arial"/>
          <w:b/>
          <w:spacing w:val="40"/>
          <w:sz w:val="28"/>
          <w:szCs w:val="28"/>
        </w:rPr>
        <w:t>termogravimetrického</w:t>
      </w:r>
      <w:proofErr w:type="spellEnd"/>
      <w:r w:rsidRPr="00DD0377">
        <w:rPr>
          <w:rFonts w:ascii="Arial" w:hAnsi="Arial" w:cs="Arial"/>
          <w:b/>
          <w:spacing w:val="40"/>
          <w:sz w:val="28"/>
          <w:szCs w:val="28"/>
        </w:rPr>
        <w:t xml:space="preserve"> analyzátoru</w:t>
      </w:r>
    </w:p>
    <w:p w14:paraId="720FE8FA" w14:textId="77777777" w:rsidR="007835B6" w:rsidRPr="00DA7E4F" w:rsidRDefault="007835B6" w:rsidP="007835B6">
      <w:pPr>
        <w:pStyle w:val="Header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769AF36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5C739623" w14:textId="77777777" w:rsidR="007835B6" w:rsidRPr="006F6BBE" w:rsidRDefault="007835B6" w:rsidP="007835B6">
      <w:pPr>
        <w:pStyle w:val="Body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TableGrid"/>
        <w:tblW w:w="7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277"/>
        <w:gridCol w:w="182"/>
        <w:gridCol w:w="578"/>
        <w:gridCol w:w="178"/>
        <w:gridCol w:w="1128"/>
        <w:gridCol w:w="701"/>
        <w:gridCol w:w="415"/>
        <w:gridCol w:w="844"/>
        <w:gridCol w:w="785"/>
        <w:gridCol w:w="9"/>
      </w:tblGrid>
      <w:tr w:rsidR="00FE6829" w:rsidRPr="006F6BBE" w14:paraId="16B329BE" w14:textId="77777777" w:rsidTr="00444411">
        <w:trPr>
          <w:trHeight w:val="434"/>
        </w:trPr>
        <w:tc>
          <w:tcPr>
            <w:tcW w:w="1511" w:type="dxa"/>
            <w:vAlign w:val="center"/>
          </w:tcPr>
          <w:p w14:paraId="5953AFA7" w14:textId="77777777" w:rsidR="00FE6829" w:rsidRPr="006F6BBE" w:rsidRDefault="00FE6829" w:rsidP="0005326E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6097" w:type="dxa"/>
            <w:gridSpan w:val="10"/>
            <w:vAlign w:val="center"/>
          </w:tcPr>
          <w:p w14:paraId="7A868BEE" w14:textId="5195C2D3" w:rsidR="00FE6829" w:rsidRPr="006F6BBE" w:rsidRDefault="00641C64" w:rsidP="0005326E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41C64">
              <w:rPr>
                <w:rFonts w:ascii="Arial" w:hAnsi="Arial" w:cs="Arial"/>
                <w:b/>
                <w:sz w:val="21"/>
                <w:szCs w:val="21"/>
              </w:rPr>
              <w:t xml:space="preserve">WATERS </w:t>
            </w:r>
            <w:proofErr w:type="spellStart"/>
            <w:r w:rsidRPr="00641C64">
              <w:rPr>
                <w:rFonts w:ascii="Arial" w:hAnsi="Arial" w:cs="Arial"/>
                <w:b/>
                <w:sz w:val="21"/>
                <w:szCs w:val="21"/>
              </w:rPr>
              <w:t>Gesellschaft</w:t>
            </w:r>
            <w:proofErr w:type="spellEnd"/>
            <w:r w:rsidRPr="00641C6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641C64">
              <w:rPr>
                <w:rFonts w:ascii="Arial" w:hAnsi="Arial" w:cs="Arial"/>
                <w:b/>
                <w:sz w:val="21"/>
                <w:szCs w:val="21"/>
              </w:rPr>
              <w:t>m.b.H</w:t>
            </w:r>
            <w:proofErr w:type="spellEnd"/>
            <w:r w:rsidRPr="00641C64">
              <w:rPr>
                <w:rFonts w:ascii="Arial" w:hAnsi="Arial" w:cs="Arial"/>
                <w:b/>
                <w:sz w:val="21"/>
                <w:szCs w:val="21"/>
              </w:rPr>
              <w:t>., organizační složka</w:t>
            </w:r>
          </w:p>
        </w:tc>
      </w:tr>
      <w:tr w:rsidR="00FE6829" w:rsidRPr="006F6BBE" w14:paraId="12A42C47" w14:textId="77777777" w:rsidTr="00444411">
        <w:tc>
          <w:tcPr>
            <w:tcW w:w="1511" w:type="dxa"/>
            <w:vAlign w:val="center"/>
          </w:tcPr>
          <w:p w14:paraId="7255104C" w14:textId="77777777" w:rsidR="00FE6829" w:rsidRPr="006F6BBE" w:rsidRDefault="00FE6829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6097" w:type="dxa"/>
            <w:gridSpan w:val="10"/>
            <w:vAlign w:val="center"/>
          </w:tcPr>
          <w:p w14:paraId="445F2F3E" w14:textId="760BC420" w:rsidR="00FE6829" w:rsidRPr="006F6BBE" w:rsidRDefault="001C6927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C6927">
              <w:rPr>
                <w:rFonts w:ascii="Arial" w:hAnsi="Arial" w:cs="Arial"/>
                <w:sz w:val="21"/>
                <w:szCs w:val="21"/>
              </w:rPr>
              <w:t xml:space="preserve">Psohlavců 506/43, 147 </w:t>
            </w:r>
            <w:proofErr w:type="gramStart"/>
            <w:r w:rsidRPr="001C6927">
              <w:rPr>
                <w:rFonts w:ascii="Arial" w:hAnsi="Arial" w:cs="Arial"/>
                <w:sz w:val="21"/>
                <w:szCs w:val="21"/>
              </w:rPr>
              <w:t xml:space="preserve">00 </w:t>
            </w:r>
            <w:r w:rsidR="00E5584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C6927">
              <w:rPr>
                <w:rFonts w:ascii="Arial" w:hAnsi="Arial" w:cs="Arial"/>
                <w:sz w:val="21"/>
                <w:szCs w:val="21"/>
              </w:rPr>
              <w:t>Praha</w:t>
            </w:r>
            <w:proofErr w:type="gramEnd"/>
            <w:r w:rsidRPr="001C6927">
              <w:rPr>
                <w:rFonts w:ascii="Arial" w:hAnsi="Arial" w:cs="Arial"/>
                <w:sz w:val="21"/>
                <w:szCs w:val="21"/>
              </w:rPr>
              <w:t xml:space="preserve"> 4</w:t>
            </w:r>
          </w:p>
        </w:tc>
      </w:tr>
      <w:tr w:rsidR="0005326E" w:rsidRPr="006F6BBE" w14:paraId="1B22D3F4" w14:textId="77777777" w:rsidTr="00444411">
        <w:trPr>
          <w:gridAfter w:val="1"/>
          <w:wAfter w:w="9" w:type="dxa"/>
        </w:trPr>
        <w:tc>
          <w:tcPr>
            <w:tcW w:w="1511" w:type="dxa"/>
            <w:vAlign w:val="center"/>
          </w:tcPr>
          <w:p w14:paraId="3F434F99" w14:textId="77777777" w:rsidR="00FE6829" w:rsidRPr="006F6BBE" w:rsidRDefault="00FE6829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1459" w:type="dxa"/>
            <w:gridSpan w:val="2"/>
            <w:vAlign w:val="center"/>
          </w:tcPr>
          <w:p w14:paraId="14517614" w14:textId="6F04B81E" w:rsidR="00FE6829" w:rsidRPr="006F6BBE" w:rsidRDefault="00CB4FE8" w:rsidP="00123A71">
            <w:pPr>
              <w:pStyle w:val="BodyText"/>
              <w:suppressAutoHyphens/>
              <w:spacing w:before="0" w:after="0" w:line="240" w:lineRule="atLeast"/>
              <w:ind w:left="0" w:right="285" w:firstLine="0"/>
              <w:rPr>
                <w:rFonts w:ascii="Arial" w:hAnsi="Arial" w:cs="Arial"/>
                <w:sz w:val="21"/>
                <w:szCs w:val="21"/>
              </w:rPr>
            </w:pPr>
            <w:r w:rsidRPr="00CB4FE8">
              <w:rPr>
                <w:rFonts w:ascii="Arial" w:hAnsi="Arial" w:cs="Arial"/>
                <w:sz w:val="21"/>
                <w:szCs w:val="21"/>
              </w:rPr>
              <w:t>60459441</w:t>
            </w:r>
          </w:p>
        </w:tc>
        <w:tc>
          <w:tcPr>
            <w:tcW w:w="578" w:type="dxa"/>
            <w:vAlign w:val="center"/>
          </w:tcPr>
          <w:p w14:paraId="142B9A69" w14:textId="77777777" w:rsidR="00FE6829" w:rsidRPr="006F6BBE" w:rsidRDefault="00FE6829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051" w:type="dxa"/>
            <w:gridSpan w:val="6"/>
            <w:vAlign w:val="center"/>
          </w:tcPr>
          <w:p w14:paraId="67CF6A03" w14:textId="4D7981A0" w:rsidR="00FE6829" w:rsidRPr="006F6BBE" w:rsidRDefault="005D5FDD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D5FDD">
              <w:rPr>
                <w:rFonts w:ascii="Arial" w:hAnsi="Arial" w:cs="Arial"/>
                <w:sz w:val="21"/>
                <w:szCs w:val="21"/>
              </w:rPr>
              <w:t>CZ60459441</w:t>
            </w:r>
          </w:p>
        </w:tc>
      </w:tr>
      <w:tr w:rsidR="00444411" w:rsidRPr="006F6BBE" w14:paraId="103E129D" w14:textId="77777777" w:rsidTr="00444411">
        <w:tc>
          <w:tcPr>
            <w:tcW w:w="1511" w:type="dxa"/>
            <w:vAlign w:val="center"/>
          </w:tcPr>
          <w:p w14:paraId="2229E978" w14:textId="77777777" w:rsidR="00FE6829" w:rsidRPr="006F6BBE" w:rsidRDefault="00FE6829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77" w:type="dxa"/>
            <w:vAlign w:val="center"/>
          </w:tcPr>
          <w:p w14:paraId="3CEE726A" w14:textId="5FB4418C" w:rsidR="00FE6829" w:rsidRPr="006F6BBE" w:rsidRDefault="005D5FDD" w:rsidP="00E5584B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38" w:type="dxa"/>
            <w:gridSpan w:val="3"/>
            <w:vAlign w:val="center"/>
          </w:tcPr>
          <w:p w14:paraId="22A833D6" w14:textId="77777777" w:rsidR="00FE6829" w:rsidRPr="006F6BBE" w:rsidRDefault="00FE6829" w:rsidP="00E5584B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1128" w:type="dxa"/>
            <w:vAlign w:val="center"/>
          </w:tcPr>
          <w:p w14:paraId="29D95EBA" w14:textId="03F34E7B" w:rsidR="00FE6829" w:rsidRPr="006F6BBE" w:rsidRDefault="005D5FDD" w:rsidP="00E5584B">
            <w:pPr>
              <w:pStyle w:val="Body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  <w:r w:rsidR="006073E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701" w:type="dxa"/>
            <w:vAlign w:val="center"/>
          </w:tcPr>
          <w:p w14:paraId="1313D213" w14:textId="77777777" w:rsidR="00FE6829" w:rsidRPr="006F6BBE" w:rsidRDefault="00FE6829" w:rsidP="00E5584B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15" w:type="dxa"/>
            <w:vAlign w:val="center"/>
          </w:tcPr>
          <w:p w14:paraId="7A6EE7D5" w14:textId="281665BB" w:rsidR="00FE6829" w:rsidRPr="006F6BBE" w:rsidRDefault="000A0B8C" w:rsidP="00E5584B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6073E4">
              <w:rPr>
                <w:rFonts w:ascii="Arial" w:hAnsi="Arial" w:cs="Arial"/>
                <w:sz w:val="21"/>
                <w:szCs w:val="21"/>
              </w:rPr>
              <w:t>,</w:t>
            </w:r>
            <w:bookmarkStart w:id="0" w:name="_GoBack"/>
            <w:bookmarkEnd w:id="0"/>
          </w:p>
        </w:tc>
        <w:tc>
          <w:tcPr>
            <w:tcW w:w="844" w:type="dxa"/>
            <w:vAlign w:val="center"/>
          </w:tcPr>
          <w:p w14:paraId="0BC0DAC8" w14:textId="77777777" w:rsidR="00FE6829" w:rsidRPr="006F6BBE" w:rsidRDefault="00FE6829" w:rsidP="00E5584B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794" w:type="dxa"/>
            <w:gridSpan w:val="2"/>
            <w:vAlign w:val="center"/>
          </w:tcPr>
          <w:p w14:paraId="0095DCA3" w14:textId="2D4A373B" w:rsidR="00FE6829" w:rsidRPr="006F6BBE" w:rsidRDefault="000A0B8C" w:rsidP="00E5584B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A0B8C">
              <w:rPr>
                <w:rFonts w:ascii="Arial" w:hAnsi="Arial" w:cs="Arial"/>
                <w:sz w:val="21"/>
                <w:szCs w:val="21"/>
              </w:rPr>
              <w:t>9889</w:t>
            </w:r>
          </w:p>
        </w:tc>
      </w:tr>
      <w:tr w:rsidR="00FE6829" w:rsidRPr="006F6BBE" w14:paraId="6976BF2F" w14:textId="77777777" w:rsidTr="00444411">
        <w:tc>
          <w:tcPr>
            <w:tcW w:w="1511" w:type="dxa"/>
            <w:vAlign w:val="center"/>
          </w:tcPr>
          <w:p w14:paraId="385CC9C2" w14:textId="77777777" w:rsidR="00FE6829" w:rsidRPr="006F6BBE" w:rsidRDefault="00FE6829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6097" w:type="dxa"/>
            <w:gridSpan w:val="10"/>
            <w:vAlign w:val="center"/>
          </w:tcPr>
          <w:p w14:paraId="5AB4E9B6" w14:textId="38CA1FA1" w:rsidR="00FE6829" w:rsidRPr="006F6BBE" w:rsidRDefault="000A0B8C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A0B8C">
              <w:rPr>
                <w:rFonts w:ascii="Arial" w:hAnsi="Arial" w:cs="Arial"/>
                <w:sz w:val="21"/>
                <w:szCs w:val="21"/>
              </w:rPr>
              <w:t>Ing. Marek Exner, vedoucí odštěpného závodu</w:t>
            </w:r>
          </w:p>
        </w:tc>
      </w:tr>
    </w:tbl>
    <w:p w14:paraId="0B9166A3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41B38A7" w14:textId="77777777" w:rsidR="007835B6" w:rsidRPr="006F6BBE" w:rsidRDefault="007835B6" w:rsidP="007835B6">
      <w:pPr>
        <w:pStyle w:val="Body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03595CC7" w14:textId="77777777" w:rsidR="00750C40" w:rsidRDefault="00750C40" w:rsidP="007835B6">
      <w:pPr>
        <w:pStyle w:val="Body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648E64F" w14:textId="77777777" w:rsidR="007835B6" w:rsidRPr="006F6BBE" w:rsidRDefault="007835B6" w:rsidP="007835B6">
      <w:pPr>
        <w:pStyle w:val="Body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4B3EED6D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5B81807" w14:textId="77777777" w:rsidR="007835B6" w:rsidRPr="006F6BBE" w:rsidRDefault="007835B6" w:rsidP="0005326E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27E8848" w14:textId="77777777" w:rsidR="007835B6" w:rsidRPr="006F6BBE" w:rsidRDefault="00B85190" w:rsidP="0005326E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28C75527" w14:textId="77777777" w:rsidTr="003B0B43">
        <w:tc>
          <w:tcPr>
            <w:tcW w:w="1384" w:type="dxa"/>
            <w:vAlign w:val="center"/>
          </w:tcPr>
          <w:p w14:paraId="48273C13" w14:textId="77777777" w:rsidR="007835B6" w:rsidRPr="006F6BBE" w:rsidRDefault="007835B6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4388EB4" w14:textId="77777777" w:rsidR="007835B6" w:rsidRPr="006F6BBE" w:rsidRDefault="009B449A" w:rsidP="00B85190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B85190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B85190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48BE2225" w14:textId="77777777" w:rsidTr="003B0B43">
        <w:tc>
          <w:tcPr>
            <w:tcW w:w="1384" w:type="dxa"/>
            <w:vAlign w:val="center"/>
          </w:tcPr>
          <w:p w14:paraId="021A70C5" w14:textId="77777777" w:rsidR="007835B6" w:rsidRPr="006F6BBE" w:rsidRDefault="007835B6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B64E080" w14:textId="77777777" w:rsidR="007835B6" w:rsidRPr="006F6BBE" w:rsidRDefault="00B85190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78056B69" w14:textId="77777777" w:rsidR="007835B6" w:rsidRPr="006F6BBE" w:rsidRDefault="007835B6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2F694FB" w14:textId="77777777" w:rsidR="007835B6" w:rsidRPr="006F6BBE" w:rsidRDefault="009B449A" w:rsidP="00B85190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0A6D87B3" w14:textId="77777777" w:rsidTr="003B0B43">
        <w:tc>
          <w:tcPr>
            <w:tcW w:w="1384" w:type="dxa"/>
            <w:vAlign w:val="center"/>
          </w:tcPr>
          <w:p w14:paraId="4130D1CA" w14:textId="77777777" w:rsidR="009B449A" w:rsidRPr="006F6BBE" w:rsidRDefault="009B449A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08ED15E4" w14:textId="77777777" w:rsidR="009B449A" w:rsidRPr="006F6BBE" w:rsidRDefault="009B449A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1C72BED6" w14:textId="77777777" w:rsidTr="003B0B43">
        <w:tc>
          <w:tcPr>
            <w:tcW w:w="1384" w:type="dxa"/>
            <w:vAlign w:val="center"/>
          </w:tcPr>
          <w:p w14:paraId="26FB9686" w14:textId="77777777" w:rsidR="0049146C" w:rsidRPr="006F6BBE" w:rsidRDefault="0049146C" w:rsidP="0005326E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CCA6ADF" w14:textId="77777777" w:rsidR="0049146C" w:rsidRPr="006F6BBE" w:rsidRDefault="00750C40" w:rsidP="00882CC1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790FD8B4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6FF95DBC" w14:textId="77777777" w:rsidR="0005326E" w:rsidRDefault="0005326E" w:rsidP="00E837B7">
      <w:pPr>
        <w:rPr>
          <w:rFonts w:cs="Arial"/>
          <w:sz w:val="21"/>
          <w:szCs w:val="21"/>
        </w:rPr>
      </w:pPr>
    </w:p>
    <w:p w14:paraId="4C8DE850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7B161801" w14:textId="77777777" w:rsidR="0005326E" w:rsidRPr="006F6BBE" w:rsidRDefault="0005326E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19A3E17E" w14:textId="02EFE45E" w:rsidR="008E31F1" w:rsidRPr="006F6BBE" w:rsidRDefault="0090102A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odevzdá</w:t>
      </w:r>
      <w:r w:rsidR="00A9423A">
        <w:rPr>
          <w:rFonts w:cs="Arial"/>
          <w:sz w:val="21"/>
          <w:szCs w:val="21"/>
        </w:rPr>
        <w:t xml:space="preserve"> a nainstaluje</w:t>
      </w:r>
      <w:r w:rsidRPr="006F6BBE">
        <w:rPr>
          <w:rFonts w:cs="Arial"/>
          <w:sz w:val="21"/>
          <w:szCs w:val="21"/>
        </w:rPr>
        <w:t xml:space="preserve">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3F0E4D74" w14:textId="77777777" w:rsidR="007E5265" w:rsidRDefault="007E5265" w:rsidP="007E5265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</w:t>
      </w:r>
      <w:r w:rsidR="00E96CBC">
        <w:rPr>
          <w:rFonts w:cs="Arial"/>
          <w:sz w:val="21"/>
          <w:szCs w:val="21"/>
        </w:rPr>
        <w:t>lady, které se k věci vztahují.</w:t>
      </w:r>
    </w:p>
    <w:p w14:paraId="76F1E81E" w14:textId="77777777" w:rsidR="00DA7E4F" w:rsidRPr="006F6BBE" w:rsidRDefault="00DA7E4F" w:rsidP="00DE5A99">
      <w:pPr>
        <w:rPr>
          <w:rFonts w:cs="Arial"/>
          <w:sz w:val="21"/>
          <w:szCs w:val="21"/>
        </w:rPr>
      </w:pPr>
    </w:p>
    <w:p w14:paraId="3962C9E0" w14:textId="77777777" w:rsidR="0090102A" w:rsidRPr="006F6BBE" w:rsidRDefault="0090102A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1BC2A1B" w14:textId="77777777" w:rsidR="00290DB6" w:rsidRDefault="00C9276D" w:rsidP="00903F14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 xml:space="preserve">Předmětem koupě </w:t>
      </w:r>
      <w:r w:rsidR="00B25B4E" w:rsidRPr="00C3598F">
        <w:rPr>
          <w:rFonts w:cs="Arial"/>
          <w:sz w:val="21"/>
          <w:szCs w:val="21"/>
        </w:rPr>
        <w:t xml:space="preserve">je </w:t>
      </w:r>
      <w:r w:rsidR="00903F14" w:rsidRPr="00903F14">
        <w:rPr>
          <w:rFonts w:cs="Arial"/>
          <w:sz w:val="21"/>
          <w:szCs w:val="21"/>
        </w:rPr>
        <w:t xml:space="preserve">Upgrade stávajícího </w:t>
      </w:r>
      <w:proofErr w:type="spellStart"/>
      <w:r w:rsidR="00903F14" w:rsidRPr="00903F14">
        <w:rPr>
          <w:rFonts w:cs="Arial"/>
          <w:sz w:val="21"/>
          <w:szCs w:val="21"/>
        </w:rPr>
        <w:t>termogravimetrického</w:t>
      </w:r>
      <w:proofErr w:type="spellEnd"/>
      <w:r w:rsidR="00903F14" w:rsidRPr="00903F14">
        <w:rPr>
          <w:rFonts w:cs="Arial"/>
          <w:sz w:val="21"/>
          <w:szCs w:val="21"/>
        </w:rPr>
        <w:t xml:space="preserve"> analyzátoru TGA Q500</w:t>
      </w:r>
      <w:r w:rsidR="00ED2C2E">
        <w:rPr>
          <w:rFonts w:cs="Arial"/>
          <w:sz w:val="21"/>
          <w:szCs w:val="21"/>
        </w:rPr>
        <w:t xml:space="preserve">, který </w:t>
      </w:r>
      <w:r w:rsidR="00290DB6">
        <w:rPr>
          <w:rFonts w:cs="Arial"/>
          <w:sz w:val="21"/>
          <w:szCs w:val="21"/>
        </w:rPr>
        <w:t>se skládá z:</w:t>
      </w:r>
    </w:p>
    <w:p w14:paraId="1DE75D56" w14:textId="1AC33F1B" w:rsidR="00206DDF" w:rsidRDefault="00290DB6" w:rsidP="00290DB6">
      <w:pPr>
        <w:pStyle w:val="ListParagraph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290DB6">
        <w:rPr>
          <w:rFonts w:cs="Arial"/>
          <w:sz w:val="21"/>
          <w:szCs w:val="21"/>
        </w:rPr>
        <w:t>Kvadrupólový hmotnostní analyzátor (spektrometr)</w:t>
      </w:r>
      <w:r>
        <w:rPr>
          <w:rFonts w:cs="Arial"/>
          <w:sz w:val="21"/>
          <w:szCs w:val="21"/>
        </w:rPr>
        <w:t xml:space="preserve"> (1 x)</w:t>
      </w:r>
    </w:p>
    <w:p w14:paraId="4F589D7D" w14:textId="766D4D33" w:rsidR="00290DB6" w:rsidRDefault="00290DB6" w:rsidP="00290DB6">
      <w:pPr>
        <w:pStyle w:val="ListParagraph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290DB6">
        <w:rPr>
          <w:rFonts w:cs="Arial"/>
          <w:sz w:val="21"/>
          <w:szCs w:val="21"/>
        </w:rPr>
        <w:t xml:space="preserve">Upgrade TGA Q500 o </w:t>
      </w:r>
      <w:proofErr w:type="spellStart"/>
      <w:r w:rsidRPr="00290DB6">
        <w:rPr>
          <w:rFonts w:cs="Arial"/>
          <w:sz w:val="21"/>
          <w:szCs w:val="21"/>
        </w:rPr>
        <w:t>autosampler</w:t>
      </w:r>
      <w:proofErr w:type="spellEnd"/>
      <w:r w:rsidRPr="00290DB6">
        <w:rPr>
          <w:rFonts w:cs="Arial"/>
          <w:sz w:val="21"/>
          <w:szCs w:val="21"/>
        </w:rPr>
        <w:t xml:space="preserve"> na minimálně 16 vzorkovnic</w:t>
      </w:r>
      <w:r>
        <w:rPr>
          <w:rFonts w:cs="Arial"/>
          <w:sz w:val="21"/>
          <w:szCs w:val="21"/>
        </w:rPr>
        <w:t xml:space="preserve"> (1 x)</w:t>
      </w:r>
    </w:p>
    <w:p w14:paraId="5A37A06D" w14:textId="09C33805" w:rsidR="00290DB6" w:rsidRDefault="00DD0377" w:rsidP="00DD0377">
      <w:pPr>
        <w:pStyle w:val="ListParagraph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DD0377">
        <w:rPr>
          <w:rFonts w:cs="Arial"/>
          <w:sz w:val="21"/>
          <w:szCs w:val="21"/>
        </w:rPr>
        <w:t xml:space="preserve">Upgrade stávajícího FTIR spektrometru Nicolet iS10 (TGA/IR interface) pro analýzu plynů odcházejících z </w:t>
      </w:r>
      <w:proofErr w:type="spellStart"/>
      <w:r w:rsidRPr="00DD0377">
        <w:rPr>
          <w:rFonts w:cs="Arial"/>
          <w:sz w:val="21"/>
          <w:szCs w:val="21"/>
        </w:rPr>
        <w:t>termogravimetrického</w:t>
      </w:r>
      <w:proofErr w:type="spellEnd"/>
      <w:r w:rsidRPr="00DD0377">
        <w:rPr>
          <w:rFonts w:cs="Arial"/>
          <w:sz w:val="21"/>
          <w:szCs w:val="21"/>
        </w:rPr>
        <w:t xml:space="preserve"> analyzátoru TGA Q500</w:t>
      </w:r>
      <w:r>
        <w:rPr>
          <w:rFonts w:cs="Arial"/>
          <w:sz w:val="21"/>
          <w:szCs w:val="21"/>
        </w:rPr>
        <w:t xml:space="preserve"> (1 x)</w:t>
      </w:r>
    </w:p>
    <w:p w14:paraId="4FF4603E" w14:textId="77777777" w:rsidR="003C2F63" w:rsidRPr="007E5265" w:rsidRDefault="004C6EFA" w:rsidP="007E5265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 koupě bude dodán kalibrovaný od výrobce</w:t>
      </w:r>
      <w:r w:rsidR="00C94A2B" w:rsidRPr="00C3598F">
        <w:rPr>
          <w:rFonts w:cs="Arial"/>
          <w:sz w:val="21"/>
          <w:szCs w:val="21"/>
        </w:rPr>
        <w:t>.</w:t>
      </w:r>
    </w:p>
    <w:p w14:paraId="6D1D069C" w14:textId="77777777" w:rsidR="00E453CA" w:rsidRDefault="00E453CA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lastRenderedPageBreak/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0D937195" w14:textId="77777777" w:rsidR="006507DC" w:rsidRDefault="006507DC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6C790B9C" w14:textId="2AD96303" w:rsidR="004D1858" w:rsidRPr="006F6BBE" w:rsidRDefault="004D1858" w:rsidP="00903F14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musí být plně kompatibilní s</w:t>
      </w:r>
      <w:r w:rsidR="00DD362B">
        <w:rPr>
          <w:rFonts w:cs="Arial"/>
          <w:sz w:val="21"/>
          <w:szCs w:val="21"/>
        </w:rPr>
        <w:t xml:space="preserve">e stávajícím </w:t>
      </w:r>
      <w:proofErr w:type="spellStart"/>
      <w:r w:rsidR="00903F14">
        <w:rPr>
          <w:rFonts w:cs="Arial"/>
          <w:sz w:val="21"/>
          <w:szCs w:val="21"/>
        </w:rPr>
        <w:t>termogravimetrickým</w:t>
      </w:r>
      <w:proofErr w:type="spellEnd"/>
      <w:r w:rsidR="00903F14">
        <w:rPr>
          <w:rFonts w:cs="Arial"/>
          <w:sz w:val="21"/>
          <w:szCs w:val="21"/>
        </w:rPr>
        <w:t xml:space="preserve"> analyzátorem </w:t>
      </w:r>
      <w:r w:rsidR="0054108C">
        <w:rPr>
          <w:rFonts w:cs="Arial"/>
          <w:sz w:val="21"/>
          <w:szCs w:val="21"/>
        </w:rPr>
        <w:t xml:space="preserve">TA Instruments </w:t>
      </w:r>
      <w:r w:rsidR="00903F14">
        <w:rPr>
          <w:rFonts w:cs="Arial"/>
          <w:sz w:val="21"/>
          <w:szCs w:val="21"/>
        </w:rPr>
        <w:t xml:space="preserve">TGA Q500 a </w:t>
      </w:r>
      <w:r w:rsidR="00903F14" w:rsidRPr="00903F14">
        <w:rPr>
          <w:rFonts w:cs="Arial"/>
          <w:sz w:val="21"/>
          <w:szCs w:val="21"/>
        </w:rPr>
        <w:t>stávající</w:t>
      </w:r>
      <w:r w:rsidR="00903F14">
        <w:rPr>
          <w:rFonts w:cs="Arial"/>
          <w:sz w:val="21"/>
          <w:szCs w:val="21"/>
        </w:rPr>
        <w:t>m</w:t>
      </w:r>
      <w:r w:rsidR="0054108C">
        <w:rPr>
          <w:rFonts w:cs="Arial"/>
          <w:sz w:val="21"/>
          <w:szCs w:val="21"/>
        </w:rPr>
        <w:t xml:space="preserve"> Nicolet</w:t>
      </w:r>
      <w:r w:rsidR="00903F14" w:rsidRPr="00903F14">
        <w:rPr>
          <w:rFonts w:cs="Arial"/>
          <w:sz w:val="21"/>
          <w:szCs w:val="21"/>
        </w:rPr>
        <w:t xml:space="preserve"> FTIR spektrometr</w:t>
      </w:r>
      <w:r w:rsidR="00903F14">
        <w:rPr>
          <w:rFonts w:cs="Arial"/>
          <w:sz w:val="21"/>
          <w:szCs w:val="21"/>
        </w:rPr>
        <w:t>em</w:t>
      </w:r>
      <w:r w:rsidR="00903F14" w:rsidRPr="00903F14">
        <w:rPr>
          <w:rFonts w:cs="Arial"/>
          <w:sz w:val="21"/>
          <w:szCs w:val="21"/>
        </w:rPr>
        <w:t xml:space="preserve"> iS10</w:t>
      </w:r>
      <w:r w:rsidR="00903F14">
        <w:rPr>
          <w:rFonts w:cs="Arial"/>
          <w:sz w:val="21"/>
          <w:szCs w:val="21"/>
        </w:rPr>
        <w:t>,</w:t>
      </w:r>
      <w:r w:rsidR="00903F14" w:rsidRPr="00903F1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kter</w:t>
      </w:r>
      <w:r w:rsidR="00903F14">
        <w:rPr>
          <w:rFonts w:cs="Arial"/>
          <w:sz w:val="21"/>
          <w:szCs w:val="21"/>
        </w:rPr>
        <w:t>é</w:t>
      </w:r>
      <w:r>
        <w:rPr>
          <w:rFonts w:cs="Arial"/>
          <w:sz w:val="21"/>
          <w:szCs w:val="21"/>
        </w:rPr>
        <w:t xml:space="preserve"> již kupující vlastní.</w:t>
      </w:r>
    </w:p>
    <w:p w14:paraId="7ABF5F7F" w14:textId="77777777" w:rsidR="00DE5A99" w:rsidRPr="004C6EFA" w:rsidRDefault="00DE5A99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1ABF86D9" w14:textId="77777777" w:rsidR="00DE5A99" w:rsidRPr="006F6BBE" w:rsidRDefault="00DE5A99" w:rsidP="002F5DC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40A4E21D" w14:textId="77777777" w:rsidR="00DE5A99" w:rsidRPr="006F6BBE" w:rsidRDefault="00DE5A99" w:rsidP="002F5DC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10833D9E" w14:textId="77777777" w:rsidR="00DE5A99" w:rsidRPr="006F6BBE" w:rsidRDefault="00DE5A99" w:rsidP="002F5DC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5DF8A07" w14:textId="77777777" w:rsidR="002F5DC3" w:rsidRPr="006F6BBE" w:rsidRDefault="002F5DC3" w:rsidP="002F5DC3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3BBEE7CA" w14:textId="77777777" w:rsidR="002F5DC3" w:rsidRPr="004C6EFA" w:rsidRDefault="002F5DC3" w:rsidP="002F5DC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25CF0188" w14:textId="77777777" w:rsidR="002F5DC3" w:rsidRPr="004C6EFA" w:rsidRDefault="002F5DC3" w:rsidP="002F5DC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117A8D62" w14:textId="77777777" w:rsidR="002F5DC3" w:rsidRPr="004C6EFA" w:rsidRDefault="002F5DC3" w:rsidP="002F5DC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258EAD50" w14:textId="77777777" w:rsidR="002F5DC3" w:rsidRPr="004C6EFA" w:rsidRDefault="004C6EFA" w:rsidP="002F5DC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Kalibrační listy/protokoly</w:t>
      </w:r>
      <w:r w:rsidR="007E5265">
        <w:rPr>
          <w:rFonts w:cs="Arial"/>
          <w:sz w:val="21"/>
          <w:szCs w:val="21"/>
        </w:rPr>
        <w:t>.</w:t>
      </w:r>
    </w:p>
    <w:p w14:paraId="6D9B9F31" w14:textId="77777777" w:rsidR="002F5DC3" w:rsidRPr="004C6EFA" w:rsidRDefault="002F5DC3" w:rsidP="002F5DC3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0636FF6F" w14:textId="6EE75F6B" w:rsidR="00DE5A99" w:rsidRDefault="00DE5A99" w:rsidP="004C6EF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Prodávající se zavazuje provádět </w:t>
      </w:r>
      <w:r w:rsidR="00FF4920">
        <w:rPr>
          <w:rFonts w:cs="Arial"/>
          <w:sz w:val="21"/>
          <w:szCs w:val="21"/>
        </w:rPr>
        <w:t xml:space="preserve">bezplatný </w:t>
      </w:r>
      <w:r w:rsidRPr="004C6EFA">
        <w:rPr>
          <w:rFonts w:cs="Arial"/>
          <w:sz w:val="21"/>
          <w:szCs w:val="21"/>
        </w:rPr>
        <w:t>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FF4920">
        <w:rPr>
          <w:rFonts w:cs="Arial"/>
          <w:sz w:val="21"/>
          <w:szCs w:val="21"/>
        </w:rPr>
        <w:t xml:space="preserve"> s dobou odezvy do </w:t>
      </w:r>
      <w:r w:rsidR="00AE7829">
        <w:rPr>
          <w:rFonts w:cs="Arial"/>
          <w:sz w:val="21"/>
          <w:szCs w:val="21"/>
        </w:rPr>
        <w:t>5</w:t>
      </w:r>
      <w:r w:rsidR="00FF4920">
        <w:rPr>
          <w:rFonts w:cs="Arial"/>
          <w:sz w:val="21"/>
          <w:szCs w:val="21"/>
        </w:rPr>
        <w:t xml:space="preserve"> dnů</w:t>
      </w:r>
      <w:r w:rsidR="004C6EFA" w:rsidRPr="004C6EFA">
        <w:rPr>
          <w:rFonts w:cs="Arial"/>
          <w:sz w:val="21"/>
          <w:szCs w:val="21"/>
        </w:rPr>
        <w:t>.</w:t>
      </w:r>
      <w:r w:rsidR="00853DE5">
        <w:rPr>
          <w:rFonts w:cs="Arial"/>
          <w:sz w:val="21"/>
          <w:szCs w:val="21"/>
        </w:rPr>
        <w:t xml:space="preserve"> Dále se zavazuje k zajištění placeného servisu a dostupnost</w:t>
      </w:r>
      <w:r w:rsidR="003B00FE">
        <w:rPr>
          <w:rFonts w:cs="Arial"/>
          <w:sz w:val="21"/>
          <w:szCs w:val="21"/>
        </w:rPr>
        <w:t>i</w:t>
      </w:r>
      <w:r w:rsidR="00853DE5">
        <w:rPr>
          <w:rFonts w:cs="Arial"/>
          <w:sz w:val="21"/>
          <w:szCs w:val="21"/>
        </w:rPr>
        <w:t xml:space="preserve"> náhradních dílů po dobu 10 let </w:t>
      </w:r>
      <w:r w:rsidR="00A9423A">
        <w:rPr>
          <w:rFonts w:cs="Arial"/>
          <w:sz w:val="21"/>
          <w:szCs w:val="21"/>
        </w:rPr>
        <w:t>od okamžiku předání předmětu koupě</w:t>
      </w:r>
      <w:r w:rsidR="00853DE5">
        <w:rPr>
          <w:rFonts w:cs="Arial"/>
          <w:sz w:val="21"/>
          <w:szCs w:val="21"/>
        </w:rPr>
        <w:t>.</w:t>
      </w:r>
    </w:p>
    <w:p w14:paraId="3D448E52" w14:textId="64A4320E" w:rsidR="00A9423A" w:rsidRPr="00A9423A" w:rsidRDefault="00A9423A" w:rsidP="00A9423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zavazuje provést školení údržby a obsluhy před</w:t>
      </w:r>
      <w:r>
        <w:rPr>
          <w:rFonts w:cs="Arial"/>
          <w:sz w:val="21"/>
          <w:szCs w:val="21"/>
        </w:rPr>
        <w:t>mětu koupě v trvání alespoň osmi</w:t>
      </w:r>
      <w:r w:rsidRPr="00AC646E">
        <w:rPr>
          <w:rFonts w:cs="Arial"/>
          <w:sz w:val="21"/>
          <w:szCs w:val="21"/>
        </w:rPr>
        <w:t xml:space="preserve"> hodin školení. Prodávající se zavazuje provést školení údržby a obsluhy předmětu koupě</w:t>
      </w:r>
      <w:r>
        <w:rPr>
          <w:rFonts w:cs="Arial"/>
          <w:sz w:val="21"/>
          <w:szCs w:val="21"/>
        </w:rPr>
        <w:t>, a to</w:t>
      </w:r>
      <w:r w:rsidRPr="00AC646E">
        <w:rPr>
          <w:rFonts w:cs="Arial"/>
          <w:sz w:val="21"/>
          <w:szCs w:val="21"/>
        </w:rPr>
        <w:t xml:space="preserve"> nejpozději do </w:t>
      </w:r>
      <w:r>
        <w:rPr>
          <w:rFonts w:cs="Arial"/>
          <w:sz w:val="21"/>
          <w:szCs w:val="21"/>
        </w:rPr>
        <w:t>jednoho měsíce od</w:t>
      </w:r>
      <w:r w:rsidRPr="00AC646E">
        <w:rPr>
          <w:rFonts w:cs="Arial"/>
          <w:sz w:val="21"/>
          <w:szCs w:val="21"/>
        </w:rPr>
        <w:t xml:space="preserve"> odevzdání předmětu koupě.</w:t>
      </w:r>
    </w:p>
    <w:p w14:paraId="06F1F6B5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0B9225C5" w14:textId="77777777" w:rsidR="00F9199E" w:rsidRPr="006F6BBE" w:rsidRDefault="00E46D1A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00BFA9E5" w14:textId="677E2D28" w:rsidR="00DE5A99" w:rsidRPr="00EF16B8" w:rsidRDefault="00DE5A99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A9423A">
        <w:rPr>
          <w:rFonts w:cs="Arial"/>
          <w:sz w:val="21"/>
          <w:szCs w:val="21"/>
        </w:rPr>
        <w:t xml:space="preserve"> a nainstalován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nejpozdě</w:t>
      </w:r>
      <w:r w:rsidRPr="00520ED8">
        <w:rPr>
          <w:rFonts w:cs="Arial"/>
          <w:sz w:val="21"/>
          <w:szCs w:val="21"/>
        </w:rPr>
        <w:t xml:space="preserve">ji </w:t>
      </w:r>
      <w:r w:rsidRPr="00520ED8">
        <w:rPr>
          <w:rFonts w:cs="Arial"/>
          <w:b/>
          <w:sz w:val="21"/>
          <w:szCs w:val="21"/>
        </w:rPr>
        <w:t xml:space="preserve">do </w:t>
      </w:r>
      <w:r w:rsidR="007B65C8">
        <w:rPr>
          <w:rFonts w:cs="Arial"/>
          <w:b/>
          <w:sz w:val="21"/>
          <w:szCs w:val="21"/>
        </w:rPr>
        <w:t>14</w:t>
      </w:r>
      <w:r w:rsidR="00C17E03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53E579ED" w14:textId="77777777" w:rsidR="00DE5A99" w:rsidRPr="006F6BBE" w:rsidRDefault="00DE5A99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25835ABB" w14:textId="06CDAEB4" w:rsidR="00DE5A99" w:rsidRPr="006F6BBE" w:rsidRDefault="00DE5A99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A9423A">
        <w:rPr>
          <w:rFonts w:cs="Arial"/>
          <w:sz w:val="21"/>
          <w:szCs w:val="21"/>
        </w:rPr>
        <w:t xml:space="preserve"> a nainstalován</w:t>
      </w:r>
      <w:r w:rsidR="00AC65A0"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</w:t>
      </w:r>
      <w:proofErr w:type="gramStart"/>
      <w:r w:rsidRPr="004C6EFA">
        <w:rPr>
          <w:rFonts w:cs="Arial"/>
          <w:b/>
          <w:sz w:val="21"/>
          <w:szCs w:val="21"/>
        </w:rPr>
        <w:t>4a</w:t>
      </w:r>
      <w:proofErr w:type="gramEnd"/>
      <w:r w:rsidRPr="004C6EFA">
        <w:rPr>
          <w:rFonts w:cs="Arial"/>
          <w:b/>
          <w:sz w:val="21"/>
          <w:szCs w:val="21"/>
        </w:rPr>
        <w:t>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3B3C90E0" w14:textId="77777777" w:rsidR="009B0C68" w:rsidRPr="006F6BBE" w:rsidRDefault="009B0C68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1D8EAC28" w14:textId="77777777" w:rsidR="00E46D1A" w:rsidRPr="006F6BBE" w:rsidRDefault="00E46D1A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056F38A7" w14:textId="77777777" w:rsidR="00414754" w:rsidRPr="006F6BBE" w:rsidRDefault="00414754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16DD0209" w14:textId="37F2ECFF" w:rsidR="00ED5992" w:rsidRPr="006F6BBE" w:rsidRDefault="004F78B5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5 pracovních dnů ode dne </w:t>
      </w:r>
      <w:r w:rsidR="00DD362B" w:rsidRPr="00A9423A">
        <w:rPr>
          <w:rFonts w:cs="Arial"/>
          <w:sz w:val="21"/>
          <w:szCs w:val="21"/>
        </w:rPr>
        <w:t xml:space="preserve">dokončení instalace </w:t>
      </w:r>
      <w:r w:rsidR="00ED5992" w:rsidRPr="00A9423A">
        <w:rPr>
          <w:rFonts w:cs="Arial"/>
          <w:sz w:val="21"/>
          <w:szCs w:val="21"/>
        </w:rPr>
        <w:t>předmětu koupě</w:t>
      </w:r>
      <w:r w:rsidR="00DD362B" w:rsidRPr="00A9423A">
        <w:rPr>
          <w:rFonts w:cs="Arial"/>
          <w:sz w:val="21"/>
          <w:szCs w:val="21"/>
        </w:rPr>
        <w:t xml:space="preserve"> na místě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37A3E2EB" w14:textId="77777777" w:rsidR="00E96CBC" w:rsidRPr="00520ED8" w:rsidRDefault="00B5522F" w:rsidP="00520ED8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25452E6F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6A1322BA" w14:textId="77777777" w:rsidR="0090102A" w:rsidRPr="006F6BBE" w:rsidRDefault="0090102A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7B282191" w14:textId="77777777" w:rsidR="00DE5A99" w:rsidRDefault="00DE5A99" w:rsidP="004C6EF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3815"/>
        <w:gridCol w:w="846"/>
        <w:gridCol w:w="1933"/>
        <w:gridCol w:w="2043"/>
      </w:tblGrid>
      <w:tr w:rsidR="00E96CBC" w:rsidRPr="00447E97" w14:paraId="20E0BEBC" w14:textId="77777777" w:rsidTr="00B743A6">
        <w:tc>
          <w:tcPr>
            <w:tcW w:w="3815" w:type="dxa"/>
          </w:tcPr>
          <w:p w14:paraId="4D9CBC60" w14:textId="77777777" w:rsidR="00E96CBC" w:rsidRPr="00447E97" w:rsidRDefault="00E96CBC" w:rsidP="00B743A6">
            <w:pPr>
              <w:pStyle w:val="ListParagraph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Položka</w:t>
            </w:r>
          </w:p>
        </w:tc>
        <w:tc>
          <w:tcPr>
            <w:tcW w:w="846" w:type="dxa"/>
          </w:tcPr>
          <w:p w14:paraId="10F37CBB" w14:textId="77777777" w:rsidR="00E96CBC" w:rsidRPr="00447E97" w:rsidRDefault="00E96CBC" w:rsidP="00B743A6">
            <w:pPr>
              <w:pStyle w:val="ListParagraph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6804BAD8" w14:textId="77777777" w:rsidR="00E96CBC" w:rsidRPr="00447E97" w:rsidRDefault="00E96CBC" w:rsidP="00B743A6">
            <w:pPr>
              <w:pStyle w:val="ListParagraph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Cena za kus bez DPH</w:t>
            </w:r>
          </w:p>
        </w:tc>
        <w:tc>
          <w:tcPr>
            <w:tcW w:w="2043" w:type="dxa"/>
          </w:tcPr>
          <w:p w14:paraId="1880D10E" w14:textId="77777777" w:rsidR="00E96CBC" w:rsidRPr="00447E97" w:rsidRDefault="00E96CBC" w:rsidP="00B743A6">
            <w:pPr>
              <w:pStyle w:val="ListParagraph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</w:tr>
      <w:tr w:rsidR="00E96CBC" w:rsidRPr="00447E97" w14:paraId="091D87DD" w14:textId="77777777" w:rsidTr="00B743A6">
        <w:tc>
          <w:tcPr>
            <w:tcW w:w="3815" w:type="dxa"/>
          </w:tcPr>
          <w:p w14:paraId="6901F20F" w14:textId="067B8275" w:rsidR="00E96CBC" w:rsidRPr="00E500EF" w:rsidRDefault="00F0718B" w:rsidP="00E500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E500EF">
              <w:rPr>
                <w:rFonts w:ascii="Arial" w:hAnsi="Arial" w:cs="Arial"/>
                <w:sz w:val="21"/>
                <w:szCs w:val="21"/>
              </w:rPr>
              <w:t xml:space="preserve">Kvadrupólový hmotnostní analyzátor (spektrometr) </w:t>
            </w:r>
          </w:p>
        </w:tc>
        <w:tc>
          <w:tcPr>
            <w:tcW w:w="846" w:type="dxa"/>
          </w:tcPr>
          <w:p w14:paraId="0AB01965" w14:textId="77777777" w:rsidR="00E96CBC" w:rsidRPr="009414A9" w:rsidRDefault="002874FB" w:rsidP="00B743A6">
            <w:pPr>
              <w:pStyle w:val="ListParagraph"/>
              <w:spacing w:before="0" w:after="12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4A9">
              <w:rPr>
                <w:rFonts w:ascii="Arial" w:hAnsi="Arial" w:cs="Arial"/>
                <w:sz w:val="21"/>
                <w:szCs w:val="21"/>
              </w:rPr>
              <w:t>1</w:t>
            </w:r>
            <w:r w:rsidR="00626A0B" w:rsidRPr="009414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6CBC" w:rsidRPr="009414A9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1933" w:type="dxa"/>
          </w:tcPr>
          <w:p w14:paraId="20CAF968" w14:textId="4D48622C" w:rsidR="00E96CBC" w:rsidRPr="009414A9" w:rsidRDefault="000B0633" w:rsidP="00B743A6">
            <w:pPr>
              <w:pStyle w:val="ListParagraph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1731</w:t>
            </w:r>
            <w:r w:rsidR="00B13D81">
              <w:rPr>
                <w:rFonts w:ascii="Arial" w:hAnsi="Arial" w:cs="Arial"/>
                <w:sz w:val="21"/>
                <w:szCs w:val="21"/>
              </w:rPr>
              <w:t>125</w:t>
            </w:r>
            <w:r w:rsidR="00E500EF">
              <w:rPr>
                <w:rFonts w:ascii="Arial" w:hAnsi="Arial" w:cs="Arial"/>
                <w:sz w:val="21"/>
                <w:szCs w:val="21"/>
              </w:rPr>
              <w:t xml:space="preserve"> ,</w:t>
            </w:r>
            <w:proofErr w:type="gramEnd"/>
            <w:r w:rsidR="00E500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043" w:type="dxa"/>
          </w:tcPr>
          <w:p w14:paraId="25CEC9B9" w14:textId="16C925A2" w:rsidR="00E96CBC" w:rsidRPr="009414A9" w:rsidRDefault="00B13D81" w:rsidP="00B743A6">
            <w:pPr>
              <w:pStyle w:val="ListParagraph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1731125</w:t>
            </w:r>
            <w:r w:rsidR="00E500EF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ED2C2E" w:rsidRPr="00447E97" w14:paraId="574A1452" w14:textId="77777777" w:rsidTr="00B743A6">
        <w:tc>
          <w:tcPr>
            <w:tcW w:w="3815" w:type="dxa"/>
          </w:tcPr>
          <w:p w14:paraId="4CF1F1F7" w14:textId="548FB9C6" w:rsidR="00ED2C2E" w:rsidRPr="00E500EF" w:rsidRDefault="00F0718B" w:rsidP="00ED2C2E">
            <w:pPr>
              <w:pStyle w:val="ListParagraph"/>
              <w:numPr>
                <w:ilvl w:val="0"/>
                <w:numId w:val="21"/>
              </w:num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E500EF">
              <w:rPr>
                <w:rFonts w:ascii="Arial" w:hAnsi="Arial" w:cs="Arial"/>
                <w:sz w:val="21"/>
                <w:szCs w:val="21"/>
              </w:rPr>
              <w:t xml:space="preserve">Upgrade TGA Q500 o </w:t>
            </w:r>
            <w:proofErr w:type="spellStart"/>
            <w:r w:rsidRPr="00E500EF">
              <w:rPr>
                <w:rFonts w:ascii="Arial" w:hAnsi="Arial" w:cs="Arial"/>
                <w:sz w:val="21"/>
                <w:szCs w:val="21"/>
              </w:rPr>
              <w:t>autosampler</w:t>
            </w:r>
            <w:proofErr w:type="spellEnd"/>
            <w:r w:rsidRPr="00E500EF">
              <w:rPr>
                <w:rFonts w:ascii="Arial" w:hAnsi="Arial" w:cs="Arial"/>
                <w:sz w:val="21"/>
                <w:szCs w:val="21"/>
              </w:rPr>
              <w:t xml:space="preserve"> na minimálně 16 vzorkovnic</w:t>
            </w:r>
          </w:p>
        </w:tc>
        <w:tc>
          <w:tcPr>
            <w:tcW w:w="846" w:type="dxa"/>
          </w:tcPr>
          <w:p w14:paraId="78DC71E9" w14:textId="77777777" w:rsidR="00ED2C2E" w:rsidRPr="009414A9" w:rsidRDefault="00ED2C2E" w:rsidP="00B743A6">
            <w:pPr>
              <w:pStyle w:val="ListParagraph"/>
              <w:spacing w:before="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4A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</w:tcPr>
          <w:p w14:paraId="3C0AE80A" w14:textId="4F915C3B" w:rsidR="00ED2C2E" w:rsidRPr="009414A9" w:rsidRDefault="00B13D81" w:rsidP="00B743A6">
            <w:pPr>
              <w:pStyle w:val="ListParagraph"/>
              <w:spacing w:before="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255000</w:t>
            </w:r>
            <w:r w:rsidR="00E500EF">
              <w:rPr>
                <w:rFonts w:ascii="Arial" w:hAnsi="Arial" w:cs="Arial"/>
                <w:sz w:val="21"/>
                <w:szCs w:val="21"/>
              </w:rPr>
              <w:t xml:space="preserve"> ,</w:t>
            </w:r>
            <w:proofErr w:type="gramEnd"/>
            <w:r w:rsidR="00E500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043" w:type="dxa"/>
          </w:tcPr>
          <w:p w14:paraId="09748CCC" w14:textId="21224D61" w:rsidR="00ED2C2E" w:rsidRPr="009414A9" w:rsidRDefault="00B13D81" w:rsidP="00B743A6">
            <w:pPr>
              <w:pStyle w:val="ListParagraph"/>
              <w:spacing w:before="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255000</w:t>
            </w:r>
            <w:r w:rsidR="00E500EF">
              <w:rPr>
                <w:rFonts w:ascii="Arial" w:hAnsi="Arial" w:cs="Arial"/>
                <w:sz w:val="21"/>
                <w:szCs w:val="21"/>
              </w:rPr>
              <w:t xml:space="preserve"> ,</w:t>
            </w:r>
            <w:proofErr w:type="gramEnd"/>
            <w:r w:rsidR="00E500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ED2C2E" w:rsidRPr="00447E97" w14:paraId="78E6F26E" w14:textId="77777777" w:rsidTr="00B743A6">
        <w:tc>
          <w:tcPr>
            <w:tcW w:w="3815" w:type="dxa"/>
          </w:tcPr>
          <w:p w14:paraId="4FFA800E" w14:textId="77C5BACC" w:rsidR="00ED2C2E" w:rsidRPr="00E500EF" w:rsidRDefault="00F0718B" w:rsidP="009414A9">
            <w:pPr>
              <w:pStyle w:val="ListParagraph"/>
              <w:numPr>
                <w:ilvl w:val="0"/>
                <w:numId w:val="21"/>
              </w:num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E500EF">
              <w:rPr>
                <w:rFonts w:ascii="Arial" w:hAnsi="Arial" w:cs="Arial"/>
                <w:sz w:val="21"/>
                <w:szCs w:val="21"/>
              </w:rPr>
              <w:t>Upgrade stávajícího FTIR s</w:t>
            </w:r>
            <w:r w:rsidR="00290DB6">
              <w:rPr>
                <w:rFonts w:ascii="Arial" w:hAnsi="Arial" w:cs="Arial"/>
                <w:sz w:val="21"/>
                <w:szCs w:val="21"/>
              </w:rPr>
              <w:t>pektrometru Nicolet iS10 (</w:t>
            </w:r>
            <w:r w:rsidRPr="00E500EF">
              <w:rPr>
                <w:rFonts w:ascii="Arial" w:hAnsi="Arial" w:cs="Arial"/>
                <w:sz w:val="21"/>
                <w:szCs w:val="21"/>
              </w:rPr>
              <w:t>TGA/IR interface) pro analýzu plynů odcházejících z </w:t>
            </w:r>
            <w:proofErr w:type="spellStart"/>
            <w:r w:rsidRPr="00E500EF">
              <w:rPr>
                <w:rFonts w:ascii="Arial" w:hAnsi="Arial" w:cs="Arial"/>
                <w:sz w:val="21"/>
                <w:szCs w:val="21"/>
              </w:rPr>
              <w:t>termogravimetrického</w:t>
            </w:r>
            <w:proofErr w:type="spellEnd"/>
            <w:r w:rsidRPr="00E500EF">
              <w:rPr>
                <w:rFonts w:ascii="Arial" w:hAnsi="Arial" w:cs="Arial"/>
                <w:sz w:val="21"/>
                <w:szCs w:val="21"/>
              </w:rPr>
              <w:t xml:space="preserve"> analyzátoru TGA Q500</w:t>
            </w:r>
          </w:p>
        </w:tc>
        <w:tc>
          <w:tcPr>
            <w:tcW w:w="846" w:type="dxa"/>
          </w:tcPr>
          <w:p w14:paraId="580F7300" w14:textId="77777777" w:rsidR="00ED2C2E" w:rsidRPr="009414A9" w:rsidRDefault="00A10D01" w:rsidP="00B743A6">
            <w:pPr>
              <w:pStyle w:val="ListParagraph"/>
              <w:spacing w:before="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</w:tcPr>
          <w:p w14:paraId="63BB9FA3" w14:textId="2A5685A1" w:rsidR="00ED2C2E" w:rsidRPr="009414A9" w:rsidRDefault="00E832DF" w:rsidP="00B743A6">
            <w:pPr>
              <w:pStyle w:val="ListParagraph"/>
              <w:spacing w:before="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1012000</w:t>
            </w:r>
            <w:r w:rsidR="00E500EF">
              <w:rPr>
                <w:rFonts w:ascii="Arial" w:hAnsi="Arial" w:cs="Arial"/>
                <w:sz w:val="21"/>
                <w:szCs w:val="21"/>
              </w:rPr>
              <w:t xml:space="preserve"> ,</w:t>
            </w:r>
            <w:proofErr w:type="gramEnd"/>
            <w:r w:rsidR="00E500E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043" w:type="dxa"/>
          </w:tcPr>
          <w:p w14:paraId="2FE82BD9" w14:textId="72A6542A" w:rsidR="00ED2C2E" w:rsidRPr="009414A9" w:rsidRDefault="00E832DF" w:rsidP="00B743A6">
            <w:pPr>
              <w:pStyle w:val="ListParagraph"/>
              <w:spacing w:before="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1012000</w:t>
            </w:r>
            <w:r w:rsidR="00E500EF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44696A" w:rsidRPr="00447E97" w14:paraId="50385355" w14:textId="77777777" w:rsidTr="00B743A6">
        <w:tc>
          <w:tcPr>
            <w:tcW w:w="3815" w:type="dxa"/>
            <w:tcBorders>
              <w:right w:val="nil"/>
            </w:tcBorders>
            <w:vAlign w:val="bottom"/>
          </w:tcPr>
          <w:p w14:paraId="64B0F6DF" w14:textId="77777777" w:rsidR="0044696A" w:rsidRPr="00A10D01" w:rsidRDefault="0044696A" w:rsidP="0044696A">
            <w:pPr>
              <w:pStyle w:val="ListParagraph"/>
              <w:spacing w:before="0" w:after="120"/>
              <w:ind w:left="455" w:firstLine="0"/>
              <w:contextualSpacing w:val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A10D01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73FBBE0C" w14:textId="77777777" w:rsidR="0044696A" w:rsidRPr="00A10D01" w:rsidRDefault="0044696A" w:rsidP="0044696A">
            <w:pPr>
              <w:pStyle w:val="ListParagraph"/>
              <w:spacing w:before="0" w:after="12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33" w:type="dxa"/>
            <w:tcBorders>
              <w:left w:val="nil"/>
            </w:tcBorders>
          </w:tcPr>
          <w:p w14:paraId="1BB6C7ED" w14:textId="77777777" w:rsidR="0044696A" w:rsidRPr="00A10D01" w:rsidRDefault="0044696A" w:rsidP="0044696A">
            <w:pPr>
              <w:pStyle w:val="ListParagraph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43" w:type="dxa"/>
          </w:tcPr>
          <w:p w14:paraId="4E20826C" w14:textId="1BAFA716" w:rsidR="0044696A" w:rsidRPr="00A10D01" w:rsidRDefault="00363072" w:rsidP="0044696A">
            <w:pPr>
              <w:pStyle w:val="ListParagraph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2998125</w:t>
            </w:r>
            <w:r w:rsidR="00E500EF" w:rsidRPr="00E500EF">
              <w:rPr>
                <w:rFonts w:ascii="Arial" w:hAnsi="Arial" w:cs="Arial"/>
                <w:b/>
                <w:sz w:val="21"/>
                <w:szCs w:val="21"/>
              </w:rPr>
              <w:t xml:space="preserve"> ,</w:t>
            </w:r>
            <w:proofErr w:type="gramEnd"/>
            <w:r w:rsidR="00E500EF" w:rsidRPr="00E500EF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</w:tr>
    </w:tbl>
    <w:p w14:paraId="1BE1C583" w14:textId="77777777" w:rsidR="00E96CBC" w:rsidRPr="00E96CBC" w:rsidRDefault="00E96CBC" w:rsidP="00E96CBC">
      <w:pPr>
        <w:ind w:left="0" w:firstLine="0"/>
        <w:rPr>
          <w:rFonts w:cs="Arial"/>
          <w:sz w:val="21"/>
          <w:szCs w:val="21"/>
        </w:rPr>
      </w:pPr>
    </w:p>
    <w:p w14:paraId="3F630011" w14:textId="68139871" w:rsidR="00E96CBC" w:rsidRPr="00E500EF" w:rsidRDefault="00E96CBC" w:rsidP="00E96CB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65431">
        <w:rPr>
          <w:rFonts w:cs="Arial"/>
          <w:sz w:val="21"/>
          <w:szCs w:val="21"/>
        </w:rPr>
        <w:t>Cena je sjednána na základě jednotkových cen, jako součet oceněných položek</w:t>
      </w:r>
      <w:r w:rsidR="00F0718B">
        <w:rPr>
          <w:rFonts w:cs="Arial"/>
          <w:sz w:val="21"/>
          <w:szCs w:val="21"/>
        </w:rPr>
        <w:t xml:space="preserve"> </w:t>
      </w:r>
      <w:r w:rsidR="00F0718B" w:rsidRPr="00E500EF">
        <w:rPr>
          <w:rFonts w:cs="Arial"/>
          <w:sz w:val="21"/>
          <w:szCs w:val="21"/>
        </w:rPr>
        <w:t>a zahrnuje instalaci a zaškolení na místě</w:t>
      </w:r>
      <w:r w:rsidRPr="00E500EF">
        <w:rPr>
          <w:rFonts w:cs="Arial"/>
          <w:sz w:val="21"/>
          <w:szCs w:val="21"/>
        </w:rPr>
        <w:t>.</w:t>
      </w:r>
    </w:p>
    <w:p w14:paraId="54065EF8" w14:textId="77777777" w:rsidR="00DE5A99" w:rsidRPr="006F6BBE" w:rsidRDefault="00DE5A99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3764549" w14:textId="115D3F49" w:rsidR="00DE5A99" w:rsidRPr="006F6BBE" w:rsidRDefault="007A53A1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3B4CB84B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0946E69F" w14:textId="77777777" w:rsidR="00F9199E" w:rsidRPr="006F6BBE" w:rsidRDefault="00F9199E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000A1F48" w14:textId="40400687" w:rsidR="00C17E03" w:rsidRPr="00C17E03" w:rsidRDefault="001576F7" w:rsidP="00C17E03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 xml:space="preserve">a </w:t>
      </w:r>
      <w:r w:rsidR="007A53A1">
        <w:rPr>
          <w:rFonts w:cs="Arial"/>
          <w:sz w:val="21"/>
          <w:szCs w:val="21"/>
        </w:rPr>
        <w:t>jeho instalaci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F5EC581" w14:textId="296242A6" w:rsidR="00C9276D" w:rsidRDefault="00C9276D" w:rsidP="00B8519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Veškeré faktury budou mít náležitosti daňového dokladu</w:t>
      </w:r>
      <w:r w:rsidR="00E500EF">
        <w:rPr>
          <w:rFonts w:cs="Arial"/>
          <w:sz w:val="21"/>
          <w:szCs w:val="21"/>
        </w:rPr>
        <w:t>.</w:t>
      </w:r>
    </w:p>
    <w:p w14:paraId="11CBB01F" w14:textId="77777777" w:rsidR="007E5265" w:rsidRDefault="007E5265" w:rsidP="007E5265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4E305699" w14:textId="77777777" w:rsidR="007E5265" w:rsidRDefault="007E5265" w:rsidP="007E5265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2F771468" w14:textId="77777777" w:rsidR="007E5265" w:rsidRDefault="007E5265" w:rsidP="007E5265">
      <w:pPr>
        <w:pStyle w:val="ListParagraph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0656B80B" w14:textId="77777777" w:rsidR="007E5265" w:rsidRDefault="007E5265" w:rsidP="007E5265">
      <w:pPr>
        <w:pStyle w:val="ListParagraph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47DF44CE" w14:textId="77777777" w:rsidR="007E5265" w:rsidRPr="007E5265" w:rsidRDefault="007E5265" w:rsidP="007E5265">
      <w:pPr>
        <w:pStyle w:val="ListParagraph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5B5F5F43" w14:textId="77777777" w:rsidR="006D62AC" w:rsidRPr="006F6BBE" w:rsidRDefault="006D62AC" w:rsidP="00B8519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4D671AA" w14:textId="77777777" w:rsidR="001576F7" w:rsidRPr="006F6BBE" w:rsidRDefault="001576F7" w:rsidP="001576F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61D38F47" w14:textId="77777777" w:rsidR="001576F7" w:rsidRPr="006F6BBE" w:rsidRDefault="001576F7" w:rsidP="001576F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0C2C6ED6" w14:textId="77777777" w:rsidR="001576F7" w:rsidRPr="006F6BBE" w:rsidRDefault="001576F7" w:rsidP="001576F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Faktura je uhrazena dnem odepsání příslušné částky z účtu kupujícího.</w:t>
      </w:r>
    </w:p>
    <w:p w14:paraId="1024A8B2" w14:textId="7276AE30" w:rsidR="00192E96" w:rsidRPr="007A53A1" w:rsidRDefault="006D62AC" w:rsidP="007A53A1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696879E5" w14:textId="77777777" w:rsidR="008F7581" w:rsidRPr="00192E96" w:rsidRDefault="008F7581" w:rsidP="00192E96">
      <w:pPr>
        <w:ind w:left="0" w:firstLine="0"/>
        <w:rPr>
          <w:rFonts w:cs="Arial"/>
          <w:sz w:val="21"/>
          <w:szCs w:val="21"/>
        </w:rPr>
      </w:pPr>
    </w:p>
    <w:p w14:paraId="68194019" w14:textId="77777777" w:rsidR="00FB236F" w:rsidRPr="006F6BBE" w:rsidRDefault="00FB236F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2BBCED3A" w14:textId="77777777" w:rsidR="00FB236F" w:rsidRPr="006F6BBE" w:rsidRDefault="00FB236F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09E5A45D" w14:textId="77777777" w:rsidR="00952B2B" w:rsidRPr="006F6BBE" w:rsidRDefault="00952B2B" w:rsidP="00DE5A99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49DF328A" w14:textId="77777777" w:rsidR="00952B2B" w:rsidRPr="006F6BBE" w:rsidRDefault="00952B2B" w:rsidP="00DE5A99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2A2BF2A" w14:textId="77777777" w:rsidR="00FB236F" w:rsidRPr="006F6BBE" w:rsidRDefault="00952B2B" w:rsidP="00DE5A99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088C585F" w14:textId="6CE2F22B" w:rsidR="00016A93" w:rsidRPr="00DD0377" w:rsidRDefault="00016A93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D0377">
        <w:rPr>
          <w:rFonts w:cs="Arial"/>
          <w:sz w:val="21"/>
          <w:szCs w:val="21"/>
        </w:rPr>
        <w:t xml:space="preserve">Prodávající poskytuje </w:t>
      </w:r>
      <w:r w:rsidRPr="00DD0377">
        <w:rPr>
          <w:rFonts w:cs="Arial"/>
          <w:b/>
          <w:sz w:val="21"/>
          <w:szCs w:val="21"/>
        </w:rPr>
        <w:t>záruku za jakost</w:t>
      </w:r>
      <w:r w:rsidRPr="00DD0377">
        <w:rPr>
          <w:rFonts w:cs="Arial"/>
          <w:sz w:val="21"/>
          <w:szCs w:val="21"/>
        </w:rPr>
        <w:t xml:space="preserve"> na dobu </w:t>
      </w:r>
      <w:r w:rsidR="004E0DE0">
        <w:rPr>
          <w:rFonts w:cs="Arial"/>
          <w:b/>
          <w:sz w:val="21"/>
          <w:szCs w:val="21"/>
        </w:rPr>
        <w:t>12</w:t>
      </w:r>
      <w:r w:rsidRPr="00DD0377">
        <w:rPr>
          <w:rFonts w:cs="Arial"/>
          <w:b/>
          <w:sz w:val="21"/>
          <w:szCs w:val="21"/>
        </w:rPr>
        <w:t xml:space="preserve"> měsíců</w:t>
      </w:r>
      <w:r w:rsidR="00DD0377">
        <w:rPr>
          <w:rFonts w:cs="Arial"/>
          <w:sz w:val="21"/>
          <w:szCs w:val="21"/>
        </w:rPr>
        <w:t xml:space="preserve">, vyjma kvadrupólového hmotnostního analyzátoru (spektrometru), na který poskytuje prodávající </w:t>
      </w:r>
      <w:r w:rsidR="00DD0377" w:rsidRPr="00DD0377">
        <w:rPr>
          <w:rFonts w:cs="Arial"/>
          <w:b/>
          <w:sz w:val="21"/>
          <w:szCs w:val="21"/>
        </w:rPr>
        <w:t>záruku za jakost</w:t>
      </w:r>
      <w:r w:rsidR="00DD0377">
        <w:rPr>
          <w:rFonts w:cs="Arial"/>
          <w:sz w:val="21"/>
          <w:szCs w:val="21"/>
        </w:rPr>
        <w:t xml:space="preserve"> na dobu </w:t>
      </w:r>
      <w:r w:rsidR="004E0DE0">
        <w:rPr>
          <w:rFonts w:cs="Arial"/>
          <w:b/>
          <w:sz w:val="21"/>
          <w:szCs w:val="21"/>
        </w:rPr>
        <w:t>24</w:t>
      </w:r>
      <w:r w:rsidR="00DD0377" w:rsidRPr="00DD0377">
        <w:rPr>
          <w:rFonts w:cs="Arial"/>
          <w:b/>
          <w:sz w:val="21"/>
          <w:szCs w:val="21"/>
        </w:rPr>
        <w:t xml:space="preserve"> měsíců</w:t>
      </w:r>
      <w:r w:rsidR="00DD0377">
        <w:rPr>
          <w:rFonts w:cs="Arial"/>
          <w:sz w:val="21"/>
          <w:szCs w:val="21"/>
        </w:rPr>
        <w:t>.</w:t>
      </w:r>
    </w:p>
    <w:p w14:paraId="0B26EB23" w14:textId="77777777" w:rsidR="00FB236F" w:rsidRPr="006F6BBE" w:rsidRDefault="00FB236F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6F176126" w14:textId="77777777" w:rsidR="00776499" w:rsidRPr="006F6BBE" w:rsidRDefault="007D768E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6EF6DAEC" w14:textId="339D590A" w:rsidR="00AF7BFD" w:rsidRPr="006F6BBE" w:rsidRDefault="00AF7BFD" w:rsidP="00AF7BF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931DCB">
        <w:rPr>
          <w:rFonts w:cs="Arial"/>
          <w:b/>
          <w:sz w:val="21"/>
          <w:szCs w:val="21"/>
        </w:rPr>
        <w:t>10</w:t>
      </w:r>
      <w:r w:rsidRPr="004C6EFA">
        <w:rPr>
          <w:rFonts w:cs="Arial"/>
          <w:b/>
          <w:sz w:val="21"/>
          <w:szCs w:val="21"/>
        </w:rPr>
        <w:t xml:space="preserve">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0F399423" w14:textId="77777777" w:rsidR="00773026" w:rsidRPr="006F6BBE" w:rsidRDefault="00773026" w:rsidP="007D768E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</w:p>
    <w:p w14:paraId="2EF4B4B2" w14:textId="77777777" w:rsidR="00F9199E" w:rsidRPr="006F6BBE" w:rsidRDefault="007D768E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7CC4CA0E" w14:textId="77777777" w:rsidR="006F29AC" w:rsidRPr="006F6BBE" w:rsidRDefault="00DB6E45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24888089" w14:textId="0904F6E5" w:rsidR="00773026" w:rsidRPr="006F6BBE" w:rsidRDefault="00DE5A99" w:rsidP="00773026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7A53A1">
        <w:rPr>
          <w:rFonts w:cs="Arial"/>
          <w:b/>
          <w:sz w:val="21"/>
          <w:szCs w:val="21"/>
        </w:rPr>
        <w:t>6</w:t>
      </w:r>
      <w:r w:rsidR="00E500EF">
        <w:rPr>
          <w:rFonts w:cs="Arial"/>
          <w:b/>
          <w:sz w:val="21"/>
          <w:szCs w:val="21"/>
        </w:rPr>
        <w:t>.0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23B7CE94" w14:textId="77777777" w:rsidR="00773026" w:rsidRPr="006F6BBE" w:rsidRDefault="004218BE" w:rsidP="00AC65A0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5D7CD031" w14:textId="3523E2F0" w:rsidR="004218BE" w:rsidRPr="006F6BBE" w:rsidRDefault="004218BE" w:rsidP="00AC65A0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s</w:t>
      </w:r>
      <w:r w:rsidR="007D768E" w:rsidRPr="006F6BBE">
        <w:rPr>
          <w:rFonts w:cs="Arial"/>
          <w:sz w:val="21"/>
          <w:szCs w:val="21"/>
        </w:rPr>
        <w:t xml:space="preserve"> odstranění</w:t>
      </w:r>
      <w:r w:rsidR="003B00FE"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84BCC22" w14:textId="06D9CA90" w:rsidR="004218BE" w:rsidRDefault="004218BE" w:rsidP="00AC65A0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s odstranění</w:t>
      </w:r>
      <w:r w:rsidR="00A24BBA">
        <w:rPr>
          <w:rFonts w:cs="Arial"/>
          <w:sz w:val="21"/>
          <w:szCs w:val="21"/>
        </w:rPr>
        <w:t>m</w:t>
      </w:r>
      <w:r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C3CA07F" w14:textId="72B0BE3A" w:rsidR="00E500EF" w:rsidRPr="00E500EF" w:rsidRDefault="00E500EF" w:rsidP="00E500EF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  <w:r w:rsidRPr="00E500EF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2EE2F025" w14:textId="77777777" w:rsidR="007E5265" w:rsidRPr="007E5265" w:rsidRDefault="007E5265" w:rsidP="00E500EF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53239355" w14:textId="77777777" w:rsidR="00DE5A99" w:rsidRPr="006F6BBE" w:rsidRDefault="00DE5A99" w:rsidP="00773026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16D80032" w14:textId="041452F5" w:rsidR="00DE5A99" w:rsidRPr="006F6BBE" w:rsidRDefault="00DE5A99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A24BBA">
        <w:rPr>
          <w:rFonts w:cs="Arial"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778C293F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571740BC" w14:textId="77777777" w:rsidR="00F9199E" w:rsidRPr="006F6BBE" w:rsidRDefault="00F9199E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Ukončení smlouvy</w:t>
      </w:r>
    </w:p>
    <w:p w14:paraId="321B4709" w14:textId="77777777" w:rsidR="00332790" w:rsidRPr="006F6BBE" w:rsidRDefault="00332790" w:rsidP="0033279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5B80FCD5" w14:textId="77777777" w:rsidR="00332790" w:rsidRPr="006F6BBE" w:rsidRDefault="00332790" w:rsidP="0033279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7E706C0A" w14:textId="77777777" w:rsidR="00332790" w:rsidRPr="006F6BBE" w:rsidRDefault="00332790" w:rsidP="003E6BE8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9EDB4B8" w14:textId="77777777" w:rsidR="00332790" w:rsidRPr="006F6BBE" w:rsidRDefault="00332790" w:rsidP="00AC65A0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F3ABEB3" w14:textId="77777777" w:rsidR="00332790" w:rsidRPr="006F6BBE" w:rsidRDefault="00332790" w:rsidP="00AC65A0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3BB2BA49" w14:textId="77777777" w:rsidR="00332790" w:rsidRPr="006F6BBE" w:rsidRDefault="00332790" w:rsidP="0033279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52A153AB" w14:textId="77777777" w:rsidR="00332790" w:rsidRPr="006F6BBE" w:rsidRDefault="00332790" w:rsidP="00AC65A0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12139619" w14:textId="77777777" w:rsidR="00332790" w:rsidRPr="006F6BBE" w:rsidRDefault="00332790" w:rsidP="00AC65A0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147201CB" w14:textId="0D26850F" w:rsidR="00332790" w:rsidRPr="006F6BBE" w:rsidRDefault="00332790" w:rsidP="00506F22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3B00FE">
        <w:rPr>
          <w:rFonts w:cs="Arial"/>
          <w:sz w:val="21"/>
          <w:szCs w:val="21"/>
        </w:rPr>
        <w:t>doručením</w:t>
      </w:r>
      <w:r w:rsidR="003B00FE"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druhé smluvní straně.</w:t>
      </w:r>
    </w:p>
    <w:p w14:paraId="74BB91E0" w14:textId="77777777" w:rsidR="00DE5A99" w:rsidRPr="006F6BBE" w:rsidRDefault="00332790" w:rsidP="006D532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5AD82301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30C3B51B" w14:textId="77777777" w:rsidR="00F9199E" w:rsidRPr="006F6BBE" w:rsidRDefault="00F9199E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5F079B2F" w14:textId="77777777" w:rsidR="00B608FB" w:rsidRPr="006F6BBE" w:rsidRDefault="00B608FB" w:rsidP="00B608FB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C17E03">
        <w:rPr>
          <w:rFonts w:cs="Arial"/>
          <w:sz w:val="21"/>
          <w:szCs w:val="21"/>
        </w:rPr>
        <w:t xml:space="preserve">Ing. </w:t>
      </w:r>
      <w:r w:rsidR="00C077AF">
        <w:rPr>
          <w:rFonts w:cs="Arial"/>
          <w:sz w:val="21"/>
          <w:szCs w:val="21"/>
        </w:rPr>
        <w:t>Karel Klem</w:t>
      </w:r>
      <w:r w:rsidR="0095729E">
        <w:rPr>
          <w:rFonts w:cs="Arial"/>
          <w:sz w:val="21"/>
          <w:szCs w:val="21"/>
        </w:rPr>
        <w:t>, Ph.D.,</w:t>
      </w:r>
      <w:r w:rsidR="004C6EFA">
        <w:rPr>
          <w:rFonts w:cs="Arial"/>
          <w:sz w:val="21"/>
          <w:szCs w:val="21"/>
        </w:rPr>
        <w:t xml:space="preserve"> </w:t>
      </w:r>
      <w:hyperlink r:id="rId8" w:history="1">
        <w:r w:rsidR="00C077AF" w:rsidRPr="00202F75">
          <w:rPr>
            <w:rStyle w:val="Hyperlink"/>
            <w:rFonts w:cs="Arial"/>
            <w:sz w:val="21"/>
            <w:szCs w:val="21"/>
          </w:rPr>
          <w:t>klem.k@czechglobe.cz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41D933C3" w14:textId="58EA8C03" w:rsidR="00F9199E" w:rsidRPr="006507DC" w:rsidRDefault="00B608FB" w:rsidP="006507D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E7633F">
        <w:rPr>
          <w:rFonts w:cs="Arial"/>
          <w:sz w:val="21"/>
          <w:szCs w:val="21"/>
        </w:rPr>
        <w:t>Ing. Marek Exner</w:t>
      </w:r>
      <w:r w:rsidR="00BC4B72">
        <w:rPr>
          <w:rFonts w:cs="Arial"/>
          <w:sz w:val="21"/>
          <w:szCs w:val="21"/>
        </w:rPr>
        <w:t xml:space="preserve">, email: </w:t>
      </w:r>
      <w:r w:rsidR="00A8177F" w:rsidRPr="00505842">
        <w:rPr>
          <w:rFonts w:cs="Arial"/>
          <w:sz w:val="21"/>
          <w:szCs w:val="21"/>
        </w:rPr>
        <w:t>Marek_Exner@waters.com</w:t>
      </w:r>
      <w:r w:rsidR="00A8177F">
        <w:rPr>
          <w:rFonts w:cs="Arial"/>
          <w:sz w:val="21"/>
          <w:szCs w:val="21"/>
        </w:rPr>
        <w:t xml:space="preserve"> ve věcech smluvních.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44A3A9F0" w14:textId="77777777" w:rsidR="004D1689" w:rsidRPr="006F6BBE" w:rsidRDefault="004D1689" w:rsidP="00DE5A99">
      <w:pPr>
        <w:rPr>
          <w:rFonts w:cs="Arial"/>
          <w:sz w:val="21"/>
          <w:szCs w:val="21"/>
        </w:rPr>
      </w:pPr>
    </w:p>
    <w:p w14:paraId="55BB3DD1" w14:textId="77777777" w:rsidR="00F9199E" w:rsidRPr="006F6BBE" w:rsidRDefault="00F9199E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0B3F6EC5" w14:textId="77777777" w:rsidR="00E46D1A" w:rsidRPr="006F6BBE" w:rsidRDefault="00E46D1A" w:rsidP="00DF22BF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1B892800" w14:textId="77777777" w:rsidR="001C2981" w:rsidRPr="006F6BBE" w:rsidRDefault="001C2981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7D056D2" w14:textId="77777777" w:rsidR="00F57D05" w:rsidRPr="006F6BBE" w:rsidRDefault="00F57D05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0E9FB9CB" w14:textId="77777777" w:rsidR="00C459DF" w:rsidRPr="006F6BBE" w:rsidRDefault="00FA7027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20A74BD5" w14:textId="77777777" w:rsidR="00F74936" w:rsidRPr="006F6BBE" w:rsidRDefault="00106E4A" w:rsidP="00F74936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4D14EEDD" w14:textId="77777777" w:rsidR="004640C0" w:rsidRPr="006F6BBE" w:rsidRDefault="004640C0" w:rsidP="004640C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371C6EE0" w14:textId="77777777" w:rsidR="00F74936" w:rsidRPr="006F6BBE" w:rsidRDefault="00F74936" w:rsidP="00F74936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58D65201" w14:textId="77777777" w:rsidR="004640C0" w:rsidRPr="006F6BBE" w:rsidRDefault="004640C0" w:rsidP="004640C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3114C6E8" w14:textId="26E02E24" w:rsidR="000B0562" w:rsidRDefault="000B0562" w:rsidP="00DE5A99">
      <w:pPr>
        <w:rPr>
          <w:rFonts w:cs="Arial"/>
          <w:sz w:val="21"/>
          <w:szCs w:val="21"/>
        </w:rPr>
      </w:pPr>
    </w:p>
    <w:p w14:paraId="0156E855" w14:textId="77777777" w:rsidR="00DD0377" w:rsidRPr="006F6BBE" w:rsidRDefault="00DD0377" w:rsidP="00DE5A99">
      <w:pPr>
        <w:rPr>
          <w:rFonts w:cs="Arial"/>
          <w:sz w:val="21"/>
          <w:szCs w:val="21"/>
        </w:rPr>
      </w:pPr>
    </w:p>
    <w:p w14:paraId="051F8442" w14:textId="77777777" w:rsidR="00F9199E" w:rsidRPr="006F6BBE" w:rsidRDefault="00F9199E" w:rsidP="00DE5A9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5218084" w14:textId="77777777" w:rsidR="00F74936" w:rsidRPr="006F6BBE" w:rsidRDefault="00F74936" w:rsidP="00F74936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14C05B2" w14:textId="77777777" w:rsidR="006C30B5" w:rsidRPr="006F6BBE" w:rsidRDefault="006C30B5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C834AEB" w14:textId="77777777" w:rsidR="00F9199E" w:rsidRPr="006F6BBE" w:rsidRDefault="00D643DA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3DDD743" w14:textId="77777777" w:rsidR="003A5567" w:rsidRDefault="003A5567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30980087" w14:textId="77777777" w:rsidR="00B566F2" w:rsidRPr="00B566F2" w:rsidRDefault="00B566F2" w:rsidP="004B5F59">
      <w:pPr>
        <w:pStyle w:val="ListParagraph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5259170E" w14:textId="77777777" w:rsidR="00F74936" w:rsidRDefault="00F74936" w:rsidP="00F74936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3ED65006" w14:textId="77777777" w:rsidR="00E453CA" w:rsidRDefault="00E453CA" w:rsidP="00F74936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3EC8CB26" w14:textId="77777777" w:rsidR="00E453CA" w:rsidRPr="006F6BBE" w:rsidRDefault="00E453CA" w:rsidP="00E453CA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Technické parametry předmětu koupě</w:t>
      </w:r>
    </w:p>
    <w:p w14:paraId="382649E5" w14:textId="63F165B8" w:rsidR="002218A9" w:rsidRPr="006F6BBE" w:rsidRDefault="002218A9" w:rsidP="00DE5A9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27CEA">
        <w:rPr>
          <w:rFonts w:cs="Arial"/>
          <w:sz w:val="21"/>
          <w:szCs w:val="21"/>
        </w:rPr>
        <w:t>zveřejnění v registru smluv</w:t>
      </w:r>
      <w:r w:rsidR="00A24BBA">
        <w:rPr>
          <w:rFonts w:cs="Arial"/>
          <w:sz w:val="21"/>
          <w:szCs w:val="21"/>
        </w:rPr>
        <w:t>.</w:t>
      </w:r>
    </w:p>
    <w:p w14:paraId="2FEDAEE8" w14:textId="77777777" w:rsidR="00F679CA" w:rsidRDefault="00F679CA" w:rsidP="00B04B19">
      <w:pPr>
        <w:ind w:left="0" w:firstLine="0"/>
        <w:rPr>
          <w:rFonts w:cs="Arial"/>
          <w:sz w:val="21"/>
          <w:szCs w:val="21"/>
        </w:rPr>
      </w:pPr>
    </w:p>
    <w:p w14:paraId="4C5BD684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7A4176CB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3C7738B7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0546E09B" w14:textId="77777777" w:rsidTr="00DA7E4F">
        <w:tc>
          <w:tcPr>
            <w:tcW w:w="4606" w:type="dxa"/>
            <w:vAlign w:val="center"/>
          </w:tcPr>
          <w:p w14:paraId="44C79EC5" w14:textId="0DBFBFE0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C7176F">
              <w:rPr>
                <w:rFonts w:ascii="Arial" w:hAnsi="Arial" w:cs="Arial"/>
                <w:sz w:val="21"/>
                <w:szCs w:val="21"/>
              </w:rPr>
              <w:t>Praze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D08F5">
              <w:rPr>
                <w:rFonts w:ascii="Arial" w:hAnsi="Arial" w:cs="Arial"/>
                <w:sz w:val="21"/>
                <w:szCs w:val="21"/>
              </w:rPr>
              <w:t>dne</w:t>
            </w:r>
          </w:p>
        </w:tc>
        <w:tc>
          <w:tcPr>
            <w:tcW w:w="5000" w:type="dxa"/>
            <w:vAlign w:val="center"/>
          </w:tcPr>
          <w:p w14:paraId="3922C0B0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428F505C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B23446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30499D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7D9E8C9" w14:textId="77777777" w:rsidTr="00DA7E4F">
        <w:tc>
          <w:tcPr>
            <w:tcW w:w="4606" w:type="dxa"/>
            <w:vAlign w:val="center"/>
          </w:tcPr>
          <w:p w14:paraId="0F0A9F2F" w14:textId="18C30424" w:rsidR="00DA7E4F" w:rsidRPr="006F6BBE" w:rsidRDefault="00C7176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7176F">
              <w:rPr>
                <w:rFonts w:ascii="Arial" w:hAnsi="Arial" w:cs="Arial"/>
                <w:sz w:val="21"/>
                <w:szCs w:val="21"/>
              </w:rPr>
              <w:t>Ing. Marek Exner</w:t>
            </w:r>
          </w:p>
        </w:tc>
        <w:tc>
          <w:tcPr>
            <w:tcW w:w="5000" w:type="dxa"/>
            <w:vAlign w:val="center"/>
          </w:tcPr>
          <w:p w14:paraId="258985AC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3565132F" w14:textId="77777777" w:rsidTr="00DA7E4F">
        <w:tc>
          <w:tcPr>
            <w:tcW w:w="4606" w:type="dxa"/>
            <w:vAlign w:val="center"/>
          </w:tcPr>
          <w:p w14:paraId="6DC41D91" w14:textId="091D20D4" w:rsidR="00DA7E4F" w:rsidRPr="006F6BBE" w:rsidRDefault="00C7176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7176F">
              <w:rPr>
                <w:rFonts w:ascii="Arial" w:hAnsi="Arial" w:cs="Arial"/>
                <w:sz w:val="21"/>
                <w:szCs w:val="21"/>
              </w:rPr>
              <w:t>vedoucí odštěpného závodu</w:t>
            </w:r>
          </w:p>
        </w:tc>
        <w:tc>
          <w:tcPr>
            <w:tcW w:w="5000" w:type="dxa"/>
            <w:vAlign w:val="center"/>
          </w:tcPr>
          <w:p w14:paraId="17AF2682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5C5CC7F2" w14:textId="77777777" w:rsidTr="00DA7E4F">
        <w:tc>
          <w:tcPr>
            <w:tcW w:w="4606" w:type="dxa"/>
            <w:vAlign w:val="center"/>
          </w:tcPr>
          <w:p w14:paraId="019DB045" w14:textId="2074BC99" w:rsidR="00DA7E4F" w:rsidRPr="006F6BBE" w:rsidRDefault="00B1582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82F">
              <w:rPr>
                <w:rFonts w:ascii="Arial" w:hAnsi="Arial" w:cs="Arial"/>
                <w:sz w:val="21"/>
                <w:szCs w:val="21"/>
              </w:rPr>
              <w:t xml:space="preserve">WATERS </w:t>
            </w:r>
            <w:proofErr w:type="spellStart"/>
            <w:r w:rsidRPr="00B1582F">
              <w:rPr>
                <w:rFonts w:ascii="Arial" w:hAnsi="Arial" w:cs="Arial"/>
                <w:sz w:val="21"/>
                <w:szCs w:val="21"/>
              </w:rPr>
              <w:t>Gesellschaft</w:t>
            </w:r>
            <w:proofErr w:type="spellEnd"/>
            <w:r w:rsidRPr="00B1582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1582F">
              <w:rPr>
                <w:rFonts w:ascii="Arial" w:hAnsi="Arial" w:cs="Arial"/>
                <w:sz w:val="21"/>
                <w:szCs w:val="21"/>
              </w:rPr>
              <w:t>m.b.H</w:t>
            </w:r>
            <w:proofErr w:type="spellEnd"/>
            <w:r w:rsidRPr="00B1582F">
              <w:rPr>
                <w:rFonts w:ascii="Arial" w:hAnsi="Arial" w:cs="Arial"/>
                <w:sz w:val="21"/>
                <w:szCs w:val="21"/>
              </w:rPr>
              <w:t>., organizační složka</w:t>
            </w:r>
          </w:p>
        </w:tc>
        <w:tc>
          <w:tcPr>
            <w:tcW w:w="5000" w:type="dxa"/>
            <w:vAlign w:val="center"/>
          </w:tcPr>
          <w:p w14:paraId="197FF167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E6F77D9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4555BBC3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05111277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Technické parametry předmětu koupě</w:t>
      </w:r>
    </w:p>
    <w:p w14:paraId="7AFE24E9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02DAFC01" w14:textId="77777777" w:rsidR="00E453CA" w:rsidRPr="00ED0342" w:rsidRDefault="00E453CA" w:rsidP="003C7FCD">
      <w:pPr>
        <w:ind w:left="0" w:firstLine="0"/>
        <w:rPr>
          <w:rFonts w:cs="Arial"/>
          <w:b/>
          <w:smallCaps/>
          <w:spacing w:val="32"/>
          <w:sz w:val="8"/>
          <w:szCs w:val="8"/>
        </w:rPr>
      </w:pPr>
    </w:p>
    <w:p w14:paraId="0E505154" w14:textId="7D3E4E62" w:rsidR="00DD362B" w:rsidRPr="00290DB6" w:rsidRDefault="00E453CA" w:rsidP="00290DB6">
      <w:pPr>
        <w:rPr>
          <w:sz w:val="21"/>
          <w:szCs w:val="21"/>
        </w:rPr>
      </w:pPr>
      <w:r w:rsidRPr="00C17E03">
        <w:rPr>
          <w:sz w:val="21"/>
          <w:szCs w:val="21"/>
        </w:rPr>
        <w:t>Předmět koupě vyhoví následujícím technickým parametrům:</w:t>
      </w:r>
    </w:p>
    <w:p w14:paraId="255B5707" w14:textId="77777777" w:rsidR="003F2017" w:rsidRPr="00C17E03" w:rsidRDefault="003F2017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 w:rsidRPr="00C17E03">
        <w:rPr>
          <w:rFonts w:cs="Arial"/>
          <w:b/>
          <w:smallCaps/>
          <w:spacing w:val="32"/>
          <w:sz w:val="21"/>
          <w:szCs w:val="21"/>
        </w:rPr>
        <w:t>Obecné:</w:t>
      </w:r>
    </w:p>
    <w:p w14:paraId="3C267D56" w14:textId="4766F695" w:rsidR="003F2017" w:rsidRDefault="00C077AF" w:rsidP="003C7FCD">
      <w:pPr>
        <w:ind w:left="0" w:firstLine="0"/>
        <w:rPr>
          <w:sz w:val="21"/>
          <w:szCs w:val="21"/>
        </w:rPr>
      </w:pPr>
      <w:r w:rsidRPr="00C077AF">
        <w:rPr>
          <w:sz w:val="21"/>
          <w:szCs w:val="21"/>
        </w:rPr>
        <w:t xml:space="preserve">Požadován </w:t>
      </w:r>
      <w:r w:rsidR="00393215" w:rsidRPr="00393215">
        <w:rPr>
          <w:sz w:val="21"/>
          <w:szCs w:val="21"/>
        </w:rPr>
        <w:t xml:space="preserve">je Upgrade stávajícího </w:t>
      </w:r>
      <w:proofErr w:type="spellStart"/>
      <w:r w:rsidR="00393215" w:rsidRPr="00393215">
        <w:rPr>
          <w:sz w:val="21"/>
          <w:szCs w:val="21"/>
        </w:rPr>
        <w:t>termogravimetrického</w:t>
      </w:r>
      <w:proofErr w:type="spellEnd"/>
      <w:r w:rsidR="00393215" w:rsidRPr="00393215">
        <w:rPr>
          <w:sz w:val="21"/>
          <w:szCs w:val="21"/>
        </w:rPr>
        <w:t xml:space="preserve"> analyzátoru TGA Q500, který umožní přímé měření látek uvolňujících se při TGA analýze pomocí hmotnostní spektrometrie a IČ spektroskopie, přičemž vzorky budou vnášeny do přístroje pomocí robotického </w:t>
      </w:r>
      <w:proofErr w:type="spellStart"/>
      <w:r w:rsidR="00393215" w:rsidRPr="00393215">
        <w:rPr>
          <w:sz w:val="21"/>
          <w:szCs w:val="21"/>
        </w:rPr>
        <w:t>autosampleru</w:t>
      </w:r>
      <w:proofErr w:type="spellEnd"/>
      <w:r w:rsidR="00393215" w:rsidRPr="00393215">
        <w:rPr>
          <w:sz w:val="21"/>
          <w:szCs w:val="21"/>
        </w:rPr>
        <w:t>.</w:t>
      </w:r>
      <w:r w:rsidR="00393215">
        <w:rPr>
          <w:sz w:val="21"/>
          <w:szCs w:val="21"/>
        </w:rPr>
        <w:t xml:space="preserve"> </w:t>
      </w:r>
      <w:r w:rsidR="00393215" w:rsidRPr="00393215">
        <w:rPr>
          <w:sz w:val="21"/>
          <w:szCs w:val="21"/>
        </w:rPr>
        <w:t xml:space="preserve">Předmět koupě musí být plně kompatibilní s </w:t>
      </w:r>
      <w:proofErr w:type="spellStart"/>
      <w:r w:rsidR="00393215" w:rsidRPr="00393215">
        <w:rPr>
          <w:sz w:val="21"/>
          <w:szCs w:val="21"/>
        </w:rPr>
        <w:t>termogravi</w:t>
      </w:r>
      <w:r w:rsidR="007A53A1">
        <w:rPr>
          <w:sz w:val="21"/>
          <w:szCs w:val="21"/>
        </w:rPr>
        <w:t>metrickým</w:t>
      </w:r>
      <w:proofErr w:type="spellEnd"/>
      <w:r w:rsidR="007A53A1">
        <w:rPr>
          <w:sz w:val="21"/>
          <w:szCs w:val="21"/>
        </w:rPr>
        <w:t xml:space="preserve"> analyzátorem TGA Q500</w:t>
      </w:r>
      <w:r w:rsidR="00393215" w:rsidRPr="00393215">
        <w:rPr>
          <w:sz w:val="21"/>
          <w:szCs w:val="21"/>
        </w:rPr>
        <w:t xml:space="preserve"> a stávajícím FTIR spektrometrem iS10, které již kupující vlastní.</w:t>
      </w:r>
    </w:p>
    <w:p w14:paraId="2BA32542" w14:textId="4BA505DE" w:rsidR="0031141E" w:rsidRPr="0031141E" w:rsidRDefault="0031141E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 w:rsidRPr="0031141E">
        <w:rPr>
          <w:b/>
          <w:sz w:val="21"/>
          <w:szCs w:val="21"/>
        </w:rPr>
        <w:t xml:space="preserve">1.     </w:t>
      </w:r>
      <w:r w:rsidR="00C45C71" w:rsidRPr="00C45C71">
        <w:rPr>
          <w:b/>
          <w:sz w:val="21"/>
          <w:szCs w:val="21"/>
        </w:rPr>
        <w:t>Kvadrupólový hmotnostní analyzátor</w:t>
      </w:r>
      <w:r w:rsidR="00E73184">
        <w:rPr>
          <w:b/>
          <w:sz w:val="21"/>
          <w:szCs w:val="21"/>
        </w:rPr>
        <w:t xml:space="preserve"> (spektrometr)</w:t>
      </w:r>
      <w:r w:rsidR="00C45C71" w:rsidRPr="00C45C71">
        <w:rPr>
          <w:b/>
          <w:sz w:val="21"/>
          <w:szCs w:val="21"/>
        </w:rPr>
        <w:t xml:space="preserve"> </w:t>
      </w:r>
    </w:p>
    <w:p w14:paraId="6124EFC7" w14:textId="77777777" w:rsidR="00E96CBC" w:rsidRPr="00C17E03" w:rsidRDefault="00E96CBC" w:rsidP="00E96CBC">
      <w:pPr>
        <w:spacing w:after="0"/>
        <w:rPr>
          <w:rFonts w:eastAsia="Times New Roman" w:cs="Arial"/>
          <w:sz w:val="21"/>
          <w:szCs w:val="21"/>
          <w:lang w:eastAsia="cs-CZ"/>
        </w:rPr>
      </w:pPr>
    </w:p>
    <w:p w14:paraId="610F97C8" w14:textId="5E4BB6F4" w:rsidR="00DB5FA7" w:rsidRPr="00E500EF" w:rsidRDefault="00DB5FA7" w:rsidP="00290DB6">
      <w:pPr>
        <w:pStyle w:val="ListParagraph"/>
        <w:numPr>
          <w:ilvl w:val="6"/>
          <w:numId w:val="34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 xml:space="preserve">Dodaný MS </w:t>
      </w:r>
      <w:r w:rsidR="00C45C71" w:rsidRPr="00E500EF">
        <w:rPr>
          <w:sz w:val="21"/>
          <w:szCs w:val="21"/>
        </w:rPr>
        <w:t>hmotnostní analyzátor (</w:t>
      </w:r>
      <w:r w:rsidRPr="00E500EF">
        <w:rPr>
          <w:sz w:val="21"/>
          <w:szCs w:val="21"/>
        </w:rPr>
        <w:t>spektrometr</w:t>
      </w:r>
      <w:r w:rsidR="00C45C71" w:rsidRPr="00E500EF">
        <w:rPr>
          <w:sz w:val="21"/>
          <w:szCs w:val="21"/>
        </w:rPr>
        <w:t>)</w:t>
      </w:r>
      <w:r w:rsidRPr="00E500EF">
        <w:rPr>
          <w:sz w:val="21"/>
          <w:szCs w:val="21"/>
        </w:rPr>
        <w:t xml:space="preserve"> musí být schopen měření kvalitativních a kvantitativních parametrů výstupních plynů z analýzy TGA. </w:t>
      </w:r>
    </w:p>
    <w:p w14:paraId="2E3EC27A" w14:textId="72913D72" w:rsidR="00DB5FA7" w:rsidRPr="00E500EF" w:rsidRDefault="00DB5FA7" w:rsidP="00290DB6">
      <w:pPr>
        <w:pStyle w:val="ListParagraph"/>
        <w:numPr>
          <w:ilvl w:val="6"/>
          <w:numId w:val="34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>Přístroj musí být určen k umístění na běžný laboratorní stůl, mobilního typu s</w:t>
      </w:r>
      <w:r w:rsidR="007B65C8">
        <w:rPr>
          <w:sz w:val="21"/>
          <w:szCs w:val="21"/>
        </w:rPr>
        <w:t> </w:t>
      </w:r>
      <w:r w:rsidRPr="00E500EF">
        <w:rPr>
          <w:sz w:val="21"/>
          <w:szCs w:val="21"/>
        </w:rPr>
        <w:t>hmotností</w:t>
      </w:r>
      <w:r w:rsidR="007B65C8">
        <w:rPr>
          <w:sz w:val="21"/>
          <w:szCs w:val="21"/>
        </w:rPr>
        <w:t xml:space="preserve"> do 60 kg.</w:t>
      </w:r>
    </w:p>
    <w:p w14:paraId="38B78E99" w14:textId="06C1C054" w:rsidR="00DB5FA7" w:rsidRPr="00E500EF" w:rsidRDefault="00DB5FA7" w:rsidP="00290DB6">
      <w:pPr>
        <w:pStyle w:val="ListParagraph"/>
        <w:numPr>
          <w:ilvl w:val="6"/>
          <w:numId w:val="34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 xml:space="preserve">Přístroj musí obsahovat </w:t>
      </w:r>
      <w:proofErr w:type="spellStart"/>
      <w:r w:rsidRPr="00E500EF">
        <w:rPr>
          <w:sz w:val="21"/>
          <w:szCs w:val="21"/>
        </w:rPr>
        <w:t>kvadrupolový</w:t>
      </w:r>
      <w:proofErr w:type="spellEnd"/>
      <w:r w:rsidRPr="00E500EF">
        <w:rPr>
          <w:sz w:val="21"/>
          <w:szCs w:val="21"/>
        </w:rPr>
        <w:t xml:space="preserve"> hmotnostní analyzátor zaručující přesnost analýzy s rozlišením až 0,5 </w:t>
      </w:r>
      <w:proofErr w:type="spellStart"/>
      <w:r w:rsidRPr="00E500EF">
        <w:rPr>
          <w:sz w:val="21"/>
          <w:szCs w:val="21"/>
        </w:rPr>
        <w:t>amu</w:t>
      </w:r>
      <w:proofErr w:type="spellEnd"/>
      <w:r w:rsidRPr="00E500EF">
        <w:rPr>
          <w:sz w:val="21"/>
          <w:szCs w:val="21"/>
        </w:rPr>
        <w:t xml:space="preserve">. </w:t>
      </w:r>
      <w:proofErr w:type="spellStart"/>
      <w:r w:rsidRPr="00E500EF">
        <w:rPr>
          <w:sz w:val="21"/>
          <w:szCs w:val="21"/>
        </w:rPr>
        <w:t>Kvadrupolový</w:t>
      </w:r>
      <w:proofErr w:type="spellEnd"/>
      <w:r w:rsidRPr="00E500EF">
        <w:rPr>
          <w:sz w:val="21"/>
          <w:szCs w:val="21"/>
        </w:rPr>
        <w:t xml:space="preserve"> analyzátor musí být schopen stanovení </w:t>
      </w:r>
      <w:r w:rsidR="0055619C" w:rsidRPr="00E500EF">
        <w:rPr>
          <w:sz w:val="21"/>
          <w:szCs w:val="21"/>
        </w:rPr>
        <w:t xml:space="preserve">látek v rozsahu hmotností </w:t>
      </w:r>
      <w:proofErr w:type="gramStart"/>
      <w:r w:rsidRPr="00E500EF">
        <w:rPr>
          <w:sz w:val="21"/>
          <w:szCs w:val="21"/>
        </w:rPr>
        <w:t>1 – 300</w:t>
      </w:r>
      <w:proofErr w:type="gramEnd"/>
      <w:r w:rsidRPr="00E500EF">
        <w:rPr>
          <w:sz w:val="21"/>
          <w:szCs w:val="21"/>
        </w:rPr>
        <w:t xml:space="preserve"> </w:t>
      </w:r>
      <w:proofErr w:type="spellStart"/>
      <w:r w:rsidRPr="00E500EF">
        <w:rPr>
          <w:sz w:val="21"/>
          <w:szCs w:val="21"/>
        </w:rPr>
        <w:t>amu</w:t>
      </w:r>
      <w:proofErr w:type="spellEnd"/>
      <w:r w:rsidRPr="00E500EF">
        <w:rPr>
          <w:sz w:val="21"/>
          <w:szCs w:val="21"/>
        </w:rPr>
        <w:t xml:space="preserve">. </w:t>
      </w:r>
    </w:p>
    <w:p w14:paraId="74E659F9" w14:textId="64F1EEF8" w:rsidR="00DB5FA7" w:rsidRPr="00E500EF" w:rsidRDefault="00DB5FA7" w:rsidP="00290DB6">
      <w:pPr>
        <w:pStyle w:val="ListParagraph"/>
        <w:numPr>
          <w:ilvl w:val="6"/>
          <w:numId w:val="34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 xml:space="preserve">Přístroj musí být vybaven elektronovou ionizační technikou. </w:t>
      </w:r>
      <w:r w:rsidR="00BE3C3A" w:rsidRPr="00E500EF">
        <w:rPr>
          <w:sz w:val="21"/>
          <w:szCs w:val="21"/>
        </w:rPr>
        <w:t xml:space="preserve">Vlákno emitující elektrony </w:t>
      </w:r>
      <w:r w:rsidRPr="00E500EF">
        <w:rPr>
          <w:sz w:val="21"/>
          <w:szCs w:val="21"/>
        </w:rPr>
        <w:t xml:space="preserve">musí být duální a musí být snadno uživatelsky vyměnitelné. </w:t>
      </w:r>
    </w:p>
    <w:p w14:paraId="44168FDB" w14:textId="1D20B43C" w:rsidR="00DB5FA7" w:rsidRPr="00E500EF" w:rsidRDefault="00DB5FA7" w:rsidP="00290DB6">
      <w:pPr>
        <w:pStyle w:val="ListParagraph"/>
        <w:numPr>
          <w:ilvl w:val="6"/>
          <w:numId w:val="34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 xml:space="preserve">Pro vstup plynu </w:t>
      </w:r>
      <w:r w:rsidR="00BE3C3A" w:rsidRPr="00E500EF">
        <w:rPr>
          <w:sz w:val="21"/>
          <w:szCs w:val="21"/>
        </w:rPr>
        <w:t xml:space="preserve">z TGA </w:t>
      </w:r>
      <w:r w:rsidRPr="00E500EF">
        <w:rPr>
          <w:sz w:val="21"/>
          <w:szCs w:val="21"/>
        </w:rPr>
        <w:t xml:space="preserve">do přístroje musí přístroj obsahovat </w:t>
      </w:r>
      <w:r w:rsidR="008D30E1" w:rsidRPr="00E500EF">
        <w:rPr>
          <w:sz w:val="21"/>
          <w:szCs w:val="21"/>
        </w:rPr>
        <w:t xml:space="preserve">inertní </w:t>
      </w:r>
      <w:r w:rsidRPr="00E500EF">
        <w:rPr>
          <w:sz w:val="21"/>
          <w:szCs w:val="21"/>
        </w:rPr>
        <w:t>kapiláru z nerezové oceli vyhřívanou min. do 300</w:t>
      </w:r>
      <w:r w:rsidR="00290DB6">
        <w:rPr>
          <w:sz w:val="21"/>
          <w:szCs w:val="21"/>
        </w:rPr>
        <w:t xml:space="preserve"> </w:t>
      </w:r>
      <w:r w:rsidRPr="00E500EF">
        <w:rPr>
          <w:sz w:val="21"/>
          <w:szCs w:val="21"/>
        </w:rPr>
        <w:t>°C tak, aby uvnitř nedocházelo ke kondenzaci plynů</w:t>
      </w:r>
      <w:r w:rsidR="0055619C" w:rsidRPr="00E500EF">
        <w:rPr>
          <w:sz w:val="21"/>
          <w:szCs w:val="21"/>
        </w:rPr>
        <w:t xml:space="preserve"> a těkavých látek</w:t>
      </w:r>
      <w:r w:rsidRPr="00E500EF">
        <w:rPr>
          <w:sz w:val="21"/>
          <w:szCs w:val="21"/>
        </w:rPr>
        <w:t xml:space="preserve">. Délka kapiláry musí být minimálně 1,8 m a musí být flexibilní a uživatelsky vyměnitelná. </w:t>
      </w:r>
    </w:p>
    <w:p w14:paraId="30999BB4" w14:textId="788B877A" w:rsidR="00BA1B34" w:rsidRDefault="00DB5FA7" w:rsidP="00290DB6">
      <w:pPr>
        <w:pStyle w:val="ListParagraph"/>
        <w:numPr>
          <w:ilvl w:val="6"/>
          <w:numId w:val="34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 xml:space="preserve">Přístroj musí být vyroben z korozně odolných materiálů schopných </w:t>
      </w:r>
      <w:r w:rsidR="00BE3C3A" w:rsidRPr="00E500EF">
        <w:rPr>
          <w:sz w:val="21"/>
          <w:szCs w:val="21"/>
        </w:rPr>
        <w:t xml:space="preserve">odolávat působení běžných plynů </w:t>
      </w:r>
      <w:r w:rsidRPr="00E500EF">
        <w:rPr>
          <w:sz w:val="21"/>
          <w:szCs w:val="21"/>
        </w:rPr>
        <w:t>odcházející</w:t>
      </w:r>
      <w:r w:rsidR="00BE3C3A" w:rsidRPr="00E500EF">
        <w:rPr>
          <w:sz w:val="21"/>
          <w:szCs w:val="21"/>
        </w:rPr>
        <w:t>ch</w:t>
      </w:r>
      <w:r w:rsidRPr="00E500EF">
        <w:rPr>
          <w:sz w:val="21"/>
          <w:szCs w:val="21"/>
        </w:rPr>
        <w:t xml:space="preserve"> z TGA.</w:t>
      </w:r>
    </w:p>
    <w:p w14:paraId="1BD93CBF" w14:textId="77777777" w:rsidR="00290DB6" w:rsidRPr="00290DB6" w:rsidRDefault="00290DB6" w:rsidP="00290DB6">
      <w:pPr>
        <w:spacing w:before="0" w:after="160" w:line="259" w:lineRule="auto"/>
        <w:ind w:left="426" w:firstLine="0"/>
        <w:jc w:val="left"/>
        <w:rPr>
          <w:sz w:val="21"/>
          <w:szCs w:val="21"/>
        </w:rPr>
      </w:pPr>
    </w:p>
    <w:p w14:paraId="0FF70563" w14:textId="77777777" w:rsidR="0055619C" w:rsidRDefault="0031141E" w:rsidP="0055619C">
      <w:pPr>
        <w:spacing w:before="0" w:after="160" w:line="259" w:lineRule="auto"/>
        <w:jc w:val="left"/>
        <w:rPr>
          <w:b/>
          <w:sz w:val="21"/>
          <w:szCs w:val="21"/>
        </w:rPr>
      </w:pPr>
      <w:r w:rsidRPr="0031141E">
        <w:rPr>
          <w:b/>
          <w:sz w:val="21"/>
          <w:szCs w:val="21"/>
        </w:rPr>
        <w:t>2.</w:t>
      </w:r>
      <w:r w:rsidR="0055619C" w:rsidRPr="0055619C">
        <w:rPr>
          <w:sz w:val="21"/>
          <w:szCs w:val="21"/>
        </w:rPr>
        <w:tab/>
      </w:r>
      <w:r w:rsidR="0055619C" w:rsidRPr="0031141E">
        <w:rPr>
          <w:b/>
          <w:sz w:val="21"/>
          <w:szCs w:val="21"/>
        </w:rPr>
        <w:t xml:space="preserve">Upgrade TGA Q500 o </w:t>
      </w:r>
      <w:proofErr w:type="spellStart"/>
      <w:r w:rsidR="0055619C" w:rsidRPr="0031141E">
        <w:rPr>
          <w:b/>
          <w:sz w:val="21"/>
          <w:szCs w:val="21"/>
        </w:rPr>
        <w:t>autosampler</w:t>
      </w:r>
      <w:proofErr w:type="spellEnd"/>
      <w:r w:rsidR="0055619C" w:rsidRPr="0031141E">
        <w:rPr>
          <w:b/>
          <w:sz w:val="21"/>
          <w:szCs w:val="21"/>
        </w:rPr>
        <w:t xml:space="preserve"> na minimálně 16 vzorkovnic </w:t>
      </w:r>
    </w:p>
    <w:p w14:paraId="7E634B03" w14:textId="06A962E9" w:rsidR="00E73184" w:rsidRDefault="00E73184" w:rsidP="00290DB6">
      <w:pPr>
        <w:pStyle w:val="ListParagraph"/>
        <w:numPr>
          <w:ilvl w:val="0"/>
          <w:numId w:val="36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290DB6">
        <w:rPr>
          <w:sz w:val="21"/>
          <w:szCs w:val="21"/>
        </w:rPr>
        <w:t>Jedná se o doplnění stávajícího přístroje TGA Q500</w:t>
      </w:r>
      <w:r w:rsidR="00290DB6" w:rsidRPr="00290DB6">
        <w:rPr>
          <w:sz w:val="21"/>
          <w:szCs w:val="21"/>
        </w:rPr>
        <w:t>,</w:t>
      </w:r>
      <w:r w:rsidRPr="00290DB6">
        <w:rPr>
          <w:sz w:val="21"/>
          <w:szCs w:val="21"/>
        </w:rPr>
        <w:t xml:space="preserve"> který </w:t>
      </w:r>
      <w:r w:rsidR="00E500EF" w:rsidRPr="00290DB6">
        <w:rPr>
          <w:sz w:val="21"/>
          <w:szCs w:val="21"/>
        </w:rPr>
        <w:t>kupující</w:t>
      </w:r>
      <w:r w:rsidRPr="00290DB6">
        <w:rPr>
          <w:sz w:val="21"/>
          <w:szCs w:val="21"/>
        </w:rPr>
        <w:t xml:space="preserve"> vlastní</w:t>
      </w:r>
      <w:r w:rsidR="00290DB6">
        <w:rPr>
          <w:sz w:val="21"/>
          <w:szCs w:val="21"/>
        </w:rPr>
        <w:t>, a to</w:t>
      </w:r>
      <w:r w:rsidRPr="00290DB6">
        <w:rPr>
          <w:sz w:val="21"/>
          <w:szCs w:val="21"/>
        </w:rPr>
        <w:t xml:space="preserve"> o </w:t>
      </w:r>
      <w:proofErr w:type="spellStart"/>
      <w:r w:rsidRPr="00290DB6">
        <w:rPr>
          <w:sz w:val="21"/>
          <w:szCs w:val="21"/>
        </w:rPr>
        <w:t>autosampler</w:t>
      </w:r>
      <w:proofErr w:type="spellEnd"/>
      <w:r w:rsidRPr="00290DB6">
        <w:rPr>
          <w:sz w:val="21"/>
          <w:szCs w:val="21"/>
        </w:rPr>
        <w:t xml:space="preserve"> se 16 pozicemi, který po naplnění umožní automatické měř</w:t>
      </w:r>
      <w:r w:rsidR="00290DB6">
        <w:rPr>
          <w:sz w:val="21"/>
          <w:szCs w:val="21"/>
        </w:rPr>
        <w:t>ení po dobu minimálně 16 hodin.</w:t>
      </w:r>
    </w:p>
    <w:p w14:paraId="09EAE9BC" w14:textId="77777777" w:rsidR="00290DB6" w:rsidRPr="00290DB6" w:rsidRDefault="00290DB6" w:rsidP="00290DB6">
      <w:pPr>
        <w:spacing w:before="0" w:after="160" w:line="259" w:lineRule="auto"/>
        <w:ind w:left="426" w:firstLine="0"/>
        <w:rPr>
          <w:sz w:val="21"/>
          <w:szCs w:val="21"/>
        </w:rPr>
      </w:pPr>
    </w:p>
    <w:p w14:paraId="21849967" w14:textId="797C3D2E" w:rsidR="00E73184" w:rsidRDefault="0031141E" w:rsidP="007234BC">
      <w:pPr>
        <w:spacing w:before="0" w:after="160" w:line="259" w:lineRule="auto"/>
        <w:jc w:val="left"/>
        <w:rPr>
          <w:b/>
          <w:sz w:val="21"/>
          <w:szCs w:val="21"/>
        </w:rPr>
      </w:pPr>
      <w:r w:rsidRPr="0031141E">
        <w:rPr>
          <w:b/>
          <w:sz w:val="21"/>
          <w:szCs w:val="21"/>
        </w:rPr>
        <w:t>3.</w:t>
      </w:r>
      <w:r w:rsidR="0055619C" w:rsidRPr="0031141E">
        <w:rPr>
          <w:b/>
          <w:sz w:val="21"/>
          <w:szCs w:val="21"/>
        </w:rPr>
        <w:tab/>
        <w:t xml:space="preserve">Upgrade stávajícího FTIR spektrometru </w:t>
      </w:r>
      <w:r>
        <w:rPr>
          <w:b/>
          <w:sz w:val="21"/>
          <w:szCs w:val="21"/>
        </w:rPr>
        <w:t xml:space="preserve">Nicolet </w:t>
      </w:r>
      <w:r w:rsidR="0055619C" w:rsidRPr="0031141E">
        <w:rPr>
          <w:b/>
          <w:sz w:val="21"/>
          <w:szCs w:val="21"/>
        </w:rPr>
        <w:t xml:space="preserve">iS10 </w:t>
      </w:r>
      <w:r w:rsidRPr="0031141E">
        <w:rPr>
          <w:b/>
          <w:sz w:val="21"/>
          <w:szCs w:val="21"/>
        </w:rPr>
        <w:t>(TGA/IR interface)</w:t>
      </w:r>
      <w:r w:rsidR="00E73184">
        <w:rPr>
          <w:b/>
          <w:sz w:val="21"/>
          <w:szCs w:val="21"/>
        </w:rPr>
        <w:t xml:space="preserve"> pro analýzu plynů odcházejících z </w:t>
      </w:r>
      <w:proofErr w:type="spellStart"/>
      <w:r w:rsidR="00E73184">
        <w:rPr>
          <w:b/>
          <w:sz w:val="21"/>
          <w:szCs w:val="21"/>
        </w:rPr>
        <w:t>termogravimetrického</w:t>
      </w:r>
      <w:proofErr w:type="spellEnd"/>
      <w:r w:rsidR="00E73184">
        <w:rPr>
          <w:b/>
          <w:sz w:val="21"/>
          <w:szCs w:val="21"/>
        </w:rPr>
        <w:t xml:space="preserve"> analyzátoru TGA Q500</w:t>
      </w:r>
      <w:r w:rsidR="007234BC">
        <w:rPr>
          <w:b/>
          <w:sz w:val="21"/>
          <w:szCs w:val="21"/>
        </w:rPr>
        <w:t xml:space="preserve"> </w:t>
      </w:r>
    </w:p>
    <w:p w14:paraId="129654E6" w14:textId="76FDCCB9" w:rsidR="0031141E" w:rsidRPr="007234BC" w:rsidRDefault="0031141E" w:rsidP="007234BC">
      <w:pPr>
        <w:spacing w:before="0" w:after="160" w:line="259" w:lineRule="auto"/>
        <w:jc w:val="left"/>
        <w:rPr>
          <w:b/>
          <w:sz w:val="21"/>
          <w:szCs w:val="21"/>
        </w:rPr>
      </w:pPr>
      <w:r>
        <w:rPr>
          <w:sz w:val="21"/>
          <w:szCs w:val="21"/>
        </w:rPr>
        <w:t>U</w:t>
      </w:r>
      <w:r w:rsidRPr="0031141E">
        <w:rPr>
          <w:sz w:val="21"/>
          <w:szCs w:val="21"/>
        </w:rPr>
        <w:t xml:space="preserve">pgrade </w:t>
      </w:r>
      <w:r>
        <w:rPr>
          <w:sz w:val="21"/>
          <w:szCs w:val="21"/>
        </w:rPr>
        <w:t>musí obsahovat</w:t>
      </w:r>
      <w:r w:rsidRPr="0031141E">
        <w:rPr>
          <w:sz w:val="21"/>
          <w:szCs w:val="21"/>
        </w:rPr>
        <w:t>:</w:t>
      </w:r>
    </w:p>
    <w:p w14:paraId="2C43BC4B" w14:textId="0CA982F1" w:rsidR="0031141E" w:rsidRPr="00E500EF" w:rsidRDefault="0031141E" w:rsidP="00290DB6">
      <w:pPr>
        <w:pStyle w:val="ListParagraph"/>
        <w:numPr>
          <w:ilvl w:val="6"/>
          <w:numId w:val="35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>Upgrade spektroskopických programů OM</w:t>
      </w:r>
      <w:r w:rsidR="007234BC" w:rsidRPr="00E500EF">
        <w:rPr>
          <w:sz w:val="21"/>
          <w:szCs w:val="21"/>
        </w:rPr>
        <w:t xml:space="preserve">NIC, OMNIC </w:t>
      </w:r>
      <w:proofErr w:type="spellStart"/>
      <w:r w:rsidR="007234BC" w:rsidRPr="00E500EF">
        <w:rPr>
          <w:sz w:val="21"/>
          <w:szCs w:val="21"/>
        </w:rPr>
        <w:t>Specta</w:t>
      </w:r>
      <w:proofErr w:type="spellEnd"/>
      <w:r w:rsidR="007234BC" w:rsidRPr="00E500EF">
        <w:rPr>
          <w:sz w:val="21"/>
          <w:szCs w:val="21"/>
        </w:rPr>
        <w:t xml:space="preserve">, TQ </w:t>
      </w:r>
      <w:proofErr w:type="spellStart"/>
      <w:r w:rsidR="007234BC" w:rsidRPr="00E500EF">
        <w:rPr>
          <w:sz w:val="21"/>
          <w:szCs w:val="21"/>
        </w:rPr>
        <w:t>Analyst</w:t>
      </w:r>
      <w:proofErr w:type="spellEnd"/>
      <w:r w:rsidR="007234BC" w:rsidRPr="00E500EF">
        <w:rPr>
          <w:sz w:val="21"/>
          <w:szCs w:val="21"/>
        </w:rPr>
        <w:t xml:space="preserve"> a </w:t>
      </w:r>
      <w:proofErr w:type="spellStart"/>
      <w:r w:rsidRPr="00E500EF">
        <w:rPr>
          <w:sz w:val="21"/>
          <w:szCs w:val="21"/>
        </w:rPr>
        <w:t>Macros</w:t>
      </w:r>
      <w:proofErr w:type="spellEnd"/>
      <w:r w:rsidRPr="00E500EF">
        <w:rPr>
          <w:sz w:val="21"/>
          <w:szCs w:val="21"/>
        </w:rPr>
        <w:t xml:space="preserve"> Basic</w:t>
      </w:r>
    </w:p>
    <w:p w14:paraId="3D9B60B0" w14:textId="1CDD081C" w:rsidR="0031141E" w:rsidRPr="00E500EF" w:rsidRDefault="007234BC" w:rsidP="00290DB6">
      <w:pPr>
        <w:pStyle w:val="ListParagraph"/>
        <w:numPr>
          <w:ilvl w:val="6"/>
          <w:numId w:val="35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>Vyhřívanou</w:t>
      </w:r>
      <w:r w:rsidR="0031141E" w:rsidRPr="00E500EF">
        <w:rPr>
          <w:sz w:val="21"/>
          <w:szCs w:val="21"/>
        </w:rPr>
        <w:t xml:space="preserve"> 10 cm plynov</w:t>
      </w:r>
      <w:r w:rsidRPr="00E500EF">
        <w:rPr>
          <w:sz w:val="21"/>
          <w:szCs w:val="21"/>
        </w:rPr>
        <w:t>ou</w:t>
      </w:r>
      <w:r w:rsidR="0031141E" w:rsidRPr="00E500EF">
        <w:rPr>
          <w:sz w:val="21"/>
          <w:szCs w:val="21"/>
        </w:rPr>
        <w:t xml:space="preserve"> kyvet</w:t>
      </w:r>
      <w:r w:rsidRPr="00E500EF">
        <w:rPr>
          <w:sz w:val="21"/>
          <w:szCs w:val="21"/>
        </w:rPr>
        <w:t>u</w:t>
      </w:r>
      <w:r w:rsidR="0031141E" w:rsidRPr="00E500EF">
        <w:rPr>
          <w:sz w:val="21"/>
          <w:szCs w:val="21"/>
        </w:rPr>
        <w:t xml:space="preserve"> s </w:t>
      </w:r>
      <w:proofErr w:type="spellStart"/>
      <w:r w:rsidR="0031141E" w:rsidRPr="00E500EF">
        <w:rPr>
          <w:sz w:val="21"/>
          <w:szCs w:val="21"/>
        </w:rPr>
        <w:t>KBr</w:t>
      </w:r>
      <w:proofErr w:type="spellEnd"/>
      <w:r w:rsidR="0031141E" w:rsidRPr="00E500EF">
        <w:rPr>
          <w:sz w:val="21"/>
          <w:szCs w:val="21"/>
        </w:rPr>
        <w:t xml:space="preserve"> okénkem s regulací teploty</w:t>
      </w:r>
    </w:p>
    <w:p w14:paraId="0CD918CE" w14:textId="7341C137" w:rsidR="0031141E" w:rsidRPr="00E500EF" w:rsidRDefault="007234BC" w:rsidP="00290DB6">
      <w:pPr>
        <w:pStyle w:val="ListParagraph"/>
        <w:numPr>
          <w:ilvl w:val="6"/>
          <w:numId w:val="35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>V</w:t>
      </w:r>
      <w:r w:rsidR="0031141E" w:rsidRPr="00E500EF">
        <w:rPr>
          <w:sz w:val="21"/>
          <w:szCs w:val="21"/>
        </w:rPr>
        <w:t>yhřívan</w:t>
      </w:r>
      <w:r w:rsidRPr="00E500EF">
        <w:rPr>
          <w:sz w:val="21"/>
          <w:szCs w:val="21"/>
        </w:rPr>
        <w:t>ou</w:t>
      </w:r>
      <w:r w:rsidR="0031141E" w:rsidRPr="00E500EF">
        <w:rPr>
          <w:sz w:val="21"/>
          <w:szCs w:val="21"/>
        </w:rPr>
        <w:t xml:space="preserve"> Transfer Line (5 stop) s regulací teploty do 300</w:t>
      </w:r>
      <w:r w:rsidR="00290DB6">
        <w:rPr>
          <w:sz w:val="21"/>
          <w:szCs w:val="21"/>
        </w:rPr>
        <w:t xml:space="preserve"> </w:t>
      </w:r>
      <w:r w:rsidR="0031141E" w:rsidRPr="00E500EF">
        <w:rPr>
          <w:sz w:val="21"/>
          <w:szCs w:val="21"/>
        </w:rPr>
        <w:t>°C</w:t>
      </w:r>
    </w:p>
    <w:p w14:paraId="7F995AA4" w14:textId="7C81B302" w:rsidR="0031141E" w:rsidRPr="00E500EF" w:rsidRDefault="007234BC" w:rsidP="00290DB6">
      <w:pPr>
        <w:pStyle w:val="ListParagraph"/>
        <w:numPr>
          <w:ilvl w:val="6"/>
          <w:numId w:val="35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>P</w:t>
      </w:r>
      <w:r w:rsidR="0031141E" w:rsidRPr="00E500EF">
        <w:rPr>
          <w:sz w:val="21"/>
          <w:szCs w:val="21"/>
        </w:rPr>
        <w:t xml:space="preserve">rogram OMNIC </w:t>
      </w:r>
      <w:proofErr w:type="spellStart"/>
      <w:r w:rsidR="0031141E" w:rsidRPr="00E500EF">
        <w:rPr>
          <w:sz w:val="21"/>
          <w:szCs w:val="21"/>
        </w:rPr>
        <w:t>Series</w:t>
      </w:r>
      <w:proofErr w:type="spellEnd"/>
      <w:r w:rsidR="0031141E" w:rsidRPr="00E500EF">
        <w:rPr>
          <w:sz w:val="21"/>
          <w:szCs w:val="21"/>
        </w:rPr>
        <w:t xml:space="preserve"> – program pro</w:t>
      </w:r>
      <w:r w:rsidRPr="00E500EF">
        <w:rPr>
          <w:sz w:val="21"/>
          <w:szCs w:val="21"/>
        </w:rPr>
        <w:t xml:space="preserve"> časově rozliš</w:t>
      </w:r>
      <w:r w:rsidR="00FF4920" w:rsidRPr="00E500EF">
        <w:rPr>
          <w:sz w:val="21"/>
          <w:szCs w:val="21"/>
        </w:rPr>
        <w:t>e</w:t>
      </w:r>
      <w:r w:rsidRPr="00E500EF">
        <w:rPr>
          <w:sz w:val="21"/>
          <w:szCs w:val="21"/>
        </w:rPr>
        <w:t xml:space="preserve">nou spektrometrii (v případě spojení   </w:t>
      </w:r>
      <w:r w:rsidR="0031141E" w:rsidRPr="00E500EF">
        <w:rPr>
          <w:sz w:val="21"/>
          <w:szCs w:val="21"/>
        </w:rPr>
        <w:t xml:space="preserve">FTIR/TGA pro monitoring </w:t>
      </w:r>
      <w:r w:rsidRPr="00E500EF">
        <w:rPr>
          <w:sz w:val="21"/>
          <w:szCs w:val="21"/>
        </w:rPr>
        <w:t xml:space="preserve">plynů vyvíjejících se ze vzorku </w:t>
      </w:r>
      <w:r w:rsidR="0031141E" w:rsidRPr="00E500EF">
        <w:rPr>
          <w:sz w:val="21"/>
          <w:szCs w:val="21"/>
        </w:rPr>
        <w:t xml:space="preserve">v reálném čase) – plně kompatibilní se stávajícím </w:t>
      </w:r>
      <w:r w:rsidRPr="00E500EF">
        <w:rPr>
          <w:sz w:val="21"/>
          <w:szCs w:val="21"/>
        </w:rPr>
        <w:t xml:space="preserve">spektroskopickým programem </w:t>
      </w:r>
      <w:r w:rsidR="0031141E" w:rsidRPr="00E500EF">
        <w:rPr>
          <w:sz w:val="21"/>
          <w:szCs w:val="21"/>
        </w:rPr>
        <w:t>OMNIC</w:t>
      </w:r>
    </w:p>
    <w:p w14:paraId="3937548B" w14:textId="3AEEA7B3" w:rsidR="0031141E" w:rsidRPr="00E500EF" w:rsidRDefault="007234BC" w:rsidP="00290DB6">
      <w:pPr>
        <w:pStyle w:val="ListParagraph"/>
        <w:numPr>
          <w:ilvl w:val="6"/>
          <w:numId w:val="35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>P</w:t>
      </w:r>
      <w:r w:rsidR="0031141E" w:rsidRPr="00E500EF">
        <w:rPr>
          <w:sz w:val="21"/>
          <w:szCs w:val="21"/>
        </w:rPr>
        <w:t xml:space="preserve">rogram </w:t>
      </w:r>
      <w:proofErr w:type="spellStart"/>
      <w:r w:rsidR="0031141E" w:rsidRPr="00E500EF">
        <w:rPr>
          <w:sz w:val="21"/>
          <w:szCs w:val="21"/>
        </w:rPr>
        <w:t>Omnic</w:t>
      </w:r>
      <w:proofErr w:type="spellEnd"/>
      <w:r w:rsidR="0031141E" w:rsidRPr="00E500EF">
        <w:rPr>
          <w:sz w:val="21"/>
          <w:szCs w:val="21"/>
        </w:rPr>
        <w:t xml:space="preserve"> Mercury TGA s on-line identifikací jednotlivých složek</w:t>
      </w:r>
    </w:p>
    <w:p w14:paraId="1AB321DA" w14:textId="1EDD00EB" w:rsidR="0031141E" w:rsidRPr="00E500EF" w:rsidRDefault="007234BC" w:rsidP="00290DB6">
      <w:pPr>
        <w:pStyle w:val="ListParagraph"/>
        <w:numPr>
          <w:ilvl w:val="6"/>
          <w:numId w:val="35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>K</w:t>
      </w:r>
      <w:r w:rsidR="0031141E" w:rsidRPr="00E500EF">
        <w:rPr>
          <w:sz w:val="21"/>
          <w:szCs w:val="21"/>
        </w:rPr>
        <w:t>nihovn</w:t>
      </w:r>
      <w:r w:rsidRPr="00E500EF">
        <w:rPr>
          <w:sz w:val="21"/>
          <w:szCs w:val="21"/>
        </w:rPr>
        <w:t>u</w:t>
      </w:r>
      <w:r w:rsidR="0031141E" w:rsidRPr="00E500EF">
        <w:rPr>
          <w:sz w:val="21"/>
          <w:szCs w:val="21"/>
        </w:rPr>
        <w:t xml:space="preserve"> infračervených spekter plynů TGA </w:t>
      </w:r>
      <w:proofErr w:type="spellStart"/>
      <w:r w:rsidR="0031141E" w:rsidRPr="00E500EF">
        <w:rPr>
          <w:sz w:val="21"/>
          <w:szCs w:val="21"/>
        </w:rPr>
        <w:t>Vapor</w:t>
      </w:r>
      <w:proofErr w:type="spellEnd"/>
      <w:r w:rsidR="0031141E" w:rsidRPr="00E500EF">
        <w:rPr>
          <w:sz w:val="21"/>
          <w:szCs w:val="21"/>
        </w:rPr>
        <w:t xml:space="preserve"> </w:t>
      </w:r>
      <w:proofErr w:type="spellStart"/>
      <w:r w:rsidR="0031141E" w:rsidRPr="00E500EF">
        <w:rPr>
          <w:sz w:val="21"/>
          <w:szCs w:val="21"/>
        </w:rPr>
        <w:t>Phase</w:t>
      </w:r>
      <w:proofErr w:type="spellEnd"/>
      <w:r w:rsidR="0031141E" w:rsidRPr="00E500EF">
        <w:rPr>
          <w:sz w:val="21"/>
          <w:szCs w:val="21"/>
        </w:rPr>
        <w:t xml:space="preserve"> (8.654 spekter)</w:t>
      </w:r>
    </w:p>
    <w:p w14:paraId="10579074" w14:textId="0CE6A9D5" w:rsidR="00092768" w:rsidRPr="00290DB6" w:rsidRDefault="0031141E" w:rsidP="00290DB6">
      <w:pPr>
        <w:pStyle w:val="ListParagraph"/>
        <w:numPr>
          <w:ilvl w:val="6"/>
          <w:numId w:val="35"/>
        </w:numPr>
        <w:spacing w:before="0" w:after="160" w:line="259" w:lineRule="auto"/>
        <w:ind w:left="993" w:hanging="567"/>
        <w:rPr>
          <w:sz w:val="21"/>
          <w:szCs w:val="21"/>
        </w:rPr>
      </w:pPr>
      <w:r w:rsidRPr="00E500EF">
        <w:rPr>
          <w:sz w:val="21"/>
          <w:szCs w:val="21"/>
        </w:rPr>
        <w:t>K-MT1 – absorpční sušič</w:t>
      </w:r>
    </w:p>
    <w:sectPr w:rsidR="00092768" w:rsidRPr="00290DB6" w:rsidSect="00CD39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D73D" w14:textId="77777777" w:rsidR="00B93A6D" w:rsidRDefault="00B93A6D" w:rsidP="00E837B7">
      <w:pPr>
        <w:spacing w:before="0" w:after="0"/>
      </w:pPr>
      <w:r>
        <w:separator/>
      </w:r>
    </w:p>
  </w:endnote>
  <w:endnote w:type="continuationSeparator" w:id="0">
    <w:p w14:paraId="79AB0183" w14:textId="77777777" w:rsidR="00B93A6D" w:rsidRDefault="00B93A6D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E6DCB" w14:textId="77777777" w:rsidR="00EA13EF" w:rsidRPr="00606B8A" w:rsidRDefault="00EA13EF" w:rsidP="00EA13EF">
    <w:pPr>
      <w:pStyle w:val="Header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3B6DE23" w14:textId="77777777" w:rsidR="00EA13EF" w:rsidRPr="00E837B7" w:rsidRDefault="00EA13EF" w:rsidP="00EA13EF">
    <w:pPr>
      <w:pStyle w:val="Header"/>
      <w:spacing w:after="120"/>
      <w:jc w:val="center"/>
      <w:rPr>
        <w:rFonts w:cs="Arial"/>
        <w:bCs/>
        <w:sz w:val="8"/>
        <w:szCs w:val="8"/>
      </w:rPr>
    </w:pPr>
  </w:p>
  <w:p w14:paraId="5974B2F0" w14:textId="4CBE907F" w:rsidR="00EA13EF" w:rsidRPr="006F6BBE" w:rsidRDefault="00EA13EF" w:rsidP="00EA13EF">
    <w:pPr>
      <w:pStyle w:val="Footer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8630A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8630A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CD76" w14:textId="77777777" w:rsidR="00E837B7" w:rsidRPr="00606B8A" w:rsidRDefault="00E837B7" w:rsidP="00E837B7">
    <w:pPr>
      <w:pStyle w:val="Header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DD4093A" w14:textId="77777777" w:rsidR="00E837B7" w:rsidRPr="00E837B7" w:rsidRDefault="00E837B7" w:rsidP="00E837B7">
    <w:pPr>
      <w:pStyle w:val="Header"/>
      <w:spacing w:after="120"/>
      <w:jc w:val="center"/>
      <w:rPr>
        <w:rFonts w:cs="Arial"/>
        <w:bCs/>
        <w:sz w:val="8"/>
        <w:szCs w:val="8"/>
      </w:rPr>
    </w:pPr>
  </w:p>
  <w:p w14:paraId="2A72D575" w14:textId="3D283BE0" w:rsidR="00E837B7" w:rsidRPr="00E837B7" w:rsidRDefault="00E837B7" w:rsidP="00E837B7">
    <w:pPr>
      <w:pStyle w:val="Footer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78630A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78630A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0C99" w14:textId="77777777" w:rsidR="00B93A6D" w:rsidRDefault="00B93A6D" w:rsidP="00E837B7">
      <w:pPr>
        <w:spacing w:before="0" w:after="0"/>
      </w:pPr>
      <w:r>
        <w:separator/>
      </w:r>
    </w:p>
  </w:footnote>
  <w:footnote w:type="continuationSeparator" w:id="0">
    <w:p w14:paraId="1BDA1B67" w14:textId="77777777" w:rsidR="00B93A6D" w:rsidRDefault="00B93A6D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8FB1" w14:textId="3BFB1FEF" w:rsidR="00EF16B8" w:rsidRPr="00EF16B8" w:rsidRDefault="00090A88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 xml:space="preserve">Upgrade </w:t>
    </w:r>
    <w:proofErr w:type="spellStart"/>
    <w:r w:rsidR="00A9423A">
      <w:rPr>
        <w:b/>
        <w:sz w:val="18"/>
        <w:szCs w:val="18"/>
      </w:rPr>
      <w:t>termogravimetrického</w:t>
    </w:r>
    <w:proofErr w:type="spellEnd"/>
    <w:r w:rsidR="00A9423A">
      <w:rPr>
        <w:b/>
        <w:sz w:val="18"/>
        <w:szCs w:val="18"/>
      </w:rPr>
      <w:t xml:space="preserve"> analyzátoru</w:t>
    </w:r>
  </w:p>
  <w:p w14:paraId="1F53279C" w14:textId="77777777" w:rsidR="00EA13EF" w:rsidRPr="00E837B7" w:rsidRDefault="00EA13EF" w:rsidP="00F715DC">
    <w:pPr>
      <w:pStyle w:val="Header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42348E4" w14:textId="77777777" w:rsidR="00EA13EF" w:rsidRPr="00EA13EF" w:rsidRDefault="00EA13EF" w:rsidP="00F715DC">
    <w:pPr>
      <w:pStyle w:val="Header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E350" w14:textId="77777777" w:rsidR="00E837B7" w:rsidRDefault="00E837B7" w:rsidP="00E837B7">
    <w:pPr>
      <w:pStyle w:val="Header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9F38229" wp14:editId="2DD50C61">
          <wp:extent cx="1485900" cy="523875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295519" w14:textId="40AEB991" w:rsidR="00E837B7" w:rsidRDefault="00E837B7" w:rsidP="0049146C">
    <w:pPr>
      <w:pStyle w:val="Header"/>
      <w:ind w:left="0" w:firstLine="0"/>
      <w:jc w:val="center"/>
      <w:rPr>
        <w:rFonts w:cs="Arial"/>
      </w:rPr>
    </w:pPr>
  </w:p>
  <w:p w14:paraId="06B25C41" w14:textId="77777777" w:rsidR="00E837B7" w:rsidRPr="00E837B7" w:rsidRDefault="00E837B7" w:rsidP="00E837B7">
    <w:pPr>
      <w:pStyle w:val="Header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201"/>
    <w:multiLevelType w:val="hybridMultilevel"/>
    <w:tmpl w:val="780CD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56A2"/>
    <w:multiLevelType w:val="hybridMultilevel"/>
    <w:tmpl w:val="A00C7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1795"/>
    <w:multiLevelType w:val="hybridMultilevel"/>
    <w:tmpl w:val="DA546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0606"/>
    <w:multiLevelType w:val="hybridMultilevel"/>
    <w:tmpl w:val="50D21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6D53"/>
    <w:multiLevelType w:val="hybridMultilevel"/>
    <w:tmpl w:val="1B26C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1591F"/>
    <w:multiLevelType w:val="hybridMultilevel"/>
    <w:tmpl w:val="19D8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5717"/>
    <w:multiLevelType w:val="hybridMultilevel"/>
    <w:tmpl w:val="817E1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4984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D51E9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D0A8E"/>
    <w:multiLevelType w:val="hybridMultilevel"/>
    <w:tmpl w:val="1B26C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1556A"/>
    <w:multiLevelType w:val="hybridMultilevel"/>
    <w:tmpl w:val="F9C6E1EE"/>
    <w:lvl w:ilvl="0" w:tplc="04050017">
      <w:start w:val="1"/>
      <w:numFmt w:val="lowerLetter"/>
      <w:lvlText w:val="%1)"/>
      <w:lvlJc w:val="left"/>
      <w:pPr>
        <w:ind w:left="1188" w:hanging="360"/>
      </w:p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43C52D8A"/>
    <w:multiLevelType w:val="hybridMultilevel"/>
    <w:tmpl w:val="E8D4D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4A252269"/>
    <w:multiLevelType w:val="multilevel"/>
    <w:tmpl w:val="217E25BC"/>
    <w:numStyleLink w:val="Smlouvy"/>
  </w:abstractNum>
  <w:abstractNum w:abstractNumId="1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73A2A"/>
    <w:multiLevelType w:val="hybridMultilevel"/>
    <w:tmpl w:val="A8C29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27E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5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7" w15:restartNumberingAfterBreak="0">
    <w:nsid w:val="775C665A"/>
    <w:multiLevelType w:val="hybridMultilevel"/>
    <w:tmpl w:val="19D8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42E63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4"/>
  </w:num>
  <w:num w:numId="10">
    <w:abstractNumId w:val="14"/>
  </w:num>
  <w:num w:numId="11">
    <w:abstractNumId w:val="26"/>
  </w:num>
  <w:num w:numId="12">
    <w:abstractNumId w:val="15"/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29"/>
  </w:num>
  <w:num w:numId="19">
    <w:abstractNumId w:val="18"/>
  </w:num>
  <w:num w:numId="20">
    <w:abstractNumId w:val="2"/>
  </w:num>
  <w:num w:numId="21">
    <w:abstractNumId w:val="6"/>
  </w:num>
  <w:num w:numId="22">
    <w:abstractNumId w:val="13"/>
  </w:num>
  <w:num w:numId="23">
    <w:abstractNumId w:val="3"/>
  </w:num>
  <w:num w:numId="24">
    <w:abstractNumId w:val="27"/>
  </w:num>
  <w:num w:numId="25">
    <w:abstractNumId w:val="7"/>
  </w:num>
  <w:num w:numId="26">
    <w:abstractNumId w:val="21"/>
  </w:num>
  <w:num w:numId="27">
    <w:abstractNumId w:val="1"/>
  </w:num>
  <w:num w:numId="28">
    <w:abstractNumId w:val="0"/>
  </w:num>
  <w:num w:numId="29">
    <w:abstractNumId w:val="9"/>
  </w:num>
  <w:num w:numId="30">
    <w:abstractNumId w:val="10"/>
  </w:num>
  <w:num w:numId="31">
    <w:abstractNumId w:val="22"/>
  </w:num>
  <w:num w:numId="32">
    <w:abstractNumId w:val="28"/>
  </w:num>
  <w:num w:numId="33">
    <w:abstractNumId w:val="11"/>
  </w:num>
  <w:num w:numId="34">
    <w:abstractNumId w:val="4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DYksjM3MTC1NDMyUdpeDU4uLM/DyQAtNaAI6c36osAAAA"/>
  </w:docVars>
  <w:rsids>
    <w:rsidRoot w:val="00544E72"/>
    <w:rsid w:val="00000D74"/>
    <w:rsid w:val="000017BA"/>
    <w:rsid w:val="00016A93"/>
    <w:rsid w:val="00016C86"/>
    <w:rsid w:val="00032BC1"/>
    <w:rsid w:val="00037087"/>
    <w:rsid w:val="00037E3E"/>
    <w:rsid w:val="00041A90"/>
    <w:rsid w:val="0005326E"/>
    <w:rsid w:val="000565EE"/>
    <w:rsid w:val="00056F33"/>
    <w:rsid w:val="000608FD"/>
    <w:rsid w:val="00061533"/>
    <w:rsid w:val="00085079"/>
    <w:rsid w:val="00090A88"/>
    <w:rsid w:val="00090B69"/>
    <w:rsid w:val="00092768"/>
    <w:rsid w:val="000A0B8C"/>
    <w:rsid w:val="000B0562"/>
    <w:rsid w:val="000B0633"/>
    <w:rsid w:val="000B146D"/>
    <w:rsid w:val="000B2F72"/>
    <w:rsid w:val="000C0206"/>
    <w:rsid w:val="000F6109"/>
    <w:rsid w:val="00104399"/>
    <w:rsid w:val="0010510A"/>
    <w:rsid w:val="00106E4A"/>
    <w:rsid w:val="00110D2C"/>
    <w:rsid w:val="001122FD"/>
    <w:rsid w:val="00114857"/>
    <w:rsid w:val="00123A71"/>
    <w:rsid w:val="001244D4"/>
    <w:rsid w:val="00135BE2"/>
    <w:rsid w:val="001468AC"/>
    <w:rsid w:val="001576F7"/>
    <w:rsid w:val="00157D95"/>
    <w:rsid w:val="0017378B"/>
    <w:rsid w:val="0017523F"/>
    <w:rsid w:val="00192E96"/>
    <w:rsid w:val="0019664E"/>
    <w:rsid w:val="00197A70"/>
    <w:rsid w:val="001B445F"/>
    <w:rsid w:val="001B4E50"/>
    <w:rsid w:val="001B7B81"/>
    <w:rsid w:val="001C2981"/>
    <w:rsid w:val="001C6927"/>
    <w:rsid w:val="001E352A"/>
    <w:rsid w:val="001F5F10"/>
    <w:rsid w:val="00206064"/>
    <w:rsid w:val="00206DDF"/>
    <w:rsid w:val="00213072"/>
    <w:rsid w:val="002218A9"/>
    <w:rsid w:val="002266F4"/>
    <w:rsid w:val="0024072D"/>
    <w:rsid w:val="0025320E"/>
    <w:rsid w:val="002769BD"/>
    <w:rsid w:val="00277399"/>
    <w:rsid w:val="002874FB"/>
    <w:rsid w:val="00290C01"/>
    <w:rsid w:val="00290DB6"/>
    <w:rsid w:val="00290FC5"/>
    <w:rsid w:val="00293780"/>
    <w:rsid w:val="002A10CE"/>
    <w:rsid w:val="002A4BE0"/>
    <w:rsid w:val="002C610F"/>
    <w:rsid w:val="002D1D3E"/>
    <w:rsid w:val="002E524D"/>
    <w:rsid w:val="002F5262"/>
    <w:rsid w:val="002F5266"/>
    <w:rsid w:val="002F5DC3"/>
    <w:rsid w:val="00301518"/>
    <w:rsid w:val="0031141E"/>
    <w:rsid w:val="003114E4"/>
    <w:rsid w:val="0032134F"/>
    <w:rsid w:val="00322F8C"/>
    <w:rsid w:val="003271F6"/>
    <w:rsid w:val="00332790"/>
    <w:rsid w:val="003420EA"/>
    <w:rsid w:val="00344769"/>
    <w:rsid w:val="00357108"/>
    <w:rsid w:val="0036166F"/>
    <w:rsid w:val="00363072"/>
    <w:rsid w:val="003635D6"/>
    <w:rsid w:val="00370D61"/>
    <w:rsid w:val="003756A3"/>
    <w:rsid w:val="00382D22"/>
    <w:rsid w:val="00393215"/>
    <w:rsid w:val="003A5567"/>
    <w:rsid w:val="003B00FE"/>
    <w:rsid w:val="003B0B43"/>
    <w:rsid w:val="003C2F63"/>
    <w:rsid w:val="003C30B1"/>
    <w:rsid w:val="003C74B6"/>
    <w:rsid w:val="003C7DFA"/>
    <w:rsid w:val="003C7FCD"/>
    <w:rsid w:val="003E4341"/>
    <w:rsid w:val="003E6BE8"/>
    <w:rsid w:val="003E6D13"/>
    <w:rsid w:val="003F2017"/>
    <w:rsid w:val="003F5B0D"/>
    <w:rsid w:val="00410FD5"/>
    <w:rsid w:val="00414754"/>
    <w:rsid w:val="00414D2E"/>
    <w:rsid w:val="0041559E"/>
    <w:rsid w:val="004218BE"/>
    <w:rsid w:val="00427CEA"/>
    <w:rsid w:val="00444411"/>
    <w:rsid w:val="0044696A"/>
    <w:rsid w:val="004640C0"/>
    <w:rsid w:val="00471562"/>
    <w:rsid w:val="00474362"/>
    <w:rsid w:val="004817F5"/>
    <w:rsid w:val="00490786"/>
    <w:rsid w:val="0049146C"/>
    <w:rsid w:val="00496F37"/>
    <w:rsid w:val="004A28BD"/>
    <w:rsid w:val="004B5F59"/>
    <w:rsid w:val="004C5ECF"/>
    <w:rsid w:val="004C6EFA"/>
    <w:rsid w:val="004D1689"/>
    <w:rsid w:val="004D1858"/>
    <w:rsid w:val="004E0DE0"/>
    <w:rsid w:val="004F78B5"/>
    <w:rsid w:val="00501564"/>
    <w:rsid w:val="00505842"/>
    <w:rsid w:val="00506F22"/>
    <w:rsid w:val="00514AF0"/>
    <w:rsid w:val="00517DEC"/>
    <w:rsid w:val="00520ED8"/>
    <w:rsid w:val="005211CC"/>
    <w:rsid w:val="00530B62"/>
    <w:rsid w:val="0054108C"/>
    <w:rsid w:val="00542780"/>
    <w:rsid w:val="00544E72"/>
    <w:rsid w:val="0055374D"/>
    <w:rsid w:val="005556F6"/>
    <w:rsid w:val="0055619C"/>
    <w:rsid w:val="005579B0"/>
    <w:rsid w:val="0057367C"/>
    <w:rsid w:val="00575F0C"/>
    <w:rsid w:val="005769B2"/>
    <w:rsid w:val="00576AC1"/>
    <w:rsid w:val="00585453"/>
    <w:rsid w:val="00592BA5"/>
    <w:rsid w:val="005A0B7A"/>
    <w:rsid w:val="005A2C26"/>
    <w:rsid w:val="005A5AFA"/>
    <w:rsid w:val="005B1F68"/>
    <w:rsid w:val="005B2405"/>
    <w:rsid w:val="005B2CD1"/>
    <w:rsid w:val="005B5DCF"/>
    <w:rsid w:val="005C3B19"/>
    <w:rsid w:val="005D37B3"/>
    <w:rsid w:val="005D529A"/>
    <w:rsid w:val="005D5FDD"/>
    <w:rsid w:val="005E5AA0"/>
    <w:rsid w:val="005F2A58"/>
    <w:rsid w:val="005F711C"/>
    <w:rsid w:val="006014C7"/>
    <w:rsid w:val="006073E4"/>
    <w:rsid w:val="00610B1F"/>
    <w:rsid w:val="00626A0B"/>
    <w:rsid w:val="00641C64"/>
    <w:rsid w:val="00646586"/>
    <w:rsid w:val="00647399"/>
    <w:rsid w:val="006507DC"/>
    <w:rsid w:val="00665831"/>
    <w:rsid w:val="00665E2A"/>
    <w:rsid w:val="00695CC2"/>
    <w:rsid w:val="006975AB"/>
    <w:rsid w:val="006A62FE"/>
    <w:rsid w:val="006C30B5"/>
    <w:rsid w:val="006C636B"/>
    <w:rsid w:val="006C6BFB"/>
    <w:rsid w:val="006D2DA3"/>
    <w:rsid w:val="006D532D"/>
    <w:rsid w:val="006D62AC"/>
    <w:rsid w:val="006F1675"/>
    <w:rsid w:val="006F29AC"/>
    <w:rsid w:val="006F6BBE"/>
    <w:rsid w:val="00700E21"/>
    <w:rsid w:val="007012F5"/>
    <w:rsid w:val="007072A6"/>
    <w:rsid w:val="00712902"/>
    <w:rsid w:val="007234BC"/>
    <w:rsid w:val="00723C1C"/>
    <w:rsid w:val="007332BF"/>
    <w:rsid w:val="00741692"/>
    <w:rsid w:val="00750C40"/>
    <w:rsid w:val="00751A33"/>
    <w:rsid w:val="00757735"/>
    <w:rsid w:val="00763415"/>
    <w:rsid w:val="00773026"/>
    <w:rsid w:val="00773DE2"/>
    <w:rsid w:val="0077610A"/>
    <w:rsid w:val="00776499"/>
    <w:rsid w:val="007772B4"/>
    <w:rsid w:val="00780CE6"/>
    <w:rsid w:val="007835B6"/>
    <w:rsid w:val="00783BF2"/>
    <w:rsid w:val="007856B3"/>
    <w:rsid w:val="0078630A"/>
    <w:rsid w:val="00792430"/>
    <w:rsid w:val="00792B2A"/>
    <w:rsid w:val="007A2C39"/>
    <w:rsid w:val="007A53A1"/>
    <w:rsid w:val="007B65C8"/>
    <w:rsid w:val="007C0555"/>
    <w:rsid w:val="007C2721"/>
    <w:rsid w:val="007C5100"/>
    <w:rsid w:val="007D768E"/>
    <w:rsid w:val="007E5265"/>
    <w:rsid w:val="00806CE2"/>
    <w:rsid w:val="00823977"/>
    <w:rsid w:val="00825909"/>
    <w:rsid w:val="0083251E"/>
    <w:rsid w:val="00840A2E"/>
    <w:rsid w:val="008430F0"/>
    <w:rsid w:val="00847C32"/>
    <w:rsid w:val="00853DE5"/>
    <w:rsid w:val="00860B64"/>
    <w:rsid w:val="0087088E"/>
    <w:rsid w:val="008822F5"/>
    <w:rsid w:val="008924E1"/>
    <w:rsid w:val="00897D51"/>
    <w:rsid w:val="008A1898"/>
    <w:rsid w:val="008A2DD2"/>
    <w:rsid w:val="008A6EF1"/>
    <w:rsid w:val="008B040F"/>
    <w:rsid w:val="008B61B8"/>
    <w:rsid w:val="008B661F"/>
    <w:rsid w:val="008C513F"/>
    <w:rsid w:val="008D127B"/>
    <w:rsid w:val="008D30E1"/>
    <w:rsid w:val="008D3E77"/>
    <w:rsid w:val="008E31F1"/>
    <w:rsid w:val="008F7581"/>
    <w:rsid w:val="0090102A"/>
    <w:rsid w:val="00903F14"/>
    <w:rsid w:val="009138F5"/>
    <w:rsid w:val="0092214B"/>
    <w:rsid w:val="00931DCB"/>
    <w:rsid w:val="009414A9"/>
    <w:rsid w:val="0094492F"/>
    <w:rsid w:val="00952B2B"/>
    <w:rsid w:val="00954B4F"/>
    <w:rsid w:val="0095651F"/>
    <w:rsid w:val="0095729E"/>
    <w:rsid w:val="00967CCB"/>
    <w:rsid w:val="009B0C68"/>
    <w:rsid w:val="009B449A"/>
    <w:rsid w:val="009B5854"/>
    <w:rsid w:val="009D7CFA"/>
    <w:rsid w:val="009E4287"/>
    <w:rsid w:val="009E580A"/>
    <w:rsid w:val="00A03C95"/>
    <w:rsid w:val="00A10D01"/>
    <w:rsid w:val="00A10F81"/>
    <w:rsid w:val="00A17C78"/>
    <w:rsid w:val="00A2142F"/>
    <w:rsid w:val="00A24BBA"/>
    <w:rsid w:val="00A3695E"/>
    <w:rsid w:val="00A373A5"/>
    <w:rsid w:val="00A41D93"/>
    <w:rsid w:val="00A47CF6"/>
    <w:rsid w:val="00A61726"/>
    <w:rsid w:val="00A74B67"/>
    <w:rsid w:val="00A8177F"/>
    <w:rsid w:val="00A82B36"/>
    <w:rsid w:val="00A91FB1"/>
    <w:rsid w:val="00A9423A"/>
    <w:rsid w:val="00A9561E"/>
    <w:rsid w:val="00A9578E"/>
    <w:rsid w:val="00AB44EA"/>
    <w:rsid w:val="00AB4B83"/>
    <w:rsid w:val="00AB7051"/>
    <w:rsid w:val="00AC591B"/>
    <w:rsid w:val="00AC65A0"/>
    <w:rsid w:val="00AE5A30"/>
    <w:rsid w:val="00AE7829"/>
    <w:rsid w:val="00AF01F2"/>
    <w:rsid w:val="00AF7BFD"/>
    <w:rsid w:val="00B024CF"/>
    <w:rsid w:val="00B04B19"/>
    <w:rsid w:val="00B113DB"/>
    <w:rsid w:val="00B13D81"/>
    <w:rsid w:val="00B14C11"/>
    <w:rsid w:val="00B1582F"/>
    <w:rsid w:val="00B15EAA"/>
    <w:rsid w:val="00B172D1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0234"/>
    <w:rsid w:val="00B85190"/>
    <w:rsid w:val="00B91746"/>
    <w:rsid w:val="00B93A6D"/>
    <w:rsid w:val="00BA1B34"/>
    <w:rsid w:val="00BB1BDE"/>
    <w:rsid w:val="00BB34AE"/>
    <w:rsid w:val="00BC0496"/>
    <w:rsid w:val="00BC4B72"/>
    <w:rsid w:val="00BC5487"/>
    <w:rsid w:val="00BC7A71"/>
    <w:rsid w:val="00BD64B4"/>
    <w:rsid w:val="00BE2F06"/>
    <w:rsid w:val="00BE3C3A"/>
    <w:rsid w:val="00BF4939"/>
    <w:rsid w:val="00C00D60"/>
    <w:rsid w:val="00C077AF"/>
    <w:rsid w:val="00C1025D"/>
    <w:rsid w:val="00C1273D"/>
    <w:rsid w:val="00C17E03"/>
    <w:rsid w:val="00C30DD6"/>
    <w:rsid w:val="00C3247A"/>
    <w:rsid w:val="00C3598F"/>
    <w:rsid w:val="00C43690"/>
    <w:rsid w:val="00C459DF"/>
    <w:rsid w:val="00C45C71"/>
    <w:rsid w:val="00C7176F"/>
    <w:rsid w:val="00C73BF4"/>
    <w:rsid w:val="00C81515"/>
    <w:rsid w:val="00C85789"/>
    <w:rsid w:val="00C9276D"/>
    <w:rsid w:val="00C94A2B"/>
    <w:rsid w:val="00CA2907"/>
    <w:rsid w:val="00CA680E"/>
    <w:rsid w:val="00CB02FF"/>
    <w:rsid w:val="00CB4FE8"/>
    <w:rsid w:val="00CC3782"/>
    <w:rsid w:val="00CD08F5"/>
    <w:rsid w:val="00CD3995"/>
    <w:rsid w:val="00CE3DDD"/>
    <w:rsid w:val="00D05A8A"/>
    <w:rsid w:val="00D22A66"/>
    <w:rsid w:val="00D36E39"/>
    <w:rsid w:val="00D643DA"/>
    <w:rsid w:val="00D9740A"/>
    <w:rsid w:val="00DA7E4F"/>
    <w:rsid w:val="00DB0DF2"/>
    <w:rsid w:val="00DB5FA7"/>
    <w:rsid w:val="00DB6E45"/>
    <w:rsid w:val="00DC1641"/>
    <w:rsid w:val="00DD0377"/>
    <w:rsid w:val="00DD362B"/>
    <w:rsid w:val="00DD4560"/>
    <w:rsid w:val="00DD6DDF"/>
    <w:rsid w:val="00DE5A99"/>
    <w:rsid w:val="00DE7943"/>
    <w:rsid w:val="00DF22BF"/>
    <w:rsid w:val="00DF5157"/>
    <w:rsid w:val="00E03F3D"/>
    <w:rsid w:val="00E154A6"/>
    <w:rsid w:val="00E17104"/>
    <w:rsid w:val="00E17210"/>
    <w:rsid w:val="00E17F49"/>
    <w:rsid w:val="00E23755"/>
    <w:rsid w:val="00E36BDE"/>
    <w:rsid w:val="00E453CA"/>
    <w:rsid w:val="00E46D1A"/>
    <w:rsid w:val="00E500EF"/>
    <w:rsid w:val="00E5584B"/>
    <w:rsid w:val="00E5688A"/>
    <w:rsid w:val="00E5760E"/>
    <w:rsid w:val="00E64697"/>
    <w:rsid w:val="00E73184"/>
    <w:rsid w:val="00E7633F"/>
    <w:rsid w:val="00E76FC6"/>
    <w:rsid w:val="00E8036B"/>
    <w:rsid w:val="00E82118"/>
    <w:rsid w:val="00E832DF"/>
    <w:rsid w:val="00E837B7"/>
    <w:rsid w:val="00E83B9E"/>
    <w:rsid w:val="00E96CBC"/>
    <w:rsid w:val="00EA13EF"/>
    <w:rsid w:val="00EA617D"/>
    <w:rsid w:val="00EA66ED"/>
    <w:rsid w:val="00ED0342"/>
    <w:rsid w:val="00ED2C2E"/>
    <w:rsid w:val="00ED5992"/>
    <w:rsid w:val="00EE287A"/>
    <w:rsid w:val="00EF16B8"/>
    <w:rsid w:val="00F0035A"/>
    <w:rsid w:val="00F00803"/>
    <w:rsid w:val="00F02F2D"/>
    <w:rsid w:val="00F032B6"/>
    <w:rsid w:val="00F06D9F"/>
    <w:rsid w:val="00F0718B"/>
    <w:rsid w:val="00F13677"/>
    <w:rsid w:val="00F1387A"/>
    <w:rsid w:val="00F256A4"/>
    <w:rsid w:val="00F37D39"/>
    <w:rsid w:val="00F416AE"/>
    <w:rsid w:val="00F50A74"/>
    <w:rsid w:val="00F51721"/>
    <w:rsid w:val="00F57D05"/>
    <w:rsid w:val="00F641CA"/>
    <w:rsid w:val="00F679CA"/>
    <w:rsid w:val="00F715DC"/>
    <w:rsid w:val="00F7192A"/>
    <w:rsid w:val="00F74936"/>
    <w:rsid w:val="00F83476"/>
    <w:rsid w:val="00F9199E"/>
    <w:rsid w:val="00FA3035"/>
    <w:rsid w:val="00FA7027"/>
    <w:rsid w:val="00FB1436"/>
    <w:rsid w:val="00FB236F"/>
    <w:rsid w:val="00FC4953"/>
    <w:rsid w:val="00FE42D6"/>
    <w:rsid w:val="00FE6829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C939BD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37B7"/>
  </w:style>
  <w:style w:type="paragraph" w:styleId="Footer">
    <w:name w:val="footer"/>
    <w:basedOn w:val="Normal"/>
    <w:link w:val="Footer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37B7"/>
  </w:style>
  <w:style w:type="paragraph" w:styleId="BalloonText">
    <w:name w:val="Balloon Text"/>
    <w:basedOn w:val="Normal"/>
    <w:link w:val="BalloonText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837B7"/>
  </w:style>
  <w:style w:type="paragraph" w:styleId="BodyText">
    <w:name w:val="Body Text"/>
    <w:aliases w:val="subtitle2,body text"/>
    <w:basedOn w:val="Normal"/>
    <w:link w:val="Body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aliases w:val="subtitle2 Char,body text Char"/>
    <w:basedOn w:val="DefaultParagraphFont"/>
    <w:link w:val="Body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TableGrid">
    <w:name w:val="Table Grid"/>
    <w:basedOn w:val="TableNormal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4C6E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5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9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C95"/>
    <w:pPr>
      <w:spacing w:before="0" w:after="0"/>
      <w:ind w:left="0" w:firstLine="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A8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D0C5-2A61-4CA3-AF87-007E8F16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2343</Words>
  <Characters>13827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Irena Lofflerova</cp:lastModifiedBy>
  <cp:revision>12</cp:revision>
  <cp:lastPrinted>2020-05-25T08:39:00Z</cp:lastPrinted>
  <dcterms:created xsi:type="dcterms:W3CDTF">2020-05-22T07:47:00Z</dcterms:created>
  <dcterms:modified xsi:type="dcterms:W3CDTF">2020-05-25T08:39:00Z</dcterms:modified>
</cp:coreProperties>
</file>