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930" w:rsidRPr="004E1353" w:rsidRDefault="004E1353" w:rsidP="00A84B54">
      <w:pPr>
        <w:spacing w:before="240"/>
        <w:rPr>
          <w:sz w:val="28"/>
          <w:szCs w:val="28"/>
        </w:rPr>
      </w:pPr>
      <w:r w:rsidRPr="004E1353">
        <w:rPr>
          <w:rFonts w:ascii="Arial" w:hAnsi="Arial" w:cs="Arial"/>
          <w:b/>
          <w:sz w:val="28"/>
          <w:szCs w:val="28"/>
        </w:rPr>
        <w:t>Příloha č. 1 Funkční požadavky</w:t>
      </w:r>
    </w:p>
    <w:p w:rsidR="004B2930" w:rsidRDefault="004E1353">
      <w:pPr>
        <w:rPr>
          <w:rFonts w:ascii="Arial" w:hAnsi="Arial" w:cs="Arial"/>
          <w:b/>
          <w:sz w:val="24"/>
          <w:szCs w:val="24"/>
        </w:rPr>
      </w:pPr>
      <w:r>
        <w:rPr>
          <w:rFonts w:ascii="Arial" w:hAnsi="Arial" w:cs="Arial"/>
          <w:b/>
          <w:sz w:val="24"/>
          <w:szCs w:val="24"/>
        </w:rPr>
        <w:t>1. Systémové požadavky</w:t>
      </w:r>
    </w:p>
    <w:tbl>
      <w:tblPr>
        <w:tblW w:w="15521" w:type="dxa"/>
        <w:tblCellMar>
          <w:left w:w="70" w:type="dxa"/>
          <w:right w:w="70" w:type="dxa"/>
        </w:tblCellMar>
        <w:tblLook w:val="04A0" w:firstRow="1" w:lastRow="0" w:firstColumn="1" w:lastColumn="0" w:noHBand="0" w:noVBand="1"/>
      </w:tblPr>
      <w:tblGrid>
        <w:gridCol w:w="754"/>
        <w:gridCol w:w="9874"/>
        <w:gridCol w:w="1273"/>
        <w:gridCol w:w="1306"/>
        <w:gridCol w:w="1244"/>
        <w:gridCol w:w="1070"/>
      </w:tblGrid>
      <w:tr w:rsidR="004B2930" w:rsidTr="00317C3C">
        <w:trPr>
          <w:cantSplit/>
          <w:trHeight w:val="592"/>
          <w:tblHeader/>
        </w:trPr>
        <w:tc>
          <w:tcPr>
            <w:tcW w:w="7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4B2930" w:rsidRDefault="004E1353">
            <w:pPr>
              <w:spacing w:after="0"/>
            </w:pPr>
            <w:r>
              <w:rPr>
                <w:rFonts w:ascii="Arial" w:eastAsia="Times New Roman" w:hAnsi="Arial" w:cs="Arial"/>
                <w:b/>
                <w:sz w:val="18"/>
                <w:szCs w:val="18"/>
                <w:lang w:eastAsia="cs-CZ"/>
              </w:rPr>
              <w:t>Čís</w:t>
            </w:r>
            <w:r>
              <w:rPr>
                <w:rFonts w:ascii="Arial" w:eastAsia="Times New Roman" w:hAnsi="Arial" w:cs="Arial"/>
                <w:b/>
                <w:color w:val="000000"/>
                <w:sz w:val="18"/>
                <w:szCs w:val="18"/>
                <w:lang w:eastAsia="cs-CZ"/>
              </w:rPr>
              <w:t>lo</w:t>
            </w:r>
            <w:r>
              <w:rPr>
                <w:rStyle w:val="Ukotvenpoznmkypodarou"/>
                <w:rFonts w:ascii="Arial" w:eastAsia="Times New Roman" w:hAnsi="Arial" w:cs="Arial"/>
                <w:b/>
                <w:color w:val="000000"/>
                <w:sz w:val="18"/>
                <w:szCs w:val="18"/>
                <w:lang w:eastAsia="cs-CZ"/>
              </w:rPr>
              <w:footnoteReference w:id="1"/>
            </w:r>
            <w:r>
              <w:rPr>
                <w:rStyle w:val="Ukotvenpoznmkypodarou"/>
                <w:rFonts w:ascii="Arial" w:eastAsia="Times New Roman" w:hAnsi="Arial" w:cs="Arial"/>
                <w:b/>
                <w:color w:val="000000"/>
                <w:sz w:val="18"/>
                <w:szCs w:val="18"/>
                <w:lang w:eastAsia="cs-CZ"/>
              </w:rPr>
              <w:t>1)</w:t>
            </w:r>
          </w:p>
        </w:tc>
        <w:tc>
          <w:tcPr>
            <w:tcW w:w="9893"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4B2930" w:rsidRDefault="004E1353">
            <w:pPr>
              <w:spacing w:after="0"/>
            </w:pPr>
            <w:r>
              <w:rPr>
                <w:rFonts w:ascii="Arial" w:eastAsia="Times New Roman" w:hAnsi="Arial" w:cs="Arial"/>
                <w:b/>
                <w:color w:val="000000"/>
                <w:sz w:val="18"/>
                <w:szCs w:val="18"/>
                <w:lang w:eastAsia="cs-CZ"/>
              </w:rPr>
              <w:t>Požadavek na funkcionalitu</w:t>
            </w:r>
          </w:p>
        </w:tc>
        <w:tc>
          <w:tcPr>
            <w:tcW w:w="1273"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4B2930" w:rsidRDefault="004E1353">
            <w:pPr>
              <w:spacing w:after="0"/>
            </w:pPr>
            <w:r>
              <w:rPr>
                <w:rFonts w:ascii="Arial" w:hAnsi="Arial" w:cs="Arial"/>
                <w:b/>
                <w:sz w:val="18"/>
                <w:szCs w:val="18"/>
              </w:rPr>
              <w:t>Body významnosti</w:t>
            </w:r>
            <w:r>
              <w:rPr>
                <w:rFonts w:ascii="Arial" w:hAnsi="Arial" w:cs="Arial"/>
                <w:sz w:val="18"/>
                <w:szCs w:val="18"/>
              </w:rPr>
              <w:br/>
            </w:r>
            <w:r>
              <w:rPr>
                <w:rFonts w:ascii="Arial" w:hAnsi="Arial" w:cs="Arial"/>
                <w:b/>
                <w:sz w:val="18"/>
                <w:szCs w:val="18"/>
              </w:rPr>
              <w:t>funkcionality</w:t>
            </w:r>
          </w:p>
        </w:tc>
        <w:tc>
          <w:tcPr>
            <w:tcW w:w="1306"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4B2930" w:rsidRDefault="004E1353">
            <w:pPr>
              <w:spacing w:after="0"/>
            </w:pPr>
            <w:r>
              <w:rPr>
                <w:rFonts w:ascii="Arial" w:hAnsi="Arial" w:cs="Arial"/>
                <w:b/>
                <w:sz w:val="18"/>
                <w:szCs w:val="18"/>
              </w:rPr>
              <w:t>Standardní</w:t>
            </w:r>
            <w:r>
              <w:rPr>
                <w:rFonts w:ascii="Arial" w:hAnsi="Arial" w:cs="Arial"/>
                <w:sz w:val="18"/>
                <w:szCs w:val="18"/>
              </w:rPr>
              <w:br/>
            </w:r>
            <w:r>
              <w:rPr>
                <w:rFonts w:ascii="Arial" w:hAnsi="Arial" w:cs="Arial"/>
                <w:b/>
                <w:sz w:val="18"/>
                <w:szCs w:val="18"/>
              </w:rPr>
              <w:t>funkcionalita</w:t>
            </w:r>
          </w:p>
        </w:tc>
        <w:tc>
          <w:tcPr>
            <w:tcW w:w="1245"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4B2930" w:rsidRDefault="004E1353">
            <w:pPr>
              <w:spacing w:after="0"/>
            </w:pPr>
            <w:r>
              <w:rPr>
                <w:rFonts w:ascii="Arial" w:hAnsi="Arial" w:cs="Arial"/>
                <w:b/>
                <w:sz w:val="18"/>
                <w:szCs w:val="18"/>
              </w:rPr>
              <w:t>Bude doplněno /</w:t>
            </w:r>
            <w:r>
              <w:rPr>
                <w:rFonts w:ascii="Arial" w:hAnsi="Arial" w:cs="Arial"/>
                <w:sz w:val="18"/>
                <w:szCs w:val="18"/>
              </w:rPr>
              <w:br/>
            </w:r>
            <w:r>
              <w:rPr>
                <w:rFonts w:ascii="Arial" w:hAnsi="Arial" w:cs="Arial"/>
                <w:b/>
                <w:sz w:val="18"/>
                <w:szCs w:val="18"/>
              </w:rPr>
              <w:t>doprogra</w:t>
            </w:r>
            <w:r>
              <w:rPr>
                <w:rFonts w:ascii="Arial" w:hAnsi="Arial" w:cs="Arial"/>
                <w:b/>
                <w:sz w:val="18"/>
                <w:szCs w:val="18"/>
              </w:rPr>
              <w:softHyphen/>
              <w:t>mováno</w:t>
            </w:r>
          </w:p>
        </w:tc>
        <w:tc>
          <w:tcPr>
            <w:tcW w:w="1070"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4B2930" w:rsidRDefault="004E1353">
            <w:pPr>
              <w:spacing w:after="0"/>
            </w:pPr>
            <w:r>
              <w:rPr>
                <w:rFonts w:ascii="Arial" w:eastAsia="Times New Roman" w:hAnsi="Arial" w:cs="Arial"/>
                <w:b/>
                <w:color w:val="000000"/>
                <w:sz w:val="18"/>
                <w:szCs w:val="18"/>
                <w:lang w:eastAsia="cs-CZ"/>
              </w:rPr>
              <w:t>Povinný/ rozšiřující</w:t>
            </w:r>
          </w:p>
        </w:tc>
      </w:tr>
      <w:tr w:rsidR="004B2930" w:rsidTr="005365F3">
        <w:trPr>
          <w:cantSplit/>
          <w:trHeight w:val="340"/>
        </w:trPr>
        <w:tc>
          <w:tcPr>
            <w:tcW w:w="15521" w:type="dxa"/>
            <w:gridSpan w:val="6"/>
            <w:shd w:val="clear" w:color="auto" w:fill="auto"/>
            <w:vAlign w:val="bottom"/>
          </w:tcPr>
          <w:p w:rsidR="004B2930" w:rsidRDefault="004E1353">
            <w:pPr>
              <w:spacing w:after="0"/>
            </w:pPr>
            <w:r>
              <w:rPr>
                <w:rFonts w:ascii="Arial" w:eastAsia="Times New Roman" w:hAnsi="Arial" w:cs="Arial"/>
                <w:b/>
                <w:bCs/>
                <w:color w:val="000000"/>
                <w:sz w:val="20"/>
                <w:szCs w:val="20"/>
                <w:lang w:eastAsia="cs-CZ"/>
              </w:rPr>
              <w:t>Technické požadavky</w:t>
            </w:r>
          </w:p>
        </w:tc>
      </w:tr>
      <w:tr w:rsidR="004B2930" w:rsidTr="00317C3C">
        <w:trPr>
          <w:cantSplit/>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1.1.</w:t>
            </w:r>
          </w:p>
          <w:p w:rsidR="004B2930" w:rsidRDefault="004E1353">
            <w:pPr>
              <w:spacing w:after="0"/>
            </w:pPr>
            <w:r>
              <w:rPr>
                <w:rFonts w:ascii="Arial" w:eastAsia="Times New Roman" w:hAnsi="Arial" w:cs="Arial"/>
                <w:color w:val="000000"/>
                <w:sz w:val="20"/>
                <w:szCs w:val="20"/>
                <w:lang w:eastAsia="cs-CZ"/>
              </w:rPr>
              <w:t>KNAV</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sz w:val="20"/>
                <w:szCs w:val="20"/>
                <w:lang w:eastAsia="cs-CZ"/>
              </w:rPr>
              <w:t>Systém je výkonově rozšiřitelný až do počtu 200 pojmenovaných uživatelů, z toho až polovina současně aktivně pracujících (</w:t>
            </w:r>
            <w:proofErr w:type="spellStart"/>
            <w:r>
              <w:rPr>
                <w:rFonts w:ascii="Arial" w:eastAsia="Times New Roman" w:hAnsi="Arial" w:cs="Arial"/>
                <w:sz w:val="20"/>
                <w:szCs w:val="20"/>
                <w:lang w:eastAsia="cs-CZ"/>
              </w:rPr>
              <w:t>concurrent</w:t>
            </w:r>
            <w:proofErr w:type="spellEnd"/>
            <w:r>
              <w:rPr>
                <w:rFonts w:ascii="Arial" w:eastAsia="Times New Roman" w:hAnsi="Arial" w:cs="Arial"/>
                <w:sz w:val="20"/>
                <w:szCs w:val="20"/>
                <w:lang w:eastAsia="cs-CZ"/>
              </w:rPr>
              <w:t xml:space="preserve"> user). </w:t>
            </w:r>
            <w:r>
              <w:rPr>
                <w:rFonts w:ascii="Arial" w:eastAsia="Times New Roman" w:hAnsi="Arial" w:cs="Arial"/>
                <w:sz w:val="20"/>
                <w:szCs w:val="20"/>
                <w:lang w:eastAsia="cs-CZ"/>
              </w:rPr>
              <w:br/>
              <w:t xml:space="preserve">Ve stávajícím systému je následující rozdělení uživatelů: </w:t>
            </w:r>
            <w:r>
              <w:rPr>
                <w:rFonts w:ascii="Arial" w:eastAsia="Times New Roman" w:hAnsi="Arial" w:cs="Arial"/>
                <w:sz w:val="20"/>
                <w:szCs w:val="20"/>
                <w:lang w:eastAsia="cs-CZ"/>
              </w:rPr>
              <w:br/>
              <w:t xml:space="preserve">- ekonomika (rozpočetnictví, finance, účetnictví, majetek, zásoby, smlouvy, objednávky, zakázky, cestovní příkazy) – 9 uživatelů (pojmenovaných i současně pracujících) </w:t>
            </w:r>
            <w:r>
              <w:rPr>
                <w:rFonts w:ascii="Arial" w:eastAsia="Times New Roman" w:hAnsi="Arial" w:cs="Arial"/>
                <w:sz w:val="20"/>
                <w:szCs w:val="20"/>
                <w:lang w:eastAsia="cs-CZ"/>
              </w:rPr>
              <w:br/>
            </w:r>
            <w:r w:rsidRPr="001A3AED">
              <w:rPr>
                <w:rFonts w:ascii="Arial" w:eastAsia="Times New Roman" w:hAnsi="Arial" w:cs="Arial"/>
                <w:spacing w:val="-2"/>
                <w:sz w:val="20"/>
                <w:szCs w:val="20"/>
                <w:lang w:eastAsia="cs-CZ"/>
              </w:rPr>
              <w:t>- mzdy a personalistika – 3 uživatelé (pojmenovaní i současně pracující), živých kmenových záznamů cca 150</w:t>
            </w:r>
            <w:r w:rsidRPr="001A3AED">
              <w:rPr>
                <w:rFonts w:ascii="Arial" w:eastAsia="Times New Roman" w:hAnsi="Arial" w:cs="Arial"/>
                <w:spacing w:val="-2"/>
                <w:sz w:val="20"/>
                <w:szCs w:val="20"/>
                <w:lang w:eastAsia="cs-CZ"/>
              </w:rPr>
              <w:br/>
            </w:r>
            <w:r>
              <w:rPr>
                <w:rFonts w:ascii="Arial" w:eastAsia="Times New Roman" w:hAnsi="Arial" w:cs="Arial"/>
                <w:sz w:val="20"/>
                <w:szCs w:val="20"/>
                <w:lang w:eastAsia="cs-CZ"/>
              </w:rPr>
              <w:t>- personalizované rozhraní uživatele – pro všechny uživatele, tj. cca 100 uživatelů (pojmenovaných i současně pracujících)</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val="en-US" w:eastAsia="cs-CZ"/>
              </w:rPr>
              <w:t>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cantSplit/>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1.1.</w:t>
            </w:r>
          </w:p>
          <w:p w:rsidR="004B2930" w:rsidRDefault="004E1353">
            <w:pPr>
              <w:spacing w:after="0"/>
            </w:pPr>
            <w:r>
              <w:rPr>
                <w:rFonts w:ascii="Arial" w:eastAsia="Times New Roman" w:hAnsi="Arial" w:cs="Arial"/>
                <w:color w:val="000000"/>
                <w:sz w:val="20"/>
                <w:szCs w:val="20"/>
                <w:lang w:eastAsia="cs-CZ"/>
              </w:rPr>
              <w:t>ÚČL</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sz w:val="20"/>
                <w:szCs w:val="20"/>
                <w:lang w:eastAsia="cs-CZ"/>
              </w:rPr>
              <w:t>Systém je výkonově rozšiřitelný až do počtu 200 pojmenovaných uživatelů, z toho až polovina současně aktivně pracujících (</w:t>
            </w:r>
            <w:proofErr w:type="spellStart"/>
            <w:r>
              <w:rPr>
                <w:rFonts w:ascii="Arial" w:eastAsia="Times New Roman" w:hAnsi="Arial" w:cs="Arial"/>
                <w:sz w:val="20"/>
                <w:szCs w:val="20"/>
                <w:lang w:eastAsia="cs-CZ"/>
              </w:rPr>
              <w:t>concurrent</w:t>
            </w:r>
            <w:proofErr w:type="spellEnd"/>
            <w:r>
              <w:rPr>
                <w:rFonts w:ascii="Arial" w:eastAsia="Times New Roman" w:hAnsi="Arial" w:cs="Arial"/>
                <w:sz w:val="20"/>
                <w:szCs w:val="20"/>
                <w:lang w:eastAsia="cs-CZ"/>
              </w:rPr>
              <w:t xml:space="preserve"> user). </w:t>
            </w:r>
            <w:r>
              <w:rPr>
                <w:rFonts w:ascii="Arial" w:eastAsia="Times New Roman" w:hAnsi="Arial" w:cs="Arial"/>
                <w:sz w:val="20"/>
                <w:szCs w:val="20"/>
                <w:lang w:eastAsia="cs-CZ"/>
              </w:rPr>
              <w:br/>
              <w:t xml:space="preserve">Ve stávajícím systému je následující rozdělení uživatelů: </w:t>
            </w:r>
            <w:r>
              <w:rPr>
                <w:rFonts w:ascii="Arial" w:eastAsia="Times New Roman" w:hAnsi="Arial" w:cs="Arial"/>
                <w:sz w:val="20"/>
                <w:szCs w:val="20"/>
                <w:lang w:eastAsia="cs-CZ"/>
              </w:rPr>
              <w:br/>
              <w:t>- ekonomika (rozpočetnictví, finance, účetnictví, majetek, zásoby, smlouvy, objednávky, zakázky, cestovní příkazy) – cca 104 uživatelů (pojmenovaných i současně pracujících)</w:t>
            </w:r>
            <w:r w:rsidR="001A3AED">
              <w:rPr>
                <w:rFonts w:ascii="Arial" w:eastAsia="Times New Roman" w:hAnsi="Arial" w:cs="Arial"/>
                <w:sz w:val="20"/>
                <w:szCs w:val="20"/>
                <w:lang w:eastAsia="cs-CZ"/>
              </w:rPr>
              <w:t xml:space="preserve"> </w:t>
            </w:r>
            <w:r w:rsidR="001A3AED">
              <w:rPr>
                <w:rFonts w:ascii="Arial" w:eastAsia="Times New Roman" w:hAnsi="Arial" w:cs="Arial"/>
                <w:sz w:val="20"/>
                <w:szCs w:val="20"/>
                <w:lang w:eastAsia="cs-CZ"/>
              </w:rPr>
              <w:br/>
              <w:t xml:space="preserve">- </w:t>
            </w:r>
            <w:r w:rsidR="001A3AED" w:rsidRPr="001A3AED">
              <w:rPr>
                <w:rFonts w:ascii="Arial" w:eastAsia="Times New Roman" w:hAnsi="Arial" w:cs="Arial"/>
                <w:spacing w:val="-2"/>
                <w:sz w:val="20"/>
                <w:szCs w:val="20"/>
                <w:lang w:eastAsia="cs-CZ"/>
              </w:rPr>
              <w:t xml:space="preserve">mzdy a personalistika – </w:t>
            </w:r>
            <w:r w:rsidRPr="001A3AED">
              <w:rPr>
                <w:rFonts w:ascii="Arial" w:eastAsia="Times New Roman" w:hAnsi="Arial" w:cs="Arial"/>
                <w:spacing w:val="-2"/>
                <w:sz w:val="20"/>
                <w:szCs w:val="20"/>
                <w:lang w:eastAsia="cs-CZ"/>
              </w:rPr>
              <w:t>2 uživatelé (pojmenovaní i současně pracující), živých kmenových záznamů cca 170</w:t>
            </w:r>
            <w:r w:rsidRPr="001A3AED">
              <w:rPr>
                <w:rFonts w:ascii="Arial" w:eastAsia="Times New Roman" w:hAnsi="Arial" w:cs="Arial"/>
                <w:spacing w:val="-2"/>
                <w:sz w:val="20"/>
                <w:szCs w:val="20"/>
                <w:lang w:eastAsia="cs-CZ"/>
              </w:rPr>
              <w:br/>
            </w:r>
            <w:r>
              <w:rPr>
                <w:rFonts w:ascii="Arial" w:eastAsia="Times New Roman" w:hAnsi="Arial" w:cs="Arial"/>
                <w:sz w:val="20"/>
                <w:szCs w:val="20"/>
                <w:lang w:eastAsia="cs-CZ"/>
              </w:rPr>
              <w:t xml:space="preserve">- schvalovací </w:t>
            </w:r>
            <w:proofErr w:type="spellStart"/>
            <w:r>
              <w:rPr>
                <w:rFonts w:ascii="Arial" w:eastAsia="Times New Roman" w:hAnsi="Arial" w:cs="Arial"/>
                <w:sz w:val="20"/>
                <w:szCs w:val="20"/>
                <w:lang w:eastAsia="cs-CZ"/>
              </w:rPr>
              <w:t>workflow</w:t>
            </w:r>
            <w:proofErr w:type="spellEnd"/>
            <w:r>
              <w:rPr>
                <w:rFonts w:ascii="Arial" w:eastAsia="Times New Roman" w:hAnsi="Arial" w:cs="Arial"/>
                <w:sz w:val="20"/>
                <w:szCs w:val="20"/>
                <w:lang w:eastAsia="cs-CZ"/>
              </w:rPr>
              <w:t xml:space="preserve"> týkající se ekonomiky, personalistiky – pro všechny uživatele, tj. cca 104 uživatelů (pojmenovaných i současně pracujících) </w:t>
            </w:r>
            <w:r>
              <w:rPr>
                <w:rFonts w:ascii="Arial" w:eastAsia="Times New Roman" w:hAnsi="Arial" w:cs="Arial"/>
                <w:sz w:val="20"/>
                <w:szCs w:val="20"/>
                <w:lang w:eastAsia="cs-CZ"/>
              </w:rPr>
              <w:br/>
              <w:t>- personalizované rozhraní uživatele – pro všechny uživatele, tj. cca 104 uživatelů (pojmenovaných i současně pracujících)</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1.1.</w:t>
            </w:r>
          </w:p>
          <w:p w:rsidR="004B2930" w:rsidRDefault="004E1353">
            <w:pPr>
              <w:spacing w:after="0"/>
            </w:pPr>
            <w:r>
              <w:rPr>
                <w:rFonts w:ascii="Arial" w:eastAsia="Times New Roman" w:hAnsi="Arial" w:cs="Arial"/>
                <w:color w:val="000000"/>
                <w:sz w:val="20"/>
                <w:szCs w:val="20"/>
                <w:lang w:eastAsia="cs-CZ"/>
              </w:rPr>
              <w:t>MÚ</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sz w:val="20"/>
                <w:szCs w:val="20"/>
                <w:lang w:eastAsia="cs-CZ"/>
              </w:rPr>
              <w:t>Systém je výkonově rozšiřitelný až do počtu 250 pojmenovaných uživatelů, z toho až polovina současně aktivně pracujících (</w:t>
            </w:r>
            <w:proofErr w:type="spellStart"/>
            <w:r>
              <w:rPr>
                <w:rFonts w:ascii="Arial" w:eastAsia="Times New Roman" w:hAnsi="Arial" w:cs="Arial"/>
                <w:sz w:val="20"/>
                <w:szCs w:val="20"/>
                <w:lang w:eastAsia="cs-CZ"/>
              </w:rPr>
              <w:t>concurrent</w:t>
            </w:r>
            <w:proofErr w:type="spellEnd"/>
            <w:r>
              <w:rPr>
                <w:rFonts w:ascii="Arial" w:eastAsia="Times New Roman" w:hAnsi="Arial" w:cs="Arial"/>
                <w:sz w:val="20"/>
                <w:szCs w:val="20"/>
                <w:lang w:eastAsia="cs-CZ"/>
              </w:rPr>
              <w:t xml:space="preserve"> user). </w:t>
            </w:r>
          </w:p>
          <w:p w:rsidR="004B2930" w:rsidRDefault="004E1353">
            <w:pPr>
              <w:spacing w:after="0"/>
            </w:pPr>
            <w:r>
              <w:rPr>
                <w:rFonts w:ascii="Arial" w:eastAsia="Times New Roman" w:hAnsi="Arial" w:cs="Arial"/>
                <w:sz w:val="20"/>
                <w:szCs w:val="20"/>
                <w:lang w:eastAsia="cs-CZ"/>
              </w:rPr>
              <w:t xml:space="preserve">Ve stávajícím systému je následující rozdělení uživatelů: </w:t>
            </w:r>
          </w:p>
          <w:p w:rsidR="004B2930" w:rsidRDefault="004E1353">
            <w:pPr>
              <w:spacing w:after="0"/>
            </w:pPr>
            <w:r>
              <w:rPr>
                <w:rFonts w:ascii="Arial" w:eastAsia="Times New Roman" w:hAnsi="Arial" w:cs="Arial"/>
                <w:sz w:val="20"/>
                <w:szCs w:val="20"/>
                <w:lang w:eastAsia="cs-CZ"/>
              </w:rPr>
              <w:t xml:space="preserve">- ekonomika (rozpočetnictví, finance, účetnictví, majetek, zásoby, smlouvy, objednávky, zakázky, cestovní příkazy) – cca 130 uživatelů (pojmenovaných i současně pracujících) </w:t>
            </w:r>
          </w:p>
          <w:p w:rsidR="004B2930" w:rsidRPr="00FA73B1" w:rsidRDefault="004E1353">
            <w:pPr>
              <w:spacing w:after="0"/>
              <w:rPr>
                <w:spacing w:val="-2"/>
              </w:rPr>
            </w:pPr>
            <w:r w:rsidRPr="00FA73B1">
              <w:rPr>
                <w:rFonts w:ascii="Arial" w:eastAsia="Times New Roman" w:hAnsi="Arial" w:cs="Arial"/>
                <w:spacing w:val="-2"/>
                <w:sz w:val="20"/>
                <w:szCs w:val="20"/>
                <w:lang w:eastAsia="cs-CZ"/>
              </w:rPr>
              <w:t>- mzdy a personalist</w:t>
            </w:r>
            <w:r w:rsidR="001A3AED" w:rsidRPr="00FA73B1">
              <w:rPr>
                <w:rFonts w:ascii="Arial" w:eastAsia="Times New Roman" w:hAnsi="Arial" w:cs="Arial"/>
                <w:spacing w:val="-2"/>
                <w:sz w:val="20"/>
                <w:szCs w:val="20"/>
                <w:lang w:eastAsia="cs-CZ"/>
              </w:rPr>
              <w:t>ika – 2 uživatelé (pojmenovaní i současně pracující</w:t>
            </w:r>
            <w:r w:rsidRPr="00FA73B1">
              <w:rPr>
                <w:rFonts w:ascii="Arial" w:eastAsia="Times New Roman" w:hAnsi="Arial" w:cs="Arial"/>
                <w:spacing w:val="-2"/>
                <w:sz w:val="20"/>
                <w:szCs w:val="20"/>
                <w:lang w:eastAsia="cs-CZ"/>
              </w:rPr>
              <w:t xml:space="preserve">), živých kmenových záznamů cca 150 </w:t>
            </w:r>
          </w:p>
          <w:p w:rsidR="004B2930" w:rsidRDefault="004E1353">
            <w:pPr>
              <w:spacing w:after="0"/>
            </w:pPr>
            <w:r>
              <w:rPr>
                <w:rFonts w:ascii="Arial" w:eastAsia="Times New Roman" w:hAnsi="Arial" w:cs="Arial"/>
                <w:sz w:val="20"/>
                <w:szCs w:val="20"/>
                <w:lang w:eastAsia="cs-CZ"/>
              </w:rPr>
              <w:t>- personalizované rozhraní uživatele – pro všechny uživatele, tj. cca 150 uživatelů (pojmenovaných i současně pracujících)</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cantSplit/>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lastRenderedPageBreak/>
              <w:t>1.1.</w:t>
            </w:r>
          </w:p>
          <w:p w:rsidR="004B2930" w:rsidRDefault="004E1353">
            <w:pPr>
              <w:spacing w:after="0"/>
            </w:pPr>
            <w:r>
              <w:rPr>
                <w:rFonts w:ascii="Arial" w:eastAsia="Times New Roman" w:hAnsi="Arial" w:cs="Arial"/>
                <w:color w:val="000000"/>
                <w:sz w:val="20"/>
                <w:szCs w:val="20"/>
                <w:lang w:eastAsia="cs-CZ"/>
              </w:rPr>
              <w:t>OÚ</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sz w:val="20"/>
                <w:szCs w:val="20"/>
                <w:lang w:eastAsia="cs-CZ"/>
              </w:rPr>
              <w:t>Systém je výkonově rozšiřitelný až do počtu 70 pojmenovaných uživatelů, z toho až polovina současně aktivně pracujících (</w:t>
            </w:r>
            <w:proofErr w:type="spellStart"/>
            <w:r>
              <w:rPr>
                <w:rFonts w:ascii="Arial" w:eastAsia="Times New Roman" w:hAnsi="Arial" w:cs="Arial"/>
                <w:sz w:val="20"/>
                <w:szCs w:val="20"/>
                <w:lang w:eastAsia="cs-CZ"/>
              </w:rPr>
              <w:t>concurrent</w:t>
            </w:r>
            <w:proofErr w:type="spellEnd"/>
            <w:r>
              <w:rPr>
                <w:rFonts w:ascii="Arial" w:eastAsia="Times New Roman" w:hAnsi="Arial" w:cs="Arial"/>
                <w:sz w:val="20"/>
                <w:szCs w:val="20"/>
                <w:lang w:eastAsia="cs-CZ"/>
              </w:rPr>
              <w:t xml:space="preserve"> user). </w:t>
            </w:r>
            <w:r>
              <w:rPr>
                <w:rFonts w:ascii="Arial" w:eastAsia="Times New Roman" w:hAnsi="Arial" w:cs="Arial"/>
                <w:sz w:val="20"/>
                <w:szCs w:val="20"/>
                <w:lang w:eastAsia="cs-CZ"/>
              </w:rPr>
              <w:br/>
              <w:t xml:space="preserve">Ve stávajícím systému je následující rozdělení uživatelů: </w:t>
            </w:r>
            <w:r>
              <w:rPr>
                <w:rFonts w:ascii="Arial" w:eastAsia="Times New Roman" w:hAnsi="Arial" w:cs="Arial"/>
                <w:sz w:val="20"/>
                <w:szCs w:val="20"/>
                <w:lang w:eastAsia="cs-CZ"/>
              </w:rPr>
              <w:br/>
              <w:t xml:space="preserve">- ekonomika (rozpočetnictví, finance, účetnictví, majetek, zásoby, smlouvy, objednávky, zakázky, cestovní příkazy) – 3 uživatelé (pojmenovaní i současně pracující) </w:t>
            </w:r>
            <w:r>
              <w:rPr>
                <w:rFonts w:ascii="Arial" w:eastAsia="Times New Roman" w:hAnsi="Arial" w:cs="Arial"/>
                <w:sz w:val="20"/>
                <w:szCs w:val="20"/>
                <w:lang w:eastAsia="cs-CZ"/>
              </w:rPr>
              <w:br/>
              <w:t>- mzdy a personalistika – 2 uživatelé (pojmenovaní i současně pracující), živých kmenových záznamů cca 65</w:t>
            </w:r>
            <w:r>
              <w:rPr>
                <w:rFonts w:ascii="Arial" w:eastAsia="Times New Roman" w:hAnsi="Arial" w:cs="Arial"/>
                <w:sz w:val="20"/>
                <w:szCs w:val="20"/>
                <w:lang w:eastAsia="cs-CZ"/>
              </w:rPr>
              <w:br/>
              <w:t xml:space="preserve">- schvalovací </w:t>
            </w:r>
            <w:proofErr w:type="spellStart"/>
            <w:r>
              <w:rPr>
                <w:rFonts w:ascii="Arial" w:eastAsia="Times New Roman" w:hAnsi="Arial" w:cs="Arial"/>
                <w:sz w:val="20"/>
                <w:szCs w:val="20"/>
                <w:lang w:eastAsia="cs-CZ"/>
              </w:rPr>
              <w:t>workflow</w:t>
            </w:r>
            <w:proofErr w:type="spellEnd"/>
            <w:r>
              <w:rPr>
                <w:rFonts w:ascii="Arial" w:eastAsia="Times New Roman" w:hAnsi="Arial" w:cs="Arial"/>
                <w:sz w:val="20"/>
                <w:szCs w:val="20"/>
                <w:lang w:eastAsia="cs-CZ"/>
              </w:rPr>
              <w:t xml:space="preserve"> týkající se ekonomiky, personalistiky – pro všechny uživatele, tj. cca 35 uživatelů (pojmenovaných i současně pracujících) </w:t>
            </w:r>
            <w:r>
              <w:rPr>
                <w:rFonts w:ascii="Arial" w:eastAsia="Times New Roman" w:hAnsi="Arial" w:cs="Arial"/>
                <w:sz w:val="20"/>
                <w:szCs w:val="20"/>
                <w:lang w:eastAsia="cs-CZ"/>
              </w:rPr>
              <w:br/>
              <w:t>- personalizované rozhraní uživatele – pro všechny uživatele, tj. cca 35 uživatelů (pojmenovaných i současně pracujících)</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cantSplit/>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1.1.</w:t>
            </w:r>
          </w:p>
          <w:p w:rsidR="004B2930" w:rsidRDefault="004E1353">
            <w:pPr>
              <w:spacing w:after="0"/>
            </w:pPr>
            <w:r>
              <w:rPr>
                <w:rFonts w:ascii="Arial" w:eastAsia="Times New Roman" w:hAnsi="Arial" w:cs="Arial"/>
                <w:color w:val="000000"/>
                <w:sz w:val="20"/>
                <w:szCs w:val="20"/>
                <w:lang w:eastAsia="cs-CZ"/>
              </w:rPr>
              <w:t>ÚSP</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sz w:val="20"/>
                <w:szCs w:val="20"/>
                <w:lang w:eastAsia="cs-CZ"/>
              </w:rPr>
              <w:t>Systém je výkonově rozšiřitelný až do počtu 300 pojmenovaných uživatelů, z toho až polovina současně aktivně pracujících (</w:t>
            </w:r>
            <w:proofErr w:type="spellStart"/>
            <w:r>
              <w:rPr>
                <w:rFonts w:ascii="Arial" w:eastAsia="Times New Roman" w:hAnsi="Arial" w:cs="Arial"/>
                <w:sz w:val="20"/>
                <w:szCs w:val="20"/>
                <w:lang w:eastAsia="cs-CZ"/>
              </w:rPr>
              <w:t>concurrent</w:t>
            </w:r>
            <w:proofErr w:type="spellEnd"/>
            <w:r>
              <w:rPr>
                <w:rFonts w:ascii="Arial" w:eastAsia="Times New Roman" w:hAnsi="Arial" w:cs="Arial"/>
                <w:sz w:val="20"/>
                <w:szCs w:val="20"/>
                <w:lang w:eastAsia="cs-CZ"/>
              </w:rPr>
              <w:t xml:space="preserve"> user). </w:t>
            </w:r>
            <w:r>
              <w:rPr>
                <w:rFonts w:ascii="Arial" w:eastAsia="Times New Roman" w:hAnsi="Arial" w:cs="Arial"/>
                <w:sz w:val="20"/>
                <w:szCs w:val="20"/>
                <w:lang w:eastAsia="cs-CZ"/>
              </w:rPr>
              <w:br/>
              <w:t xml:space="preserve">Ve stávajícím systému je následující rozdělení uživatelů: </w:t>
            </w:r>
            <w:r>
              <w:rPr>
                <w:rFonts w:ascii="Arial" w:eastAsia="Times New Roman" w:hAnsi="Arial" w:cs="Arial"/>
                <w:sz w:val="20"/>
                <w:szCs w:val="20"/>
                <w:lang w:eastAsia="cs-CZ"/>
              </w:rPr>
              <w:br/>
              <w:t xml:space="preserve">- ekonomika (rozpočetnictví, finance, účetnictví, majetek, zásoby, smlouvy, objednávky, zakázky, cestovní příkazy) – cca 5 uživatelů (pojmenovaných i současně pracujících) </w:t>
            </w:r>
            <w:r>
              <w:rPr>
                <w:rFonts w:ascii="Arial" w:eastAsia="Times New Roman" w:hAnsi="Arial" w:cs="Arial"/>
                <w:sz w:val="20"/>
                <w:szCs w:val="20"/>
                <w:lang w:eastAsia="cs-CZ"/>
              </w:rPr>
              <w:br/>
            </w:r>
            <w:r w:rsidRPr="00FA73B1">
              <w:rPr>
                <w:rFonts w:ascii="Arial" w:eastAsia="Times New Roman" w:hAnsi="Arial" w:cs="Arial"/>
                <w:spacing w:val="-2"/>
                <w:sz w:val="20"/>
                <w:szCs w:val="20"/>
                <w:lang w:eastAsia="cs-CZ"/>
              </w:rPr>
              <w:t>- mzdy a personalistika – 2 uživatelé (pojmenovaní i současně pracující), živých kmenových záznamů cca 135</w:t>
            </w:r>
            <w:r w:rsidRPr="00FA73B1">
              <w:rPr>
                <w:rFonts w:ascii="Arial" w:eastAsia="Times New Roman" w:hAnsi="Arial" w:cs="Arial"/>
                <w:spacing w:val="-2"/>
                <w:sz w:val="20"/>
                <w:szCs w:val="20"/>
                <w:lang w:eastAsia="cs-CZ"/>
              </w:rPr>
              <w:br/>
            </w:r>
            <w:r>
              <w:rPr>
                <w:rFonts w:ascii="Arial" w:eastAsia="Times New Roman" w:hAnsi="Arial" w:cs="Arial"/>
                <w:sz w:val="20"/>
                <w:szCs w:val="20"/>
                <w:lang w:eastAsia="cs-CZ"/>
              </w:rPr>
              <w:t xml:space="preserve">- schvalovací </w:t>
            </w:r>
            <w:proofErr w:type="spellStart"/>
            <w:r>
              <w:rPr>
                <w:rFonts w:ascii="Arial" w:eastAsia="Times New Roman" w:hAnsi="Arial" w:cs="Arial"/>
                <w:sz w:val="20"/>
                <w:szCs w:val="20"/>
                <w:lang w:eastAsia="cs-CZ"/>
              </w:rPr>
              <w:t>workflow</w:t>
            </w:r>
            <w:proofErr w:type="spellEnd"/>
            <w:r>
              <w:rPr>
                <w:rFonts w:ascii="Arial" w:eastAsia="Times New Roman" w:hAnsi="Arial" w:cs="Arial"/>
                <w:sz w:val="20"/>
                <w:szCs w:val="20"/>
                <w:lang w:eastAsia="cs-CZ"/>
              </w:rPr>
              <w:t xml:space="preserve"> týkající se ekonomiky, personalistiky – pro všechny uživatele, tj. cca 135 uživatelů (pojmenovaných i současně pracujících) </w:t>
            </w:r>
            <w:r>
              <w:rPr>
                <w:rFonts w:ascii="Arial" w:eastAsia="Times New Roman" w:hAnsi="Arial" w:cs="Arial"/>
                <w:sz w:val="20"/>
                <w:szCs w:val="20"/>
                <w:lang w:eastAsia="cs-CZ"/>
              </w:rPr>
              <w:br/>
              <w:t>- spisová služba – 2 uživatelé (pojmenovaní i současně pracující)</w:t>
            </w:r>
          </w:p>
          <w:p w:rsidR="004B2930" w:rsidRDefault="004E1353">
            <w:pPr>
              <w:spacing w:after="0"/>
            </w:pPr>
            <w:r>
              <w:rPr>
                <w:rFonts w:ascii="Arial" w:eastAsia="Times New Roman" w:hAnsi="Arial" w:cs="Arial"/>
                <w:sz w:val="20"/>
                <w:szCs w:val="20"/>
                <w:lang w:eastAsia="cs-CZ"/>
              </w:rPr>
              <w:t>- personalizované rozhraní uživatele – pro všechny uživatele, tj. cca</w:t>
            </w:r>
            <w:r w:rsidR="00FA73B1">
              <w:rPr>
                <w:rFonts w:ascii="Arial" w:eastAsia="Times New Roman" w:hAnsi="Arial" w:cs="Arial"/>
                <w:sz w:val="20"/>
                <w:szCs w:val="20"/>
                <w:lang w:eastAsia="cs-CZ"/>
              </w:rPr>
              <w:t xml:space="preserve"> 135 uživatelů (pojmenovaných i </w:t>
            </w:r>
            <w:r>
              <w:rPr>
                <w:rFonts w:ascii="Arial" w:eastAsia="Times New Roman" w:hAnsi="Arial" w:cs="Arial"/>
                <w:sz w:val="20"/>
                <w:szCs w:val="20"/>
                <w:lang w:eastAsia="cs-CZ"/>
              </w:rPr>
              <w:t>současně pracujících)</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cantSplit/>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1.2.</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Data jednotlivých ústavů jsou zabezpečena proti přístupu z jiného ústavu. Uživatelé z každého ústavu vidí jen data příslušející jejich ústavu. Funkcionalita je pro všechny ústavy společná.</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cantSplit/>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1.3.</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Systém podporuje vícenásobné přihlášení uživatele a jeho práci v systému.</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cantSplit/>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1.4.</w:t>
            </w:r>
          </w:p>
        </w:tc>
        <w:tc>
          <w:tcPr>
            <w:tcW w:w="989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V systému lze pracovat s více současně otevřenými okny.</w:t>
            </w:r>
          </w:p>
        </w:tc>
        <w:tc>
          <w:tcPr>
            <w:tcW w:w="127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jc w:val="center"/>
            </w:pPr>
            <w:r>
              <w:rPr>
                <w:rFonts w:ascii="Arial" w:eastAsia="Times New Roman" w:hAnsi="Arial" w:cs="Arial"/>
                <w:color w:val="000000"/>
                <w:sz w:val="20"/>
                <w:szCs w:val="20"/>
                <w:lang w:eastAsia="cs-CZ"/>
              </w:rPr>
              <w:t>4</w:t>
            </w:r>
          </w:p>
        </w:tc>
        <w:tc>
          <w:tcPr>
            <w:tcW w:w="130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R</w:t>
            </w:r>
          </w:p>
        </w:tc>
      </w:tr>
      <w:tr w:rsidR="004B2930" w:rsidTr="00317C3C">
        <w:trPr>
          <w:cantSplit/>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1.5.</w:t>
            </w:r>
          </w:p>
        </w:tc>
        <w:tc>
          <w:tcPr>
            <w:tcW w:w="989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Uživatelská možnost změny nastavení velikosti zobrazení okna.</w:t>
            </w:r>
          </w:p>
        </w:tc>
        <w:tc>
          <w:tcPr>
            <w:tcW w:w="127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jc w:val="center"/>
            </w:pPr>
            <w:r>
              <w:rPr>
                <w:rFonts w:ascii="Arial" w:eastAsia="Times New Roman" w:hAnsi="Arial" w:cs="Arial"/>
                <w:color w:val="000000"/>
                <w:sz w:val="20"/>
                <w:szCs w:val="20"/>
                <w:lang w:eastAsia="cs-CZ"/>
              </w:rPr>
              <w:t>5</w:t>
            </w:r>
          </w:p>
        </w:tc>
        <w:tc>
          <w:tcPr>
            <w:tcW w:w="130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R</w:t>
            </w:r>
          </w:p>
        </w:tc>
      </w:tr>
      <w:tr w:rsidR="004B2930" w:rsidTr="00317C3C">
        <w:trPr>
          <w:cantSplit/>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1.6.</w:t>
            </w:r>
          </w:p>
          <w:p w:rsidR="004B2930" w:rsidRDefault="004E1353">
            <w:pPr>
              <w:spacing w:after="0"/>
            </w:pPr>
            <w:r>
              <w:rPr>
                <w:rFonts w:ascii="Arial" w:eastAsia="Times New Roman" w:hAnsi="Arial" w:cs="Arial"/>
                <w:color w:val="000000"/>
                <w:sz w:val="20"/>
                <w:szCs w:val="20"/>
                <w:lang w:eastAsia="cs-CZ"/>
              </w:rPr>
              <w:t>ÚČL</w:t>
            </w:r>
          </w:p>
        </w:tc>
        <w:tc>
          <w:tcPr>
            <w:tcW w:w="989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Systém podporuje propojení na jednotnou autentizaci (single sign on).</w:t>
            </w:r>
          </w:p>
        </w:tc>
        <w:tc>
          <w:tcPr>
            <w:tcW w:w="127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jc w:val="center"/>
            </w:pPr>
            <w:r>
              <w:rPr>
                <w:rFonts w:ascii="Arial" w:eastAsia="Times New Roman" w:hAnsi="Arial" w:cs="Arial"/>
                <w:color w:val="000000"/>
                <w:sz w:val="20"/>
                <w:szCs w:val="20"/>
                <w:lang w:eastAsia="cs-CZ"/>
              </w:rPr>
              <w:t>8</w:t>
            </w:r>
          </w:p>
        </w:tc>
        <w:tc>
          <w:tcPr>
            <w:tcW w:w="130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R</w:t>
            </w:r>
          </w:p>
        </w:tc>
      </w:tr>
      <w:tr w:rsidR="004B2930" w:rsidTr="00317C3C">
        <w:trPr>
          <w:cantSplit/>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1.7.</w:t>
            </w:r>
          </w:p>
        </w:tc>
        <w:tc>
          <w:tcPr>
            <w:tcW w:w="989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Systém umožňuje vzdálený přístup uživatelů přes webové rozhraní (detašovaná pracoviště) podle uživatelských oprávnění.</w:t>
            </w:r>
          </w:p>
        </w:tc>
        <w:tc>
          <w:tcPr>
            <w:tcW w:w="127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jc w:val="center"/>
            </w:pPr>
            <w:r>
              <w:rPr>
                <w:rFonts w:ascii="Arial" w:eastAsia="Times New Roman" w:hAnsi="Arial" w:cs="Arial"/>
                <w:color w:val="000000"/>
                <w:sz w:val="20"/>
                <w:szCs w:val="20"/>
                <w:lang w:eastAsia="cs-CZ"/>
              </w:rPr>
              <w:t>5</w:t>
            </w:r>
          </w:p>
        </w:tc>
        <w:tc>
          <w:tcPr>
            <w:tcW w:w="130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R</w:t>
            </w:r>
          </w:p>
        </w:tc>
      </w:tr>
      <w:tr w:rsidR="004B2930" w:rsidTr="00317C3C">
        <w:trPr>
          <w:cantSplit/>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1.8.</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Zajištění provozu ekonomiky (rozpočetnictví, finance, účetnictví, majetek, zásoby, smlouvy, objednávky, zakázky, cestovní příkazy) v reálném čase (okamžitá aktualizace).</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cantSplit/>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1.9.</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Systém umožňuje uchovávat auditní stopu vybraných zásahů, možnost v jakémkoli okamžiku dohledat okolnosti vzniku záznamu, jeho změny. Pro každý záznam v systému existuje historie, jaký uživatel, v jaké části systému, v jakém čase a datu vytvoření/změny provedl.</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cantSplit/>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1.10.</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Číselná řada záznamů v systému přibývá kontinuálně a odstraněním některého ze záznamů není přerušena ani upravena (např. nový doklad nezaplní místo v řadě po smazaném záznamu).</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cantSplit/>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1.11.</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Systém umožňuje provádět hromadné změny nad jednotlivými záznamy a formuláři centrálně dle zvolených parametrů.</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cantSplit/>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lastRenderedPageBreak/>
              <w:t>1.12.</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Nad všemi záznamy, u kterých je vhodné změny v čase sledovat, existuje možnost provádět jejich výběr dle zadaného časového období.</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9</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cantSplit/>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1.13.</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Veškerá data zadávají uživatelé do systému pouze jedenkrát (nezadávají se duplicitně do více částí systému).</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cantSplit/>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1.14.</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Číselníky jsou společné pro různé agendy systému, je možné je plnit jak v rámci konfigurace agendy, tak i při pořizování záznamů.</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cantSplit/>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1.15.</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Ve formulářích jsou automaticky doplňována vybraná data do systému již jednou zadaná (např. z číselníků).</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cantSplit/>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1.16.</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sz w:val="20"/>
                <w:szCs w:val="20"/>
                <w:lang w:eastAsia="cs-CZ"/>
              </w:rPr>
              <w:t xml:space="preserve">Odezva systému vyžadující bezprostřední reakci uživatele (zadávání nebo modifikace údajů, schvalování ve </w:t>
            </w:r>
            <w:proofErr w:type="spellStart"/>
            <w:r>
              <w:rPr>
                <w:rFonts w:ascii="Arial" w:eastAsia="Times New Roman" w:hAnsi="Arial" w:cs="Arial"/>
                <w:sz w:val="20"/>
                <w:szCs w:val="20"/>
                <w:lang w:eastAsia="cs-CZ"/>
              </w:rPr>
              <w:t>workflow</w:t>
            </w:r>
            <w:proofErr w:type="spellEnd"/>
            <w:r>
              <w:rPr>
                <w:rFonts w:ascii="Arial" w:eastAsia="Times New Roman" w:hAnsi="Arial" w:cs="Arial"/>
                <w:sz w:val="20"/>
                <w:szCs w:val="20"/>
                <w:lang w:eastAsia="cs-CZ"/>
              </w:rPr>
              <w:t>) je kratší než 5 sec. Delší doba odezvy je přípustná při vytváření rozsáhlých sestav.</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cantSplit/>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1.17.</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Dokumenty jsou uloženy na jednom místě, ale jsou dostupné ze všech systémových částí.</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cantSplit/>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1.18.</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Možnost vytváření individuálních uživatelských filtrů.</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cantSplit/>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1.19.</w:t>
            </w:r>
          </w:p>
          <w:p w:rsidR="004B2930" w:rsidRDefault="004E1353">
            <w:pPr>
              <w:spacing w:after="0"/>
            </w:pPr>
            <w:r>
              <w:rPr>
                <w:rFonts w:ascii="Arial" w:eastAsia="Times New Roman" w:hAnsi="Arial" w:cs="Arial"/>
                <w:color w:val="000000"/>
                <w:sz w:val="20"/>
                <w:szCs w:val="20"/>
                <w:lang w:eastAsia="cs-CZ"/>
              </w:rPr>
              <w:t>OÚ</w:t>
            </w:r>
          </w:p>
        </w:tc>
        <w:tc>
          <w:tcPr>
            <w:tcW w:w="989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Možnost administrátorských SQL dotazů nad datovými zdroji systému a možnost jejich uložení.</w:t>
            </w:r>
          </w:p>
        </w:tc>
        <w:tc>
          <w:tcPr>
            <w:tcW w:w="127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jc w:val="center"/>
            </w:pPr>
            <w:r>
              <w:rPr>
                <w:rFonts w:ascii="Arial" w:eastAsia="Times New Roman" w:hAnsi="Arial" w:cs="Arial"/>
                <w:color w:val="000000"/>
                <w:sz w:val="20"/>
                <w:szCs w:val="20"/>
                <w:lang w:eastAsia="cs-CZ"/>
              </w:rPr>
              <w:t>5</w:t>
            </w:r>
          </w:p>
        </w:tc>
        <w:tc>
          <w:tcPr>
            <w:tcW w:w="130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R</w:t>
            </w:r>
          </w:p>
        </w:tc>
      </w:tr>
      <w:tr w:rsidR="004B2930" w:rsidTr="00317C3C">
        <w:trPr>
          <w:cantSplit/>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1.20.</w:t>
            </w:r>
          </w:p>
        </w:tc>
        <w:tc>
          <w:tcPr>
            <w:tcW w:w="989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 xml:space="preserve">Možnost personifikace systému (skrýt nevyužívané formuláře a tiskové sestavy, změna schématu, změna velikosti zobrazení systému, změna názvů parametrů). </w:t>
            </w:r>
          </w:p>
        </w:tc>
        <w:tc>
          <w:tcPr>
            <w:tcW w:w="127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jc w:val="center"/>
            </w:pPr>
            <w:r>
              <w:rPr>
                <w:rFonts w:ascii="Arial" w:eastAsia="Times New Roman" w:hAnsi="Arial" w:cs="Arial"/>
                <w:color w:val="000000"/>
                <w:sz w:val="20"/>
                <w:szCs w:val="20"/>
                <w:lang w:eastAsia="cs-CZ"/>
              </w:rPr>
              <w:t>6</w:t>
            </w:r>
          </w:p>
        </w:tc>
        <w:tc>
          <w:tcPr>
            <w:tcW w:w="130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R</w:t>
            </w:r>
          </w:p>
        </w:tc>
      </w:tr>
      <w:tr w:rsidR="004B2930" w:rsidTr="00317C3C">
        <w:trPr>
          <w:cantSplit/>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1.21.</w:t>
            </w:r>
          </w:p>
        </w:tc>
        <w:tc>
          <w:tcPr>
            <w:tcW w:w="989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Chybové hlášky v systému jsou přeloženy do podoby srozumitelné uživateli (</w:t>
            </w:r>
            <w:proofErr w:type="gramStart"/>
            <w:r>
              <w:rPr>
                <w:rFonts w:ascii="Arial" w:eastAsia="Times New Roman" w:hAnsi="Arial" w:cs="Arial"/>
                <w:color w:val="000000"/>
                <w:sz w:val="20"/>
                <w:szCs w:val="20"/>
                <w:lang w:eastAsia="cs-CZ"/>
              </w:rPr>
              <w:t>tzn. neobjevují</w:t>
            </w:r>
            <w:proofErr w:type="gramEnd"/>
            <w:r>
              <w:rPr>
                <w:rFonts w:ascii="Arial" w:eastAsia="Times New Roman" w:hAnsi="Arial" w:cs="Arial"/>
                <w:color w:val="000000"/>
                <w:sz w:val="20"/>
                <w:szCs w:val="20"/>
                <w:lang w:eastAsia="cs-CZ"/>
              </w:rPr>
              <w:t xml:space="preserve"> se části kódu apod.).</w:t>
            </w:r>
          </w:p>
        </w:tc>
        <w:tc>
          <w:tcPr>
            <w:tcW w:w="127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jc w:val="center"/>
            </w:pPr>
            <w:r>
              <w:rPr>
                <w:rFonts w:ascii="Arial" w:eastAsia="Times New Roman" w:hAnsi="Arial" w:cs="Arial"/>
                <w:color w:val="000000"/>
                <w:sz w:val="20"/>
                <w:szCs w:val="20"/>
                <w:lang w:eastAsia="cs-CZ"/>
              </w:rPr>
              <w:t>8</w:t>
            </w:r>
          </w:p>
        </w:tc>
        <w:tc>
          <w:tcPr>
            <w:tcW w:w="130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R</w:t>
            </w:r>
          </w:p>
        </w:tc>
      </w:tr>
      <w:tr w:rsidR="004B2930" w:rsidTr="00317C3C">
        <w:trPr>
          <w:cantSplit/>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1.22.</w:t>
            </w:r>
          </w:p>
        </w:tc>
        <w:tc>
          <w:tcPr>
            <w:tcW w:w="989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 xml:space="preserve">Systém je možné provozovat volitelně s databází </w:t>
            </w:r>
            <w:proofErr w:type="spellStart"/>
            <w:r>
              <w:rPr>
                <w:rFonts w:ascii="Arial" w:eastAsia="Times New Roman" w:hAnsi="Arial" w:cs="Arial"/>
                <w:color w:val="000000"/>
                <w:sz w:val="20"/>
                <w:szCs w:val="20"/>
                <w:lang w:eastAsia="cs-CZ"/>
              </w:rPr>
              <w:t>Oracle</w:t>
            </w:r>
            <w:proofErr w:type="spellEnd"/>
            <w:r>
              <w:rPr>
                <w:rFonts w:ascii="Arial" w:eastAsia="Times New Roman" w:hAnsi="Arial" w:cs="Arial"/>
                <w:color w:val="000000"/>
                <w:sz w:val="20"/>
                <w:szCs w:val="20"/>
                <w:lang w:eastAsia="cs-CZ"/>
              </w:rPr>
              <w:t xml:space="preserve"> nebo Microsoft SQL server.</w:t>
            </w:r>
          </w:p>
        </w:tc>
        <w:tc>
          <w:tcPr>
            <w:tcW w:w="127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jc w:val="center"/>
            </w:pPr>
            <w:r>
              <w:rPr>
                <w:rFonts w:ascii="Arial" w:eastAsia="Times New Roman" w:hAnsi="Arial" w:cs="Arial"/>
                <w:color w:val="000000"/>
                <w:sz w:val="20"/>
                <w:szCs w:val="20"/>
                <w:lang w:eastAsia="cs-CZ"/>
              </w:rPr>
              <w:t>10</w:t>
            </w:r>
          </w:p>
        </w:tc>
        <w:tc>
          <w:tcPr>
            <w:tcW w:w="130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R</w:t>
            </w:r>
          </w:p>
        </w:tc>
      </w:tr>
      <w:tr w:rsidR="004B2930" w:rsidTr="005365F3">
        <w:trPr>
          <w:cantSplit/>
          <w:trHeight w:val="340"/>
        </w:trPr>
        <w:tc>
          <w:tcPr>
            <w:tcW w:w="15521" w:type="dxa"/>
            <w:gridSpan w:val="6"/>
            <w:shd w:val="clear" w:color="auto" w:fill="auto"/>
            <w:vAlign w:val="bottom"/>
          </w:tcPr>
          <w:p w:rsidR="004B2930" w:rsidRDefault="004E1353">
            <w:pPr>
              <w:spacing w:after="0"/>
            </w:pPr>
            <w:r>
              <w:rPr>
                <w:rFonts w:ascii="Arial" w:eastAsia="Times New Roman" w:hAnsi="Arial" w:cs="Arial"/>
                <w:b/>
                <w:bCs/>
                <w:color w:val="000000"/>
                <w:sz w:val="20"/>
                <w:szCs w:val="20"/>
                <w:lang w:eastAsia="cs-CZ"/>
              </w:rPr>
              <w:t xml:space="preserve">Požadavky na </w:t>
            </w:r>
            <w:proofErr w:type="spellStart"/>
            <w:r>
              <w:rPr>
                <w:rFonts w:ascii="Arial" w:eastAsia="Times New Roman" w:hAnsi="Arial" w:cs="Arial"/>
                <w:b/>
                <w:bCs/>
                <w:color w:val="000000"/>
                <w:sz w:val="20"/>
                <w:szCs w:val="20"/>
                <w:lang w:eastAsia="cs-CZ"/>
              </w:rPr>
              <w:t>workflow</w:t>
            </w:r>
            <w:proofErr w:type="spellEnd"/>
            <w:r>
              <w:rPr>
                <w:rFonts w:ascii="Arial" w:eastAsia="Times New Roman" w:hAnsi="Arial" w:cs="Arial"/>
                <w:b/>
                <w:bCs/>
                <w:color w:val="000000"/>
                <w:sz w:val="20"/>
                <w:szCs w:val="20"/>
                <w:lang w:eastAsia="cs-CZ"/>
              </w:rPr>
              <w:t xml:space="preserve"> </w:t>
            </w:r>
          </w:p>
        </w:tc>
      </w:tr>
      <w:tr w:rsidR="004B2930" w:rsidTr="00317C3C">
        <w:trPr>
          <w:cantSplit/>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1.23.</w:t>
            </w:r>
          </w:p>
        </w:tc>
        <w:tc>
          <w:tcPr>
            <w:tcW w:w="989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 xml:space="preserve">Nástroje pro definici, parametrizaci a úpravu </w:t>
            </w:r>
            <w:proofErr w:type="spellStart"/>
            <w:r>
              <w:rPr>
                <w:rFonts w:ascii="Arial" w:eastAsia="Times New Roman" w:hAnsi="Arial" w:cs="Arial"/>
                <w:color w:val="000000"/>
                <w:sz w:val="20"/>
                <w:szCs w:val="20"/>
                <w:lang w:eastAsia="cs-CZ"/>
              </w:rPr>
              <w:t>workflow</w:t>
            </w:r>
            <w:proofErr w:type="spellEnd"/>
            <w:r>
              <w:rPr>
                <w:rFonts w:ascii="Arial" w:eastAsia="Times New Roman" w:hAnsi="Arial" w:cs="Arial"/>
                <w:color w:val="000000"/>
                <w:sz w:val="20"/>
                <w:szCs w:val="20"/>
                <w:lang w:eastAsia="cs-CZ"/>
              </w:rPr>
              <w:t xml:space="preserve"> jsou součástí systému.</w:t>
            </w:r>
          </w:p>
        </w:tc>
        <w:tc>
          <w:tcPr>
            <w:tcW w:w="127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jc w:val="center"/>
            </w:pPr>
            <w:r>
              <w:rPr>
                <w:rFonts w:ascii="Arial" w:eastAsia="Times New Roman" w:hAnsi="Arial" w:cs="Arial"/>
                <w:color w:val="000000"/>
                <w:sz w:val="20"/>
                <w:szCs w:val="20"/>
                <w:lang w:eastAsia="cs-CZ"/>
              </w:rPr>
              <w:t>10</w:t>
            </w:r>
          </w:p>
        </w:tc>
        <w:tc>
          <w:tcPr>
            <w:tcW w:w="130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R</w:t>
            </w:r>
          </w:p>
        </w:tc>
      </w:tr>
      <w:tr w:rsidR="004B2930" w:rsidTr="00317C3C">
        <w:trPr>
          <w:cantSplit/>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1.24.</w:t>
            </w:r>
          </w:p>
        </w:tc>
        <w:tc>
          <w:tcPr>
            <w:tcW w:w="989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proofErr w:type="spellStart"/>
            <w:r>
              <w:rPr>
                <w:rFonts w:ascii="Arial" w:eastAsia="Times New Roman" w:hAnsi="Arial" w:cs="Arial"/>
                <w:color w:val="000000"/>
                <w:sz w:val="20"/>
                <w:szCs w:val="20"/>
                <w:lang w:eastAsia="cs-CZ"/>
              </w:rPr>
              <w:t>Workflow</w:t>
            </w:r>
            <w:proofErr w:type="spellEnd"/>
            <w:r>
              <w:rPr>
                <w:rFonts w:ascii="Arial" w:eastAsia="Times New Roman" w:hAnsi="Arial" w:cs="Arial"/>
                <w:color w:val="000000"/>
                <w:sz w:val="20"/>
                <w:szCs w:val="20"/>
                <w:lang w:eastAsia="cs-CZ"/>
              </w:rPr>
              <w:t xml:space="preserve"> je možné definovat pro oddělení, část systému a proces individuálně, a je možné jej průběžně přizpůsobovat měnícím se potřebám zadavatele.</w:t>
            </w:r>
          </w:p>
        </w:tc>
        <w:tc>
          <w:tcPr>
            <w:tcW w:w="127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jc w:val="center"/>
            </w:pPr>
            <w:r>
              <w:rPr>
                <w:rFonts w:ascii="Arial" w:eastAsia="Times New Roman" w:hAnsi="Arial" w:cs="Arial"/>
                <w:color w:val="000000"/>
                <w:sz w:val="20"/>
                <w:szCs w:val="20"/>
                <w:lang w:eastAsia="cs-CZ"/>
              </w:rPr>
              <w:t>2</w:t>
            </w:r>
          </w:p>
        </w:tc>
        <w:tc>
          <w:tcPr>
            <w:tcW w:w="130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R</w:t>
            </w:r>
          </w:p>
        </w:tc>
      </w:tr>
      <w:tr w:rsidR="004B2930" w:rsidTr="00317C3C">
        <w:trPr>
          <w:cantSplit/>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1.25.</w:t>
            </w:r>
          </w:p>
        </w:tc>
        <w:tc>
          <w:tcPr>
            <w:tcW w:w="989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proofErr w:type="spellStart"/>
            <w:r>
              <w:rPr>
                <w:rFonts w:ascii="Arial" w:eastAsia="Times New Roman" w:hAnsi="Arial" w:cs="Arial"/>
                <w:color w:val="000000"/>
                <w:sz w:val="20"/>
                <w:szCs w:val="20"/>
                <w:lang w:eastAsia="cs-CZ"/>
              </w:rPr>
              <w:t>Workflow</w:t>
            </w:r>
            <w:proofErr w:type="spellEnd"/>
            <w:r>
              <w:rPr>
                <w:rFonts w:ascii="Arial" w:eastAsia="Times New Roman" w:hAnsi="Arial" w:cs="Arial"/>
                <w:color w:val="000000"/>
                <w:sz w:val="20"/>
                <w:szCs w:val="20"/>
                <w:lang w:eastAsia="cs-CZ"/>
              </w:rPr>
              <w:t xml:space="preserve"> podporuje použití elektronického podpisu (i zaručeného), přičemž jeho použití je možné v rámci definice omezit pouze na oddělení, část systému a proces.</w:t>
            </w:r>
          </w:p>
        </w:tc>
        <w:tc>
          <w:tcPr>
            <w:tcW w:w="127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jc w:val="center"/>
            </w:pPr>
            <w:r>
              <w:rPr>
                <w:rFonts w:ascii="Arial" w:eastAsia="Times New Roman" w:hAnsi="Arial" w:cs="Arial"/>
                <w:color w:val="000000"/>
                <w:sz w:val="20"/>
                <w:szCs w:val="20"/>
                <w:lang w:eastAsia="cs-CZ"/>
              </w:rPr>
              <w:t>10</w:t>
            </w:r>
          </w:p>
        </w:tc>
        <w:tc>
          <w:tcPr>
            <w:tcW w:w="130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R</w:t>
            </w:r>
          </w:p>
        </w:tc>
      </w:tr>
      <w:tr w:rsidR="004B2930" w:rsidTr="00317C3C">
        <w:trPr>
          <w:cantSplit/>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1.26.</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proofErr w:type="spellStart"/>
            <w:r>
              <w:rPr>
                <w:rFonts w:ascii="Arial" w:eastAsia="Times New Roman" w:hAnsi="Arial" w:cs="Arial"/>
                <w:color w:val="000000"/>
                <w:sz w:val="20"/>
                <w:szCs w:val="20"/>
                <w:lang w:eastAsia="cs-CZ"/>
              </w:rPr>
              <w:t>Workflow</w:t>
            </w:r>
            <w:proofErr w:type="spellEnd"/>
            <w:r>
              <w:rPr>
                <w:rFonts w:ascii="Arial" w:eastAsia="Times New Roman" w:hAnsi="Arial" w:cs="Arial"/>
                <w:color w:val="000000"/>
                <w:sz w:val="20"/>
                <w:szCs w:val="20"/>
                <w:lang w:eastAsia="cs-CZ"/>
              </w:rPr>
              <w:t xml:space="preserve"> v systému pracuje s definovaným pořadím, platností, finančními limity a přiřazenými rolemi (funkcemi) schvalovatelů, případně dalšími atributy relevantními pro průběh </w:t>
            </w:r>
            <w:proofErr w:type="spellStart"/>
            <w:r>
              <w:rPr>
                <w:rFonts w:ascii="Arial" w:eastAsia="Times New Roman" w:hAnsi="Arial" w:cs="Arial"/>
                <w:color w:val="000000"/>
                <w:sz w:val="20"/>
                <w:szCs w:val="20"/>
                <w:lang w:eastAsia="cs-CZ"/>
              </w:rPr>
              <w:t>workflow</w:t>
            </w:r>
            <w:proofErr w:type="spellEnd"/>
            <w:r>
              <w:rPr>
                <w:rFonts w:ascii="Arial" w:eastAsia="Times New Roman" w:hAnsi="Arial" w:cs="Arial"/>
                <w:color w:val="000000"/>
                <w:sz w:val="20"/>
                <w:szCs w:val="20"/>
                <w:lang w:eastAsia="cs-CZ"/>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cantSplit/>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1.27.</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 xml:space="preserve">Ve </w:t>
            </w:r>
            <w:proofErr w:type="spellStart"/>
            <w:proofErr w:type="gramStart"/>
            <w:r>
              <w:rPr>
                <w:rFonts w:ascii="Arial" w:eastAsia="Times New Roman" w:hAnsi="Arial" w:cs="Arial"/>
                <w:color w:val="000000"/>
                <w:sz w:val="20"/>
                <w:szCs w:val="20"/>
                <w:lang w:eastAsia="cs-CZ"/>
              </w:rPr>
              <w:t>workflow</w:t>
            </w:r>
            <w:proofErr w:type="spellEnd"/>
            <w:proofErr w:type="gramEnd"/>
            <w:r>
              <w:rPr>
                <w:rFonts w:ascii="Arial" w:eastAsia="Times New Roman" w:hAnsi="Arial" w:cs="Arial"/>
                <w:color w:val="000000"/>
                <w:sz w:val="20"/>
                <w:szCs w:val="20"/>
                <w:lang w:eastAsia="cs-CZ"/>
              </w:rPr>
              <w:t xml:space="preserve"> je v případě nedostupnosti schvalovatele automaticky nastaven jeho zástupce podle stanovených rolí. V případě nečinnost i schvalovatele ve </w:t>
            </w:r>
            <w:proofErr w:type="spellStart"/>
            <w:proofErr w:type="gramStart"/>
            <w:r>
              <w:rPr>
                <w:rFonts w:ascii="Arial" w:eastAsia="Times New Roman" w:hAnsi="Arial" w:cs="Arial"/>
                <w:color w:val="000000"/>
                <w:sz w:val="20"/>
                <w:szCs w:val="20"/>
                <w:lang w:eastAsia="cs-CZ"/>
              </w:rPr>
              <w:t>workflow</w:t>
            </w:r>
            <w:proofErr w:type="spellEnd"/>
            <w:proofErr w:type="gramEnd"/>
            <w:r>
              <w:rPr>
                <w:rFonts w:ascii="Arial" w:eastAsia="Times New Roman" w:hAnsi="Arial" w:cs="Arial"/>
                <w:color w:val="000000"/>
                <w:sz w:val="20"/>
                <w:szCs w:val="20"/>
                <w:lang w:eastAsia="cs-CZ"/>
              </w:rPr>
              <w:t xml:space="preserve"> je nastaven časový limit a v případě jeho překročení je </w:t>
            </w:r>
            <w:proofErr w:type="spellStart"/>
            <w:r>
              <w:rPr>
                <w:rFonts w:ascii="Arial" w:eastAsia="Times New Roman" w:hAnsi="Arial" w:cs="Arial"/>
                <w:color w:val="000000"/>
                <w:sz w:val="20"/>
                <w:szCs w:val="20"/>
                <w:lang w:eastAsia="cs-CZ"/>
              </w:rPr>
              <w:t>workflow</w:t>
            </w:r>
            <w:proofErr w:type="spellEnd"/>
            <w:r>
              <w:rPr>
                <w:rFonts w:ascii="Arial" w:eastAsia="Times New Roman" w:hAnsi="Arial" w:cs="Arial"/>
                <w:color w:val="000000"/>
                <w:sz w:val="20"/>
                <w:szCs w:val="20"/>
                <w:lang w:eastAsia="cs-CZ"/>
              </w:rPr>
              <w:t xml:space="preserve"> přesměrováno na zástupce v pořadí.</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cantSplit/>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1.28.</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 xml:space="preserve">Oprávněná osoba může změnit schvalovatele ve </w:t>
            </w:r>
            <w:proofErr w:type="spellStart"/>
            <w:r>
              <w:rPr>
                <w:rFonts w:ascii="Arial" w:eastAsia="Times New Roman" w:hAnsi="Arial" w:cs="Arial"/>
                <w:color w:val="000000"/>
                <w:sz w:val="20"/>
                <w:szCs w:val="20"/>
                <w:lang w:eastAsia="cs-CZ"/>
              </w:rPr>
              <w:t>workflow</w:t>
            </w:r>
            <w:proofErr w:type="spellEnd"/>
            <w:r>
              <w:rPr>
                <w:rFonts w:ascii="Arial" w:eastAsia="Times New Roman" w:hAnsi="Arial" w:cs="Arial"/>
                <w:color w:val="000000"/>
                <w:sz w:val="20"/>
                <w:szCs w:val="20"/>
                <w:lang w:eastAsia="cs-CZ"/>
              </w:rPr>
              <w:t xml:space="preserve"> na konkrétní doklad/doklady (hromadná změna).</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cantSplit/>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1.29.</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 xml:space="preserve">V rámci postupů </w:t>
            </w:r>
            <w:proofErr w:type="spellStart"/>
            <w:r>
              <w:rPr>
                <w:rFonts w:ascii="Arial" w:eastAsia="Times New Roman" w:hAnsi="Arial" w:cs="Arial"/>
                <w:color w:val="000000"/>
                <w:sz w:val="20"/>
                <w:szCs w:val="20"/>
                <w:lang w:eastAsia="cs-CZ"/>
              </w:rPr>
              <w:t>workflow</w:t>
            </w:r>
            <w:proofErr w:type="spellEnd"/>
            <w:r>
              <w:rPr>
                <w:rFonts w:ascii="Arial" w:eastAsia="Times New Roman" w:hAnsi="Arial" w:cs="Arial"/>
                <w:color w:val="000000"/>
                <w:sz w:val="20"/>
                <w:szCs w:val="20"/>
                <w:lang w:eastAsia="cs-CZ"/>
              </w:rPr>
              <w:t xml:space="preserve"> jsou odesílány e-mailové notifikace osobám účastnícím se procesů dle definice a pravidel v nastavení </w:t>
            </w:r>
            <w:proofErr w:type="spellStart"/>
            <w:r>
              <w:rPr>
                <w:rFonts w:ascii="Arial" w:eastAsia="Times New Roman" w:hAnsi="Arial" w:cs="Arial"/>
                <w:color w:val="000000"/>
                <w:sz w:val="20"/>
                <w:szCs w:val="20"/>
                <w:lang w:eastAsia="cs-CZ"/>
              </w:rPr>
              <w:t>workflow</w:t>
            </w:r>
            <w:proofErr w:type="spellEnd"/>
            <w:r>
              <w:rPr>
                <w:rFonts w:ascii="Arial" w:eastAsia="Times New Roman" w:hAnsi="Arial" w:cs="Arial"/>
                <w:color w:val="000000"/>
                <w:sz w:val="20"/>
                <w:szCs w:val="20"/>
                <w:lang w:eastAsia="cs-CZ"/>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cantSplit/>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1.30.</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 xml:space="preserve">Schvalování kroků ve </w:t>
            </w:r>
            <w:proofErr w:type="spellStart"/>
            <w:r>
              <w:rPr>
                <w:rFonts w:ascii="Arial" w:eastAsia="Times New Roman" w:hAnsi="Arial" w:cs="Arial"/>
                <w:color w:val="000000"/>
                <w:sz w:val="20"/>
                <w:szCs w:val="20"/>
                <w:lang w:eastAsia="cs-CZ"/>
              </w:rPr>
              <w:t>workflow</w:t>
            </w:r>
            <w:proofErr w:type="spellEnd"/>
            <w:r>
              <w:rPr>
                <w:rFonts w:ascii="Arial" w:eastAsia="Times New Roman" w:hAnsi="Arial" w:cs="Arial"/>
                <w:color w:val="000000"/>
                <w:sz w:val="20"/>
                <w:szCs w:val="20"/>
                <w:lang w:eastAsia="cs-CZ"/>
              </w:rPr>
              <w:t xml:space="preserve"> musí být umožněno i při nepřítomnosti schvalovatele na svém pracovišti přes webový prohlížeč</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5365F3">
        <w:trPr>
          <w:cantSplit/>
          <w:trHeight w:val="340"/>
        </w:trPr>
        <w:tc>
          <w:tcPr>
            <w:tcW w:w="15521" w:type="dxa"/>
            <w:gridSpan w:val="6"/>
            <w:tcBorders>
              <w:bottom w:val="single" w:sz="4" w:space="0" w:color="000000"/>
            </w:tcBorders>
            <w:shd w:val="clear" w:color="auto" w:fill="auto"/>
            <w:vAlign w:val="bottom"/>
          </w:tcPr>
          <w:p w:rsidR="004B2930" w:rsidRDefault="004E1353">
            <w:pPr>
              <w:spacing w:after="0"/>
            </w:pPr>
            <w:r>
              <w:rPr>
                <w:rFonts w:ascii="Arial" w:eastAsia="Times New Roman" w:hAnsi="Arial" w:cs="Arial"/>
                <w:b/>
                <w:bCs/>
                <w:color w:val="000000"/>
                <w:sz w:val="20"/>
                <w:szCs w:val="20"/>
                <w:lang w:eastAsia="cs-CZ"/>
              </w:rPr>
              <w:t>Výstupy a vstupy </w:t>
            </w:r>
          </w:p>
        </w:tc>
      </w:tr>
      <w:tr w:rsidR="004B2930" w:rsidTr="00317C3C">
        <w:trPr>
          <w:cantSplit/>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1.31.</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Podpora výstupů do CSÚIS (pomocný konsolidační přehled, měsíční přehled o příjmech a výdajích). Možnost jejich modifikace před předáním do CSÚIS.</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cantSplit/>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lastRenderedPageBreak/>
              <w:t>1.32.</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Podpora elektronických výstupů pro zpracování přes portály veřejné správy – portál ČSSZ, portály zdravotních pojišťoven, daňový portál, portál ČSÚ (Podpora výstupů pro potřeby statistického zjišťování dle zákona č. 89/1995 Sb. o státní statistické službě).</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cantSplit/>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1.33.</w:t>
            </w:r>
          </w:p>
        </w:tc>
        <w:tc>
          <w:tcPr>
            <w:tcW w:w="989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Uživatelská modifikace tiskových výstupů podle nastavení filtrů s možností uložení a sdílení takto individualizovaných tiskových sestav. Možnosti exportu a hromadného exportu ze systému do souboru/více souborů se standardně podporovanými formáty (TXT, CSV, PDF, XLS, XLSX, XML, DOC, DOCX). Exportovaná sestava musí obsahovat odpovídající formáty pro další práci v kancelářských systémech (čísla odpovídají číslům, neobjevují se nadbytečné mezery či znaky).</w:t>
            </w:r>
          </w:p>
        </w:tc>
        <w:tc>
          <w:tcPr>
            <w:tcW w:w="127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jc w:val="center"/>
            </w:pPr>
            <w:r>
              <w:rPr>
                <w:rFonts w:ascii="Arial" w:eastAsia="Times New Roman" w:hAnsi="Arial" w:cs="Arial"/>
                <w:color w:val="000000"/>
                <w:sz w:val="20"/>
                <w:szCs w:val="20"/>
                <w:lang w:eastAsia="cs-CZ"/>
              </w:rPr>
              <w:t>8</w:t>
            </w:r>
          </w:p>
        </w:tc>
        <w:tc>
          <w:tcPr>
            <w:tcW w:w="130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R</w:t>
            </w:r>
          </w:p>
        </w:tc>
      </w:tr>
      <w:tr w:rsidR="004B2930" w:rsidTr="005365F3">
        <w:trPr>
          <w:cantSplit/>
          <w:trHeight w:val="340"/>
        </w:trPr>
        <w:tc>
          <w:tcPr>
            <w:tcW w:w="15521" w:type="dxa"/>
            <w:gridSpan w:val="6"/>
            <w:shd w:val="clear" w:color="auto" w:fill="auto"/>
            <w:vAlign w:val="bottom"/>
          </w:tcPr>
          <w:p w:rsidR="004B2930" w:rsidRDefault="004E1353">
            <w:pPr>
              <w:spacing w:after="0"/>
            </w:pPr>
            <w:r>
              <w:rPr>
                <w:rFonts w:ascii="Arial" w:eastAsia="Times New Roman" w:hAnsi="Arial" w:cs="Arial"/>
                <w:b/>
                <w:bCs/>
                <w:color w:val="000000"/>
                <w:sz w:val="20"/>
                <w:szCs w:val="20"/>
                <w:lang w:eastAsia="cs-CZ"/>
              </w:rPr>
              <w:t>Lokalizace </w:t>
            </w:r>
          </w:p>
        </w:tc>
      </w:tr>
      <w:tr w:rsidR="004B2930" w:rsidTr="00317C3C">
        <w:trPr>
          <w:cantSplit/>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1.34.</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Plná česká lokalizace provozního prostředí využívaného koncovými uživateli (obrazovky, nápověda). Primárním jazykem pro vstup dat je český jazyk.</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cantSplit/>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1.35.</w:t>
            </w:r>
          </w:p>
        </w:tc>
        <w:tc>
          <w:tcPr>
            <w:tcW w:w="989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 xml:space="preserve">Možnost přepnutí do anglického jazyka u schvalovacích </w:t>
            </w:r>
            <w:proofErr w:type="spellStart"/>
            <w:r>
              <w:rPr>
                <w:rFonts w:ascii="Arial" w:eastAsia="Times New Roman" w:hAnsi="Arial" w:cs="Arial"/>
                <w:color w:val="000000"/>
                <w:sz w:val="20"/>
                <w:szCs w:val="20"/>
                <w:lang w:eastAsia="cs-CZ"/>
              </w:rPr>
              <w:t>workflow</w:t>
            </w:r>
            <w:proofErr w:type="spellEnd"/>
            <w:r>
              <w:rPr>
                <w:rFonts w:ascii="Arial" w:eastAsia="Times New Roman" w:hAnsi="Arial" w:cs="Arial"/>
                <w:color w:val="000000"/>
                <w:sz w:val="20"/>
                <w:szCs w:val="20"/>
                <w:lang w:eastAsia="cs-CZ"/>
              </w:rPr>
              <w:t>, personalizovaného rozhraní uživatele a manažerské nadstavby.</w:t>
            </w:r>
          </w:p>
        </w:tc>
        <w:tc>
          <w:tcPr>
            <w:tcW w:w="127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jc w:val="center"/>
            </w:pPr>
            <w:r>
              <w:rPr>
                <w:rFonts w:ascii="Arial" w:eastAsia="Times New Roman" w:hAnsi="Arial" w:cs="Arial"/>
                <w:color w:val="000000"/>
                <w:sz w:val="20"/>
                <w:szCs w:val="20"/>
                <w:lang w:eastAsia="cs-CZ"/>
              </w:rPr>
              <w:t>10</w:t>
            </w:r>
          </w:p>
        </w:tc>
        <w:tc>
          <w:tcPr>
            <w:tcW w:w="130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R</w:t>
            </w:r>
          </w:p>
        </w:tc>
      </w:tr>
      <w:tr w:rsidR="004B2930" w:rsidTr="00317C3C">
        <w:trPr>
          <w:cantSplit/>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1.36.</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Kontextová nápověda v českém jazyce upravená po každém upgrade dle aktuálního stavu.</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5365F3">
        <w:trPr>
          <w:cantSplit/>
          <w:trHeight w:val="340"/>
        </w:trPr>
        <w:tc>
          <w:tcPr>
            <w:tcW w:w="15521" w:type="dxa"/>
            <w:gridSpan w:val="6"/>
            <w:shd w:val="clear" w:color="auto" w:fill="auto"/>
            <w:vAlign w:val="bottom"/>
          </w:tcPr>
          <w:p w:rsidR="004B2930" w:rsidRDefault="004E1353">
            <w:pPr>
              <w:spacing w:after="0"/>
            </w:pPr>
            <w:r>
              <w:rPr>
                <w:rFonts w:ascii="Arial" w:eastAsia="Times New Roman" w:hAnsi="Arial" w:cs="Arial"/>
                <w:b/>
                <w:bCs/>
                <w:color w:val="000000"/>
                <w:sz w:val="20"/>
                <w:szCs w:val="20"/>
                <w:lang w:eastAsia="cs-CZ"/>
              </w:rPr>
              <w:t>Nastavitelnost rozhraní, systému, vyhledávání</w:t>
            </w:r>
          </w:p>
        </w:tc>
      </w:tr>
      <w:tr w:rsidR="004B2930" w:rsidTr="00317C3C">
        <w:trPr>
          <w:cantSplit/>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1.37.</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Vstupní kontrola dat na přípustné formáty a hodnoty. Kontrola vyplnění povinných položek ve formulářích.</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cantSplit/>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1.38.</w:t>
            </w:r>
          </w:p>
          <w:p w:rsidR="004B2930" w:rsidRDefault="004E1353">
            <w:pPr>
              <w:spacing w:after="0"/>
            </w:pPr>
            <w:r>
              <w:rPr>
                <w:rFonts w:ascii="Arial" w:eastAsia="Times New Roman" w:hAnsi="Arial" w:cs="Arial"/>
                <w:color w:val="000000"/>
                <w:sz w:val="20"/>
                <w:szCs w:val="20"/>
                <w:lang w:eastAsia="cs-CZ"/>
              </w:rPr>
              <w:t>OÚ</w:t>
            </w:r>
          </w:p>
        </w:tc>
        <w:tc>
          <w:tcPr>
            <w:tcW w:w="989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Možnost explicitního zúžení seznamu povolených hodnot uživatelem dle aktuálních požadavků.</w:t>
            </w:r>
          </w:p>
        </w:tc>
        <w:tc>
          <w:tcPr>
            <w:tcW w:w="127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jc w:val="center"/>
            </w:pPr>
            <w:r>
              <w:rPr>
                <w:rFonts w:ascii="Arial" w:eastAsia="Times New Roman" w:hAnsi="Arial" w:cs="Arial"/>
                <w:color w:val="000000"/>
                <w:sz w:val="20"/>
                <w:szCs w:val="20"/>
                <w:lang w:eastAsia="cs-CZ"/>
              </w:rPr>
              <w:t>2</w:t>
            </w:r>
          </w:p>
        </w:tc>
        <w:tc>
          <w:tcPr>
            <w:tcW w:w="130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R</w:t>
            </w:r>
          </w:p>
        </w:tc>
      </w:tr>
      <w:tr w:rsidR="004B2930" w:rsidTr="00317C3C">
        <w:trPr>
          <w:cantSplit/>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1.39.</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Kontrola duplicitních záznamů, v případě zadání již existující položky systém nechá rozhodnout zadavatele, zda má povolit duplicitu (upozorní např. při zjištění párování faktury na stejnou objednávku).</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cantSplit/>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1.40.</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Podpora vyhledávání v číselnících a datech s možností volby nerozlišovat velká/malá písmena.</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cantSplit/>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1.41.</w:t>
            </w:r>
          </w:p>
        </w:tc>
        <w:tc>
          <w:tcPr>
            <w:tcW w:w="989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Podpora vyhledávání v číselnících a datech s možností volby nerozlišovat diakritiku.</w:t>
            </w:r>
          </w:p>
        </w:tc>
        <w:tc>
          <w:tcPr>
            <w:tcW w:w="127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jc w:val="center"/>
            </w:pPr>
            <w:r>
              <w:rPr>
                <w:rFonts w:ascii="Arial" w:eastAsia="Times New Roman" w:hAnsi="Arial" w:cs="Arial"/>
                <w:color w:val="000000"/>
                <w:sz w:val="20"/>
                <w:szCs w:val="20"/>
                <w:lang w:eastAsia="cs-CZ"/>
              </w:rPr>
              <w:t>7</w:t>
            </w:r>
          </w:p>
        </w:tc>
        <w:tc>
          <w:tcPr>
            <w:tcW w:w="130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R</w:t>
            </w:r>
          </w:p>
        </w:tc>
      </w:tr>
      <w:tr w:rsidR="004B2930" w:rsidTr="00317C3C">
        <w:trPr>
          <w:cantSplit/>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1.42.</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Podpora vyhledávání podle jednoho nebo více současně splněných kritérií.</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5365F3">
        <w:trPr>
          <w:cantSplit/>
          <w:trHeight w:val="340"/>
        </w:trPr>
        <w:tc>
          <w:tcPr>
            <w:tcW w:w="15521" w:type="dxa"/>
            <w:gridSpan w:val="6"/>
            <w:shd w:val="clear" w:color="auto" w:fill="auto"/>
            <w:vAlign w:val="bottom"/>
          </w:tcPr>
          <w:p w:rsidR="004B2930" w:rsidRDefault="004E1353">
            <w:pPr>
              <w:spacing w:after="0"/>
            </w:pPr>
            <w:r>
              <w:rPr>
                <w:rFonts w:ascii="Arial" w:eastAsia="Times New Roman" w:hAnsi="Arial" w:cs="Arial"/>
                <w:b/>
                <w:bCs/>
                <w:color w:val="000000"/>
                <w:sz w:val="20"/>
                <w:szCs w:val="20"/>
                <w:lang w:eastAsia="cs-CZ"/>
              </w:rPr>
              <w:t>Dokumentace k systému </w:t>
            </w:r>
          </w:p>
        </w:tc>
      </w:tr>
      <w:tr w:rsidR="004B2930" w:rsidTr="00317C3C">
        <w:trPr>
          <w:cantSplit/>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1.43.</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Dodání dokumentace aktuální konfigurace systému a jeho technologických komponent včetně jejich nastaveni, a to pro všechny implementované prvky systému. Dokumentace zahrnuje rovněž konfiguraci hardwarové a databázové platformy nezbytné pro běh systému včetně konfigurace lokální uživatelské stanice, periferního zařízení, případně požadavků na komunikační infrastrukturu. Udržování dokumentace konfigurace systému v aktuálním stavu.</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cantSplit/>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1.44.</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Dodání uživatelské a administrátorské dokumentace. Při každém update systému nebo jeho částí, ať z legislativních nebo jiných důvodů, dodání aktualizované uživatelské a administrátorské dokumentace nebo změnové dokumentace. Součásti administrátorské dokumentace je popis formátu, struktury a dalších vlastností pro potenciální importní a exportní soubory.</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cantSplit/>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1.45.</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Dodání dokumentace popisující implementované struktury zdrojů dat, datové komunikace mezi jednotlivými subsystémy (zejména od různých výrobců) a zavedených datových rozhraní pro komunikaci s externími systémy. Udržování dokumentace v aktuálním stavu.</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cantSplit/>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1.46.</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Dostupnost uživatelské dokumentace z prostředí systému (kontextová nápověda).</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cantSplit/>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1.47.</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V dostatečném předstihu, zpravidla nejméně týden před vydáním nové verze systému (update, upgrade), seznamovat s plánovanými změnami a jejich funkcionalitami.</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5365F3">
        <w:trPr>
          <w:cantSplit/>
          <w:trHeight w:val="340"/>
        </w:trPr>
        <w:tc>
          <w:tcPr>
            <w:tcW w:w="15521" w:type="dxa"/>
            <w:gridSpan w:val="6"/>
            <w:shd w:val="clear" w:color="auto" w:fill="auto"/>
            <w:vAlign w:val="bottom"/>
          </w:tcPr>
          <w:p w:rsidR="004B2930" w:rsidRDefault="004E1353">
            <w:pPr>
              <w:spacing w:before="113" w:after="0"/>
            </w:pPr>
            <w:r>
              <w:rPr>
                <w:rFonts w:ascii="Arial" w:eastAsia="Times New Roman" w:hAnsi="Arial" w:cs="Arial"/>
                <w:b/>
                <w:bCs/>
                <w:color w:val="000000"/>
                <w:sz w:val="20"/>
                <w:szCs w:val="20"/>
                <w:lang w:eastAsia="cs-CZ"/>
              </w:rPr>
              <w:t>Administrace </w:t>
            </w:r>
          </w:p>
        </w:tc>
      </w:tr>
      <w:tr w:rsidR="004B2930" w:rsidTr="00317C3C">
        <w:trPr>
          <w:cantSplit/>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1.48.</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Systém je provozován v testovacím a ostrém (produkčním) prostředí. Data v testovacím prostředí jsou aktualizována minimálně 1x za měsíc. Testovací prostředí odpovídá ostrému prostředí včetně nastavení uživatelských roli a práv.</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cantSplit/>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1.49.</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Tvorba, správa, parametrizace, přidělování a odstraňování uživatelských roli.</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cantSplit/>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1.50.</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 xml:space="preserve">Přidělování, odebíráni a editace roli a přístupových práv uživatelům pro čtení/zápis na úrovni: </w:t>
            </w:r>
            <w:r>
              <w:rPr>
                <w:rFonts w:ascii="Arial" w:eastAsia="Times New Roman" w:hAnsi="Arial" w:cs="Arial"/>
                <w:color w:val="000000"/>
                <w:sz w:val="20"/>
                <w:szCs w:val="20"/>
                <w:lang w:eastAsia="cs-CZ"/>
              </w:rPr>
              <w:br/>
              <w:t xml:space="preserve">- celého ústavu </w:t>
            </w:r>
            <w:r>
              <w:rPr>
                <w:rFonts w:ascii="Arial" w:eastAsia="Times New Roman" w:hAnsi="Arial" w:cs="Arial"/>
                <w:color w:val="000000"/>
                <w:sz w:val="20"/>
                <w:szCs w:val="20"/>
                <w:lang w:eastAsia="cs-CZ"/>
              </w:rPr>
              <w:br/>
              <w:t>- oddělení (nákladového střediska)</w:t>
            </w:r>
            <w:r>
              <w:rPr>
                <w:rFonts w:ascii="Arial" w:eastAsia="Times New Roman" w:hAnsi="Arial" w:cs="Arial"/>
                <w:color w:val="000000"/>
                <w:sz w:val="20"/>
                <w:szCs w:val="20"/>
                <w:lang w:eastAsia="cs-CZ"/>
              </w:rPr>
              <w:br/>
              <w:t xml:space="preserve">- funkcí systému  </w:t>
            </w:r>
            <w:r>
              <w:rPr>
                <w:rFonts w:ascii="Arial" w:eastAsia="Times New Roman" w:hAnsi="Arial" w:cs="Arial"/>
                <w:strike/>
                <w:color w:val="000000"/>
                <w:sz w:val="20"/>
                <w:szCs w:val="20"/>
                <w:lang w:eastAsia="cs-CZ"/>
              </w:rPr>
              <w:br/>
            </w:r>
            <w:r>
              <w:rPr>
                <w:rFonts w:ascii="Arial" w:eastAsia="Times New Roman" w:hAnsi="Arial" w:cs="Arial"/>
                <w:color w:val="000000"/>
                <w:sz w:val="20"/>
                <w:szCs w:val="20"/>
                <w:lang w:eastAsia="cs-CZ"/>
              </w:rPr>
              <w:t>- zakázky</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cantSplit/>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1.51.</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Možnost nastavit u uživatelů návaznost přístupů na zaměstnanecký poměr – automatizované ukončení přístupů s ukončením pracovního poměru (s možností ruční editace).</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5365F3">
        <w:trPr>
          <w:cantSplit/>
          <w:trHeight w:val="340"/>
        </w:trPr>
        <w:tc>
          <w:tcPr>
            <w:tcW w:w="15521" w:type="dxa"/>
            <w:gridSpan w:val="6"/>
            <w:shd w:val="clear" w:color="auto" w:fill="auto"/>
            <w:vAlign w:val="bottom"/>
          </w:tcPr>
          <w:p w:rsidR="004B2930" w:rsidRDefault="004E1353">
            <w:pPr>
              <w:spacing w:before="113" w:after="0"/>
            </w:pPr>
            <w:r>
              <w:rPr>
                <w:rFonts w:ascii="Arial" w:eastAsia="Times New Roman" w:hAnsi="Arial" w:cs="Arial"/>
                <w:b/>
                <w:bCs/>
                <w:color w:val="000000"/>
                <w:sz w:val="20"/>
                <w:szCs w:val="20"/>
                <w:lang w:eastAsia="cs-CZ"/>
              </w:rPr>
              <w:t>Personalizované rozhraní uživatele </w:t>
            </w:r>
          </w:p>
        </w:tc>
      </w:tr>
      <w:tr w:rsidR="004B2930" w:rsidTr="00317C3C">
        <w:trPr>
          <w:cantSplit/>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1.52.</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 xml:space="preserve">Každý zaměstnanec má přístup k informacím zprostředkovaným personalizovaným rozhraním uživatele: </w:t>
            </w:r>
            <w:r>
              <w:rPr>
                <w:rFonts w:ascii="Arial" w:eastAsia="Times New Roman" w:hAnsi="Arial" w:cs="Arial"/>
                <w:color w:val="000000"/>
                <w:sz w:val="20"/>
                <w:szCs w:val="20"/>
                <w:lang w:eastAsia="cs-CZ"/>
              </w:rPr>
              <w:br/>
              <w:t>- vlastní mzdové údaje, elektronická výplatní páska, dovolená, personální dokumenty (smlouvy, dohody)</w:t>
            </w:r>
            <w:r>
              <w:rPr>
                <w:rFonts w:ascii="Arial" w:eastAsia="Times New Roman" w:hAnsi="Arial" w:cs="Arial"/>
                <w:color w:val="000000"/>
                <w:sz w:val="20"/>
                <w:szCs w:val="20"/>
                <w:lang w:eastAsia="cs-CZ"/>
              </w:rPr>
              <w:br/>
              <w:t xml:space="preserve">- majetek jemu svěřený, žádost o převod a vyřazení majetku (schvalovací </w:t>
            </w:r>
            <w:proofErr w:type="spellStart"/>
            <w:r>
              <w:rPr>
                <w:rFonts w:ascii="Arial" w:eastAsia="Times New Roman" w:hAnsi="Arial" w:cs="Arial"/>
                <w:color w:val="000000"/>
                <w:sz w:val="20"/>
                <w:szCs w:val="20"/>
                <w:lang w:eastAsia="cs-CZ"/>
              </w:rPr>
              <w:t>workflow</w:t>
            </w:r>
            <w:proofErr w:type="spellEnd"/>
            <w:r>
              <w:rPr>
                <w:rFonts w:ascii="Arial" w:eastAsia="Times New Roman" w:hAnsi="Arial" w:cs="Arial"/>
                <w:color w:val="000000"/>
                <w:sz w:val="20"/>
                <w:szCs w:val="20"/>
                <w:lang w:eastAsia="cs-CZ"/>
              </w:rPr>
              <w:t xml:space="preserve">) </w:t>
            </w:r>
            <w:r>
              <w:rPr>
                <w:rFonts w:ascii="Arial" w:eastAsia="Times New Roman" w:hAnsi="Arial" w:cs="Arial"/>
                <w:color w:val="000000"/>
                <w:sz w:val="20"/>
                <w:szCs w:val="20"/>
                <w:lang w:eastAsia="cs-CZ"/>
              </w:rPr>
              <w:br/>
              <w:t xml:space="preserve">- smlouvy, u kterých je uveden jako odpovědná osoba (schvalovací </w:t>
            </w:r>
            <w:proofErr w:type="spellStart"/>
            <w:r>
              <w:rPr>
                <w:rFonts w:ascii="Arial" w:eastAsia="Times New Roman" w:hAnsi="Arial" w:cs="Arial"/>
                <w:color w:val="000000"/>
                <w:sz w:val="20"/>
                <w:szCs w:val="20"/>
                <w:lang w:eastAsia="cs-CZ"/>
              </w:rPr>
              <w:t>workflow</w:t>
            </w:r>
            <w:proofErr w:type="spellEnd"/>
            <w:r>
              <w:rPr>
                <w:rFonts w:ascii="Arial" w:eastAsia="Times New Roman" w:hAnsi="Arial" w:cs="Arial"/>
                <w:color w:val="000000"/>
                <w:sz w:val="20"/>
                <w:szCs w:val="20"/>
                <w:lang w:eastAsia="cs-CZ"/>
              </w:rPr>
              <w:t xml:space="preserve">) </w:t>
            </w:r>
            <w:r>
              <w:rPr>
                <w:rFonts w:ascii="Arial" w:eastAsia="Times New Roman" w:hAnsi="Arial" w:cs="Arial"/>
                <w:color w:val="000000"/>
                <w:sz w:val="20"/>
                <w:szCs w:val="20"/>
                <w:lang w:eastAsia="cs-CZ"/>
              </w:rPr>
              <w:br/>
              <w:t xml:space="preserve">- žádanky a objednávky, které vytvořil (schvalovací </w:t>
            </w:r>
            <w:proofErr w:type="spellStart"/>
            <w:r>
              <w:rPr>
                <w:rFonts w:ascii="Arial" w:eastAsia="Times New Roman" w:hAnsi="Arial" w:cs="Arial"/>
                <w:color w:val="000000"/>
                <w:sz w:val="20"/>
                <w:szCs w:val="20"/>
                <w:lang w:eastAsia="cs-CZ"/>
              </w:rPr>
              <w:t>workflow</w:t>
            </w:r>
            <w:proofErr w:type="spellEnd"/>
            <w:r>
              <w:rPr>
                <w:rFonts w:ascii="Arial" w:eastAsia="Times New Roman" w:hAnsi="Arial" w:cs="Arial"/>
                <w:color w:val="000000"/>
                <w:sz w:val="20"/>
                <w:szCs w:val="20"/>
                <w:lang w:eastAsia="cs-CZ"/>
              </w:rPr>
              <w:t xml:space="preserve">) </w:t>
            </w:r>
            <w:r>
              <w:rPr>
                <w:rFonts w:ascii="Arial" w:eastAsia="Times New Roman" w:hAnsi="Arial" w:cs="Arial"/>
                <w:color w:val="000000"/>
                <w:sz w:val="20"/>
                <w:szCs w:val="20"/>
                <w:lang w:eastAsia="cs-CZ"/>
              </w:rPr>
              <w:br/>
              <w:t xml:space="preserve">- cestovní příkazy (schvalovací </w:t>
            </w:r>
            <w:proofErr w:type="spellStart"/>
            <w:r>
              <w:rPr>
                <w:rFonts w:ascii="Arial" w:eastAsia="Times New Roman" w:hAnsi="Arial" w:cs="Arial"/>
                <w:color w:val="000000"/>
                <w:sz w:val="20"/>
                <w:szCs w:val="20"/>
                <w:lang w:eastAsia="cs-CZ"/>
              </w:rPr>
              <w:t>workflow</w:t>
            </w:r>
            <w:proofErr w:type="spellEnd"/>
            <w:r>
              <w:rPr>
                <w:rFonts w:ascii="Arial" w:eastAsia="Times New Roman" w:hAnsi="Arial" w:cs="Arial"/>
                <w:color w:val="000000"/>
                <w:sz w:val="20"/>
                <w:szCs w:val="20"/>
                <w:lang w:eastAsia="cs-CZ"/>
              </w:rPr>
              <w:t xml:space="preserve">) </w:t>
            </w:r>
            <w:r>
              <w:rPr>
                <w:rFonts w:ascii="Arial" w:eastAsia="Times New Roman" w:hAnsi="Arial" w:cs="Arial"/>
                <w:color w:val="000000"/>
                <w:sz w:val="20"/>
                <w:szCs w:val="20"/>
                <w:lang w:eastAsia="cs-CZ"/>
              </w:rPr>
              <w:br/>
              <w:t xml:space="preserve">- docházka a nepřítomnost na pracovišti (dovolená, placené volno, nemoc...) – včetně schvalovacího </w:t>
            </w:r>
            <w:proofErr w:type="spellStart"/>
            <w:r>
              <w:rPr>
                <w:rFonts w:ascii="Arial" w:eastAsia="Times New Roman" w:hAnsi="Arial" w:cs="Arial"/>
                <w:color w:val="000000"/>
                <w:sz w:val="20"/>
                <w:szCs w:val="20"/>
                <w:lang w:eastAsia="cs-CZ"/>
              </w:rPr>
              <w:t>workflow</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cantSplit/>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1.53.</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Přístup k informacím je pro schvalovatele rozšířen proti běžnému zaměstnanci o všechny záznamy, ve kterých prováděl schvalování.</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cantSplit/>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1.54.</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Určená osoba má mimo údaje týkající se své osoby možnost provádět záznamy i za zaměstnance oddělení (např. nepřítomnost, cestovní příkaz).</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cantSplit/>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1.55.</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EIS má vytvořeno rozhraní pro integraci s centrálním elektronickým systémem spisové služby (</w:t>
            </w:r>
            <w:proofErr w:type="spellStart"/>
            <w:r>
              <w:rPr>
                <w:rFonts w:ascii="Arial" w:eastAsia="Times New Roman" w:hAnsi="Arial" w:cs="Arial"/>
                <w:color w:val="000000"/>
                <w:sz w:val="20"/>
                <w:szCs w:val="20"/>
                <w:lang w:eastAsia="cs-CZ"/>
              </w:rPr>
              <w:t>eSSL</w:t>
            </w:r>
            <w:proofErr w:type="spellEnd"/>
            <w:r>
              <w:rPr>
                <w:rFonts w:ascii="Arial" w:eastAsia="Times New Roman" w:hAnsi="Arial" w:cs="Arial"/>
                <w:color w:val="000000"/>
                <w:sz w:val="20"/>
                <w:szCs w:val="20"/>
                <w:lang w:eastAsia="cs-CZ"/>
              </w:rPr>
              <w:t xml:space="preserve">) podle požadavků Národního standardu pro elektronické systémy spisové služby (VMV </w:t>
            </w:r>
            <w:proofErr w:type="spellStart"/>
            <w:r>
              <w:rPr>
                <w:rFonts w:ascii="Arial" w:eastAsia="Times New Roman" w:hAnsi="Arial" w:cs="Arial"/>
                <w:color w:val="000000"/>
                <w:sz w:val="20"/>
                <w:szCs w:val="20"/>
                <w:lang w:eastAsia="cs-CZ"/>
              </w:rPr>
              <w:t>čá</w:t>
            </w:r>
            <w:proofErr w:type="spellEnd"/>
            <w:r>
              <w:rPr>
                <w:rFonts w:ascii="Arial" w:eastAsia="Times New Roman" w:hAnsi="Arial" w:cs="Arial"/>
                <w:color w:val="000000"/>
                <w:sz w:val="20"/>
                <w:szCs w:val="20"/>
                <w:lang w:eastAsia="cs-CZ"/>
              </w:rPr>
              <w:t xml:space="preserve">. 57/2017), kapitoly 9 ROZHRANÍ K PROPOJENÍ INFORMAČNÍCH SYSTÉMŮ SPRAVUJÍCÍCH DOKUMENTY, </w:t>
            </w:r>
            <w:proofErr w:type="spellStart"/>
            <w:r>
              <w:rPr>
                <w:rFonts w:ascii="Arial" w:eastAsia="Times New Roman" w:hAnsi="Arial" w:cs="Arial"/>
                <w:color w:val="000000"/>
                <w:sz w:val="20"/>
                <w:szCs w:val="20"/>
                <w:lang w:eastAsia="cs-CZ"/>
              </w:rPr>
              <w:t>podkap</w:t>
            </w:r>
            <w:proofErr w:type="spellEnd"/>
            <w:r>
              <w:rPr>
                <w:rFonts w:ascii="Arial" w:eastAsia="Times New Roman" w:hAnsi="Arial" w:cs="Arial"/>
                <w:color w:val="000000"/>
                <w:sz w:val="20"/>
                <w:szCs w:val="20"/>
                <w:lang w:eastAsia="cs-CZ"/>
              </w:rPr>
              <w:t>. 9.1 Vazby mezi systémy pro správu dokumentů.</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cantSplit/>
          <w:trHeight w:val="227"/>
        </w:trPr>
        <w:tc>
          <w:tcPr>
            <w:tcW w:w="7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1.56.</w:t>
            </w:r>
          </w:p>
        </w:tc>
        <w:tc>
          <w:tcPr>
            <w:tcW w:w="989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EIS má vytvořeno aplikační rozhraní pro integraci s externími systémy</w:t>
            </w:r>
          </w:p>
        </w:tc>
        <w:tc>
          <w:tcPr>
            <w:tcW w:w="127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jc w:val="center"/>
            </w:pPr>
            <w:r>
              <w:rPr>
                <w:rFonts w:ascii="Arial" w:eastAsia="Times New Roman" w:hAnsi="Arial" w:cs="Arial"/>
                <w:color w:val="000000"/>
                <w:sz w:val="20"/>
                <w:szCs w:val="20"/>
                <w:lang w:eastAsia="cs-CZ"/>
              </w:rPr>
              <w:t>10</w:t>
            </w:r>
          </w:p>
        </w:tc>
        <w:tc>
          <w:tcPr>
            <w:tcW w:w="130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R</w:t>
            </w:r>
          </w:p>
        </w:tc>
      </w:tr>
    </w:tbl>
    <w:p w:rsidR="004B2930" w:rsidRDefault="004E1353">
      <w:pPr>
        <w:rPr>
          <w:rFonts w:ascii="Arial" w:hAnsi="Arial" w:cs="Arial"/>
          <w:b/>
          <w:sz w:val="24"/>
          <w:szCs w:val="24"/>
        </w:rPr>
      </w:pPr>
      <w:r>
        <w:br w:type="page"/>
      </w:r>
    </w:p>
    <w:p w:rsidR="004B2930" w:rsidRDefault="004E1353">
      <w:r>
        <w:rPr>
          <w:rFonts w:ascii="Arial" w:hAnsi="Arial" w:cs="Arial"/>
          <w:b/>
          <w:sz w:val="24"/>
          <w:szCs w:val="24"/>
        </w:rPr>
        <w:t>2. Ekonomika a účetnictví</w:t>
      </w:r>
    </w:p>
    <w:tbl>
      <w:tblPr>
        <w:tblW w:w="15521" w:type="dxa"/>
        <w:tblCellMar>
          <w:left w:w="70" w:type="dxa"/>
          <w:right w:w="70" w:type="dxa"/>
        </w:tblCellMar>
        <w:tblLook w:val="04A0" w:firstRow="1" w:lastRow="0" w:firstColumn="1" w:lastColumn="0" w:noHBand="0" w:noVBand="1"/>
      </w:tblPr>
      <w:tblGrid>
        <w:gridCol w:w="779"/>
        <w:gridCol w:w="9868"/>
        <w:gridCol w:w="1272"/>
        <w:gridCol w:w="1302"/>
        <w:gridCol w:w="1234"/>
        <w:gridCol w:w="1066"/>
      </w:tblGrid>
      <w:tr w:rsidR="004B2930" w:rsidTr="00317C3C">
        <w:trPr>
          <w:trHeight w:val="227"/>
          <w:tblHeader/>
        </w:trPr>
        <w:tc>
          <w:tcPr>
            <w:tcW w:w="779" w:type="dxa"/>
            <w:tcBorders>
              <w:top w:val="single" w:sz="4" w:space="0" w:color="000000"/>
              <w:left w:val="single" w:sz="4" w:space="0" w:color="000000"/>
              <w:bottom w:val="single" w:sz="4" w:space="0" w:color="auto"/>
              <w:right w:val="single" w:sz="4" w:space="0" w:color="000000"/>
            </w:tcBorders>
            <w:shd w:val="clear" w:color="auto" w:fill="E6E6E6"/>
            <w:vAlign w:val="bottom"/>
          </w:tcPr>
          <w:p w:rsidR="004B2930" w:rsidRDefault="004E1353">
            <w:pPr>
              <w:spacing w:after="0"/>
            </w:pPr>
            <w:r>
              <w:rPr>
                <w:rFonts w:ascii="Arial" w:eastAsia="Times New Roman" w:hAnsi="Arial" w:cs="Arial"/>
                <w:b/>
                <w:sz w:val="18"/>
                <w:szCs w:val="18"/>
                <w:lang w:eastAsia="cs-CZ"/>
              </w:rPr>
              <w:t>Číslo</w:t>
            </w:r>
            <w:r>
              <w:rPr>
                <w:rFonts w:ascii="Arial" w:eastAsia="Times New Roman" w:hAnsi="Arial" w:cs="Arial"/>
                <w:b/>
                <w:sz w:val="18"/>
                <w:szCs w:val="18"/>
                <w:vertAlign w:val="superscript"/>
                <w:lang w:eastAsia="cs-CZ"/>
              </w:rPr>
              <w:t>1)</w:t>
            </w:r>
          </w:p>
        </w:tc>
        <w:tc>
          <w:tcPr>
            <w:tcW w:w="9868" w:type="dxa"/>
            <w:tcBorders>
              <w:top w:val="single" w:sz="4" w:space="0" w:color="000000"/>
              <w:left w:val="single" w:sz="4" w:space="0" w:color="000000"/>
              <w:bottom w:val="single" w:sz="4" w:space="0" w:color="auto"/>
              <w:right w:val="single" w:sz="4" w:space="0" w:color="000000"/>
            </w:tcBorders>
            <w:shd w:val="clear" w:color="auto" w:fill="E6E6E6"/>
            <w:vAlign w:val="bottom"/>
          </w:tcPr>
          <w:p w:rsidR="004B2930" w:rsidRDefault="004E1353">
            <w:pPr>
              <w:spacing w:after="0"/>
            </w:pPr>
            <w:r>
              <w:rPr>
                <w:rFonts w:ascii="Arial" w:eastAsia="Times New Roman" w:hAnsi="Arial" w:cs="Arial"/>
                <w:b/>
                <w:color w:val="000000"/>
                <w:sz w:val="18"/>
                <w:szCs w:val="18"/>
                <w:lang w:eastAsia="cs-CZ"/>
              </w:rPr>
              <w:t>Požadavek na funkcionalitu</w:t>
            </w:r>
          </w:p>
        </w:tc>
        <w:tc>
          <w:tcPr>
            <w:tcW w:w="1272" w:type="dxa"/>
            <w:tcBorders>
              <w:top w:val="single" w:sz="4" w:space="0" w:color="000000"/>
              <w:left w:val="single" w:sz="4" w:space="0" w:color="000000"/>
              <w:bottom w:val="single" w:sz="4" w:space="0" w:color="auto"/>
              <w:right w:val="single" w:sz="4" w:space="0" w:color="000000"/>
            </w:tcBorders>
            <w:shd w:val="clear" w:color="auto" w:fill="E6E6E6"/>
            <w:vAlign w:val="bottom"/>
          </w:tcPr>
          <w:p w:rsidR="004B2930" w:rsidRDefault="004E1353">
            <w:pPr>
              <w:spacing w:after="0"/>
            </w:pPr>
            <w:r>
              <w:rPr>
                <w:rFonts w:ascii="Arial" w:hAnsi="Arial" w:cs="Arial"/>
                <w:b/>
                <w:sz w:val="18"/>
                <w:szCs w:val="18"/>
              </w:rPr>
              <w:t>Body významnosti</w:t>
            </w:r>
            <w:r>
              <w:rPr>
                <w:rFonts w:ascii="Arial" w:hAnsi="Arial" w:cs="Arial"/>
                <w:sz w:val="18"/>
                <w:szCs w:val="18"/>
              </w:rPr>
              <w:br/>
            </w:r>
            <w:r>
              <w:rPr>
                <w:rFonts w:ascii="Arial" w:hAnsi="Arial" w:cs="Arial"/>
                <w:b/>
                <w:sz w:val="18"/>
                <w:szCs w:val="18"/>
              </w:rPr>
              <w:t>funkcionality</w:t>
            </w:r>
          </w:p>
        </w:tc>
        <w:tc>
          <w:tcPr>
            <w:tcW w:w="1302" w:type="dxa"/>
            <w:tcBorders>
              <w:top w:val="single" w:sz="4" w:space="0" w:color="000000"/>
              <w:left w:val="single" w:sz="4" w:space="0" w:color="000000"/>
              <w:bottom w:val="single" w:sz="4" w:space="0" w:color="auto"/>
              <w:right w:val="single" w:sz="4" w:space="0" w:color="000000"/>
            </w:tcBorders>
            <w:shd w:val="clear" w:color="auto" w:fill="E6E6E6"/>
            <w:vAlign w:val="bottom"/>
          </w:tcPr>
          <w:p w:rsidR="004B2930" w:rsidRDefault="004E1353">
            <w:pPr>
              <w:spacing w:after="0"/>
            </w:pPr>
            <w:r>
              <w:rPr>
                <w:rFonts w:ascii="Arial" w:hAnsi="Arial" w:cs="Arial"/>
                <w:b/>
                <w:sz w:val="18"/>
                <w:szCs w:val="18"/>
              </w:rPr>
              <w:t>Standardní</w:t>
            </w:r>
            <w:r>
              <w:rPr>
                <w:rFonts w:ascii="Arial" w:hAnsi="Arial" w:cs="Arial"/>
                <w:sz w:val="18"/>
                <w:szCs w:val="18"/>
              </w:rPr>
              <w:br/>
            </w:r>
            <w:r>
              <w:rPr>
                <w:rFonts w:ascii="Arial" w:hAnsi="Arial" w:cs="Arial"/>
                <w:b/>
                <w:sz w:val="18"/>
                <w:szCs w:val="18"/>
              </w:rPr>
              <w:t>funkcionalita</w:t>
            </w:r>
          </w:p>
        </w:tc>
        <w:tc>
          <w:tcPr>
            <w:tcW w:w="1234" w:type="dxa"/>
            <w:tcBorders>
              <w:top w:val="single" w:sz="4" w:space="0" w:color="000000"/>
              <w:left w:val="single" w:sz="4" w:space="0" w:color="000000"/>
              <w:bottom w:val="single" w:sz="4" w:space="0" w:color="auto"/>
              <w:right w:val="single" w:sz="4" w:space="0" w:color="000000"/>
            </w:tcBorders>
            <w:shd w:val="clear" w:color="auto" w:fill="E6E6E6"/>
            <w:vAlign w:val="bottom"/>
          </w:tcPr>
          <w:p w:rsidR="004B2930" w:rsidRDefault="004E1353">
            <w:pPr>
              <w:spacing w:after="0"/>
            </w:pPr>
            <w:r>
              <w:rPr>
                <w:rFonts w:ascii="Arial" w:hAnsi="Arial" w:cs="Arial"/>
                <w:b/>
                <w:sz w:val="18"/>
                <w:szCs w:val="18"/>
              </w:rPr>
              <w:t>Bude doplněno /</w:t>
            </w:r>
            <w:r>
              <w:rPr>
                <w:rFonts w:ascii="Arial" w:hAnsi="Arial" w:cs="Arial"/>
                <w:sz w:val="18"/>
                <w:szCs w:val="18"/>
              </w:rPr>
              <w:br/>
            </w:r>
            <w:r>
              <w:rPr>
                <w:rFonts w:ascii="Arial" w:hAnsi="Arial" w:cs="Arial"/>
                <w:b/>
                <w:sz w:val="18"/>
                <w:szCs w:val="18"/>
              </w:rPr>
              <w:t>doprogra</w:t>
            </w:r>
            <w:r>
              <w:rPr>
                <w:rFonts w:ascii="Arial" w:hAnsi="Arial" w:cs="Arial"/>
                <w:b/>
                <w:sz w:val="18"/>
                <w:szCs w:val="18"/>
              </w:rPr>
              <w:softHyphen/>
              <w:t>mováno</w:t>
            </w:r>
          </w:p>
        </w:tc>
        <w:tc>
          <w:tcPr>
            <w:tcW w:w="1066" w:type="dxa"/>
            <w:tcBorders>
              <w:top w:val="single" w:sz="4" w:space="0" w:color="000000"/>
              <w:left w:val="single" w:sz="4" w:space="0" w:color="000000"/>
              <w:bottom w:val="single" w:sz="4" w:space="0" w:color="auto"/>
              <w:right w:val="single" w:sz="4" w:space="0" w:color="000000"/>
            </w:tcBorders>
            <w:shd w:val="clear" w:color="auto" w:fill="E6E6E6"/>
            <w:vAlign w:val="bottom"/>
          </w:tcPr>
          <w:p w:rsidR="004B2930" w:rsidRDefault="004E1353">
            <w:pPr>
              <w:spacing w:after="0"/>
            </w:pPr>
            <w:r>
              <w:rPr>
                <w:rFonts w:ascii="Arial" w:eastAsia="Times New Roman" w:hAnsi="Arial" w:cs="Arial"/>
                <w:b/>
                <w:color w:val="000000"/>
                <w:sz w:val="18"/>
                <w:szCs w:val="18"/>
                <w:lang w:eastAsia="cs-CZ"/>
              </w:rPr>
              <w:t>Povinný/ rozšiřující</w:t>
            </w:r>
          </w:p>
        </w:tc>
      </w:tr>
      <w:tr w:rsidR="004B2930" w:rsidRPr="00324EB5" w:rsidTr="00324EB5">
        <w:trPr>
          <w:trHeight w:val="227"/>
        </w:trPr>
        <w:tc>
          <w:tcPr>
            <w:tcW w:w="15521" w:type="dxa"/>
            <w:gridSpan w:val="6"/>
            <w:tcBorders>
              <w:top w:val="single" w:sz="4" w:space="0" w:color="auto"/>
              <w:bottom w:val="single" w:sz="4" w:space="0" w:color="auto"/>
            </w:tcBorders>
            <w:shd w:val="clear" w:color="auto" w:fill="auto"/>
          </w:tcPr>
          <w:p w:rsidR="004B2930" w:rsidRPr="00324EB5" w:rsidRDefault="004E1353">
            <w:pPr>
              <w:spacing w:before="113" w:after="0"/>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Finance a účetnictví </w:t>
            </w:r>
          </w:p>
        </w:tc>
      </w:tr>
      <w:tr w:rsidR="004B2930" w:rsidTr="00317C3C">
        <w:trPr>
          <w:trHeight w:val="227"/>
        </w:trPr>
        <w:tc>
          <w:tcPr>
            <w:tcW w:w="779" w:type="dxa"/>
            <w:tcBorders>
              <w:top w:val="single" w:sz="4" w:space="0" w:color="auto"/>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2.1.</w:t>
            </w:r>
          </w:p>
        </w:tc>
        <w:tc>
          <w:tcPr>
            <w:tcW w:w="9868" w:type="dxa"/>
            <w:tcBorders>
              <w:top w:val="single" w:sz="4" w:space="0" w:color="auto"/>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Analytický účet je tvořen minimálně 7 znaky. Význam jednotlivých znaků je určen závaznou účetní osnovou Akademie věd, která obsahuje 3 – 4 závazné číselné znaky a další volitelné číselné znaky určené ústavem do celkového počtu 7.</w:t>
            </w:r>
          </w:p>
        </w:tc>
        <w:tc>
          <w:tcPr>
            <w:tcW w:w="1272" w:type="dxa"/>
            <w:tcBorders>
              <w:top w:val="single" w:sz="4" w:space="0" w:color="auto"/>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6</w:t>
            </w:r>
          </w:p>
        </w:tc>
        <w:tc>
          <w:tcPr>
            <w:tcW w:w="1302" w:type="dxa"/>
            <w:tcBorders>
              <w:top w:val="single" w:sz="4" w:space="0" w:color="auto"/>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auto"/>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auto"/>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27"/>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2.2.</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Jednotná evidence partnerů s možností zadávání časově omezených údajů. Zobrazení evidence včetně všech omezení a zneplatněných údajů.</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5</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27"/>
        </w:trPr>
        <w:tc>
          <w:tcPr>
            <w:tcW w:w="77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2.3.</w:t>
            </w:r>
          </w:p>
        </w:tc>
        <w:tc>
          <w:tcPr>
            <w:tcW w:w="986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Možnost ověřit u zahraničních dodavatelů z EU (plátců DPH) jejich DIČ již při jejich zavedení do číselníku ekonomických subjektů.</w:t>
            </w:r>
          </w:p>
        </w:tc>
        <w:tc>
          <w:tcPr>
            <w:tcW w:w="127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jc w:val="center"/>
            </w:pPr>
            <w:r>
              <w:rPr>
                <w:rFonts w:ascii="Arial" w:eastAsia="Times New Roman" w:hAnsi="Arial" w:cs="Arial"/>
                <w:color w:val="000000"/>
                <w:sz w:val="20"/>
                <w:szCs w:val="20"/>
                <w:lang w:eastAsia="cs-CZ"/>
              </w:rPr>
              <w:t>7</w:t>
            </w:r>
          </w:p>
        </w:tc>
        <w:tc>
          <w:tcPr>
            <w:tcW w:w="130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R</w:t>
            </w:r>
          </w:p>
        </w:tc>
      </w:tr>
      <w:tr w:rsidR="004B2930" w:rsidTr="00317C3C">
        <w:trPr>
          <w:trHeight w:val="227"/>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2.4.</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Automatické ověřování a doplňování údajů u tuzemských dodavatelů při jejich zavedení z celostátního rejstříku ARES.</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27"/>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2.5.</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Možnost ověřit správnost údajů (zveřejněné číslo bankovního účtu, informace o spolehlivosti plátce, DIČ) tuzemských dodavatelů přímo z prvotního dokladu (faktury). Zaznamenání a možnost zobrazení historie o ověřování správnosti údajů (datum, výsledek).</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27"/>
        </w:trPr>
        <w:tc>
          <w:tcPr>
            <w:tcW w:w="77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2.6.</w:t>
            </w:r>
          </w:p>
        </w:tc>
        <w:tc>
          <w:tcPr>
            <w:tcW w:w="986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 xml:space="preserve">Podklady pro </w:t>
            </w:r>
            <w:proofErr w:type="spellStart"/>
            <w:r>
              <w:rPr>
                <w:rFonts w:ascii="Arial" w:eastAsia="Times New Roman" w:hAnsi="Arial" w:cs="Arial"/>
                <w:color w:val="000000"/>
                <w:sz w:val="20"/>
                <w:szCs w:val="20"/>
                <w:lang w:eastAsia="cs-CZ"/>
              </w:rPr>
              <w:t>Intrastat</w:t>
            </w:r>
            <w:proofErr w:type="spellEnd"/>
            <w:r>
              <w:rPr>
                <w:rFonts w:ascii="Arial" w:eastAsia="Times New Roman" w:hAnsi="Arial" w:cs="Arial"/>
                <w:color w:val="000000"/>
                <w:sz w:val="20"/>
                <w:szCs w:val="20"/>
                <w:lang w:eastAsia="cs-CZ"/>
              </w:rPr>
              <w:t xml:space="preserve"> – sledování vzniku povinnosti pro podávání hlášení, podpora jeho sestavení ve formě sestavy v MS Excel.</w:t>
            </w:r>
          </w:p>
        </w:tc>
        <w:tc>
          <w:tcPr>
            <w:tcW w:w="127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jc w:val="center"/>
            </w:pPr>
            <w:r>
              <w:rPr>
                <w:rFonts w:ascii="Arial" w:eastAsia="Times New Roman" w:hAnsi="Arial" w:cs="Arial"/>
                <w:color w:val="000000"/>
                <w:sz w:val="20"/>
                <w:szCs w:val="20"/>
                <w:lang w:eastAsia="cs-CZ"/>
              </w:rPr>
              <w:t>6</w:t>
            </w:r>
          </w:p>
        </w:tc>
        <w:tc>
          <w:tcPr>
            <w:tcW w:w="130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R</w:t>
            </w:r>
          </w:p>
        </w:tc>
      </w:tr>
      <w:tr w:rsidR="004B2930" w:rsidTr="00317C3C">
        <w:trPr>
          <w:trHeight w:val="227"/>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2.7.</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Pořizování prvotních dokladů – účetní knihy, výkazy, účetní deník, sborníky.</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3</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27"/>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2.8.</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U prvotních účetních dokladů je zavedeno a zobrazeno spojení (</w:t>
            </w:r>
            <w:proofErr w:type="spellStart"/>
            <w:r>
              <w:rPr>
                <w:rFonts w:ascii="Arial" w:eastAsia="Times New Roman" w:hAnsi="Arial" w:cs="Arial"/>
                <w:color w:val="000000"/>
                <w:sz w:val="20"/>
                <w:szCs w:val="20"/>
                <w:lang w:eastAsia="cs-CZ"/>
              </w:rPr>
              <w:t>provazba</w:t>
            </w:r>
            <w:proofErr w:type="spellEnd"/>
            <w:r>
              <w:rPr>
                <w:rFonts w:ascii="Arial" w:eastAsia="Times New Roman" w:hAnsi="Arial" w:cs="Arial"/>
                <w:color w:val="000000"/>
                <w:sz w:val="20"/>
                <w:szCs w:val="20"/>
                <w:lang w:eastAsia="cs-CZ"/>
              </w:rPr>
              <w:t>) na navazující doklady (DPH, dodatečná kontace, přeúčtování, ...) s možností doklady zobrazit v jejich detailu.</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27"/>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2.9.</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Přílohy k prvotním dokladům, práce s přílohami napříč celým systémem v rámci ústavu (dohledávání, zobrazování)</w:t>
            </w:r>
            <w:r>
              <w:rPr>
                <w:rFonts w:ascii="Arial" w:eastAsia="Times New Roman" w:hAnsi="Arial" w:cs="Arial"/>
                <w:color w:val="FF0000"/>
                <w:sz w:val="20"/>
                <w:szCs w:val="20"/>
                <w:lang w:eastAsia="cs-CZ"/>
              </w:rPr>
              <w:t>.</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27"/>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2.10.</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 xml:space="preserve">Promítnutí </w:t>
            </w:r>
            <w:proofErr w:type="spellStart"/>
            <w:r>
              <w:rPr>
                <w:rFonts w:ascii="Arial" w:eastAsia="Times New Roman" w:hAnsi="Arial" w:cs="Arial"/>
                <w:color w:val="000000"/>
                <w:sz w:val="20"/>
                <w:szCs w:val="20"/>
                <w:lang w:eastAsia="cs-CZ"/>
              </w:rPr>
              <w:t>rozkontace</w:t>
            </w:r>
            <w:proofErr w:type="spellEnd"/>
            <w:r>
              <w:rPr>
                <w:rFonts w:ascii="Arial" w:eastAsia="Times New Roman" w:hAnsi="Arial" w:cs="Arial"/>
                <w:color w:val="000000"/>
                <w:sz w:val="20"/>
                <w:szCs w:val="20"/>
                <w:lang w:eastAsia="cs-CZ"/>
              </w:rPr>
              <w:t xml:space="preserve"> prvotních dokladů na hlavní knize v okamžiku, kdy je kontace uložena, s možností následné editace a oprav. Standardně je u všech oprav zavedena auditní stopa.</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3</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27"/>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2.11.</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Možnost přesunu účetních dokladů z jednoho období do jiného období v rámci jednoho kalendářního roku a s tím spojené potřebné přepočty obratů a zůstatků. Možnost funkce pro přesun účetních dokladů svázat s uživatelskou rolí. Přesunem by nemělo dojít k narušení číselné řady (přečíslování).</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27"/>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2.12.</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Nastavení účetních pravidel pro kontace opakujících se operací a zápisů. Možnost hromadných kontací a hromadných změn kontací. Možnost kumulace účetních záznamů podle stejných kritérií (např. kumulace kontaci účetních odpisů jednotlivých inventárních čísel podle shodných účtů, zdrojů financování apod.). Možnost zadat kontační zápis i bez předem definovaného pravidla (možnost zápisu kontace ojedinělých, neopakujících se situací bez předchozího zápisu do číselníku při pravených kontačních pravidel). Možnost zadat složený kontační zápis.</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3</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27"/>
        </w:trPr>
        <w:tc>
          <w:tcPr>
            <w:tcW w:w="77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2.13.</w:t>
            </w:r>
          </w:p>
        </w:tc>
        <w:tc>
          <w:tcPr>
            <w:tcW w:w="986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Možnost vazby analytického účtu na zdroj financování. Možnost zakázat účtování na některé analytické účty (neuznatelné náklady u evropských projektů – bankovní poplatky, kurzové rozdíly ...).</w:t>
            </w:r>
          </w:p>
        </w:tc>
        <w:tc>
          <w:tcPr>
            <w:tcW w:w="127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jc w:val="center"/>
            </w:pPr>
            <w:r>
              <w:rPr>
                <w:rFonts w:ascii="Arial" w:eastAsia="Times New Roman" w:hAnsi="Arial" w:cs="Arial"/>
                <w:color w:val="000000"/>
                <w:sz w:val="20"/>
                <w:szCs w:val="20"/>
                <w:lang w:eastAsia="cs-CZ"/>
              </w:rPr>
              <w:t>4</w:t>
            </w:r>
          </w:p>
        </w:tc>
        <w:tc>
          <w:tcPr>
            <w:tcW w:w="130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R</w:t>
            </w:r>
          </w:p>
        </w:tc>
      </w:tr>
      <w:tr w:rsidR="004B2930" w:rsidTr="00317C3C">
        <w:trPr>
          <w:trHeight w:val="227"/>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2.14.</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Veškeré náklady, výnosy a zvolené analytické účty musí být spojeny se zdrojem financování, kterým se rozumí akce realizovaná formou zakázky, grantu, úkolu apod.</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27"/>
        </w:trPr>
        <w:tc>
          <w:tcPr>
            <w:tcW w:w="77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2.15.</w:t>
            </w:r>
          </w:p>
        </w:tc>
        <w:tc>
          <w:tcPr>
            <w:tcW w:w="986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 xml:space="preserve">Možnost převzetí a zpracování zápisů z jiných účetních systémů ve formátu MS Excel, </w:t>
            </w:r>
            <w:proofErr w:type="spellStart"/>
            <w:r>
              <w:rPr>
                <w:rFonts w:ascii="Arial" w:eastAsia="Times New Roman" w:hAnsi="Arial" w:cs="Arial"/>
                <w:color w:val="000000"/>
                <w:sz w:val="20"/>
                <w:szCs w:val="20"/>
                <w:lang w:eastAsia="cs-CZ"/>
              </w:rPr>
              <w:t>txt</w:t>
            </w:r>
            <w:proofErr w:type="spellEnd"/>
            <w:r>
              <w:rPr>
                <w:rFonts w:ascii="Arial" w:eastAsia="Times New Roman" w:hAnsi="Arial" w:cs="Arial"/>
                <w:color w:val="000000"/>
                <w:sz w:val="20"/>
                <w:szCs w:val="20"/>
                <w:lang w:eastAsia="cs-CZ"/>
              </w:rPr>
              <w:t>.</w:t>
            </w:r>
          </w:p>
        </w:tc>
        <w:tc>
          <w:tcPr>
            <w:tcW w:w="127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jc w:val="center"/>
            </w:pPr>
            <w:r>
              <w:rPr>
                <w:rFonts w:ascii="Arial" w:eastAsia="Times New Roman" w:hAnsi="Arial" w:cs="Arial"/>
                <w:color w:val="000000"/>
                <w:sz w:val="20"/>
                <w:szCs w:val="20"/>
                <w:lang w:eastAsia="cs-CZ"/>
              </w:rPr>
              <w:t>4</w:t>
            </w:r>
          </w:p>
        </w:tc>
        <w:tc>
          <w:tcPr>
            <w:tcW w:w="130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R</w:t>
            </w:r>
          </w:p>
        </w:tc>
      </w:tr>
      <w:tr w:rsidR="004B2930" w:rsidTr="00317C3C">
        <w:trPr>
          <w:trHeight w:val="227"/>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2.16.</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Předběžné účetní závěrky za všechny otevřené účetní periody vč. roku.</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3</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27"/>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2.17.</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Možnost režimu měsíčních závěrek.</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3</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27"/>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2.18.</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Možnost zablokování uzavřeného účetního období pro další účtování.</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27"/>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2.19.</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Automatické provádění roční závěrky bez nutnosti ručních zásahů, včetně převodu sald, zůstatků na zdrojích financování. Současně ponechat možnost ručních zásahů.</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27"/>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2.20.</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Sledování historie účetních zápisů. Stopa v databázi po zrušených účetních záznamech (např. stornované doklady jednoduše identifikovatelné se souvisejícími doklady).</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3</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27"/>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2.21.</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Účtování dle finančních zdrojů. Možnost nastavení platných kombinací finančního (účetního) zdroje a následná aplikace dle tohoto nastavení, možnost uvedení zdroje jen v části kontačního zápisu (např. pro náklad sledovat, pro dodavatele ne, rozpad nákladové části dle jednotlivých zdrojů na více částek).</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27"/>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2.22.</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Zakládání analytických účtů. Možnost individuálního nastavení charakteru pro jednotlivé analytické účty (povinné, nepovinné, zakázané): nákladové středisko, typ akce, akce (zakázka, projekt, grant), komplexní položka (zdroj financování). Pro každý analytický účet musí být uveden jeho počátek. Ukončit analytický účet lze pouze v případě, že na něm není žádný zůstatek. Nový analytický účet se musí propsat do všech formulářů, výkazů a rozpočtů podle jeho charakteru.</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27"/>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2.23.</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sz w:val="20"/>
                <w:szCs w:val="20"/>
                <w:lang w:eastAsia="cs-CZ"/>
              </w:rPr>
              <w:t xml:space="preserve">Možnost vícezdrojového financování prvotního dokladu – na prvotním dokladu se promítne více různých kombinací zdrojů s vazbou k finanční částce. Každá kombinace finančního zdroje může podléhat jiným schvalovatelům (vazba na schvalovací </w:t>
            </w:r>
            <w:proofErr w:type="spellStart"/>
            <w:r>
              <w:rPr>
                <w:rFonts w:ascii="Arial" w:eastAsia="Times New Roman" w:hAnsi="Arial" w:cs="Arial"/>
                <w:sz w:val="20"/>
                <w:szCs w:val="20"/>
                <w:lang w:eastAsia="cs-CZ"/>
              </w:rPr>
              <w:t>workflow</w:t>
            </w:r>
            <w:proofErr w:type="spellEnd"/>
            <w:r>
              <w:rPr>
                <w:rFonts w:ascii="Arial" w:eastAsia="Times New Roman" w:hAnsi="Arial" w:cs="Arial"/>
                <w:sz w:val="20"/>
                <w:szCs w:val="20"/>
                <w:lang w:eastAsia="cs-CZ"/>
              </w:rPr>
              <w:t>).</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27"/>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2.24.</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 xml:space="preserve">Možnost dodatečné úpravy popisů, textů řádků (oprava textových chyb atd.), </w:t>
            </w:r>
            <w:proofErr w:type="spellStart"/>
            <w:r>
              <w:rPr>
                <w:rFonts w:ascii="Arial" w:eastAsia="Times New Roman" w:hAnsi="Arial" w:cs="Arial"/>
                <w:color w:val="000000"/>
                <w:sz w:val="20"/>
                <w:szCs w:val="20"/>
                <w:lang w:eastAsia="cs-CZ"/>
              </w:rPr>
              <w:t>párovacích</w:t>
            </w:r>
            <w:proofErr w:type="spellEnd"/>
            <w:r>
              <w:rPr>
                <w:rFonts w:ascii="Arial" w:eastAsia="Times New Roman" w:hAnsi="Arial" w:cs="Arial"/>
                <w:color w:val="000000"/>
                <w:sz w:val="20"/>
                <w:szCs w:val="20"/>
                <w:lang w:eastAsia="cs-CZ"/>
              </w:rPr>
              <w:t xml:space="preserve"> symbolů.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27"/>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2.25.</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Párování účetních pohybů v rámci jednoho analytického účtu dle nastavených pravidel (</w:t>
            </w:r>
            <w:proofErr w:type="spellStart"/>
            <w:r>
              <w:rPr>
                <w:rFonts w:ascii="Arial" w:eastAsia="Times New Roman" w:hAnsi="Arial" w:cs="Arial"/>
                <w:color w:val="000000"/>
                <w:sz w:val="20"/>
                <w:szCs w:val="20"/>
                <w:lang w:eastAsia="cs-CZ"/>
              </w:rPr>
              <w:t>párovací</w:t>
            </w:r>
            <w:proofErr w:type="spellEnd"/>
            <w:r>
              <w:rPr>
                <w:rFonts w:ascii="Arial" w:eastAsia="Times New Roman" w:hAnsi="Arial" w:cs="Arial"/>
                <w:color w:val="000000"/>
                <w:sz w:val="20"/>
                <w:szCs w:val="20"/>
                <w:lang w:eastAsia="cs-CZ"/>
              </w:rPr>
              <w:t xml:space="preserve"> symboly, VS, atd.).</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27"/>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2.26.</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 xml:space="preserve">Účetní věta musí minimálně obsahovat: datum účetního případu, číslo prvotního dokladu, analytický účet, název účtu, nákladové středisko, identifikátory zdroje a poskytovatele financování (tj. typ akce, akce, komplexní položka), MD, D, popis účetního případu, </w:t>
            </w:r>
            <w:proofErr w:type="spellStart"/>
            <w:r>
              <w:rPr>
                <w:rFonts w:ascii="Arial" w:eastAsia="Times New Roman" w:hAnsi="Arial" w:cs="Arial"/>
                <w:color w:val="000000"/>
                <w:sz w:val="20"/>
                <w:szCs w:val="20"/>
                <w:lang w:eastAsia="cs-CZ"/>
              </w:rPr>
              <w:t>párovací</w:t>
            </w:r>
            <w:proofErr w:type="spellEnd"/>
            <w:r>
              <w:rPr>
                <w:rFonts w:ascii="Arial" w:eastAsia="Times New Roman" w:hAnsi="Arial" w:cs="Arial"/>
                <w:color w:val="000000"/>
                <w:sz w:val="20"/>
                <w:szCs w:val="20"/>
                <w:lang w:eastAsia="cs-CZ"/>
              </w:rPr>
              <w:t xml:space="preserve"> symbol, min. 3 nepovinné položky (textové pole). Účetní věta musí dále obsahovat částku v CZK a informativně v cizí měně, pokud byl doklad v této měně vystaven.</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27"/>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2.27.</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Automatické plnění položek účetní věty systémem podle zvolených pravidel (i hromadně). U nepovinných položek možnost jejich editace. Pod automatickým plněním položek účetní věty se rozumí nastavení pravidel, podle kterých jsou doplňovány ke konkrétnímu účtu další položky účetní věty (související se zdrojem financování, tj. typ akce, akce, komplexní položka), které s účtem souvisí.</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7</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27"/>
        </w:trPr>
        <w:tc>
          <w:tcPr>
            <w:tcW w:w="77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2.28.</w:t>
            </w:r>
          </w:p>
        </w:tc>
        <w:tc>
          <w:tcPr>
            <w:tcW w:w="986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Podpora sestavení zprávy o realizaci a průběhu čerpání finančních prostředků – filtrování dat minimálně podle parametrů období, analytický účet, akce a připojení dokumentů (z prvotních dokladů) na základě jejich výběru do výstupního souboru. Možnost modifikace názvu dokumentů před jejich uložením do výstupního souboru.</w:t>
            </w:r>
          </w:p>
        </w:tc>
        <w:tc>
          <w:tcPr>
            <w:tcW w:w="127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jc w:val="center"/>
            </w:pPr>
            <w:r>
              <w:rPr>
                <w:rFonts w:ascii="Arial" w:eastAsia="Times New Roman" w:hAnsi="Arial" w:cs="Arial"/>
                <w:color w:val="000000"/>
                <w:sz w:val="20"/>
                <w:szCs w:val="20"/>
                <w:lang w:eastAsia="cs-CZ"/>
              </w:rPr>
              <w:t>5</w:t>
            </w:r>
          </w:p>
        </w:tc>
        <w:tc>
          <w:tcPr>
            <w:tcW w:w="130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R</w:t>
            </w:r>
          </w:p>
        </w:tc>
      </w:tr>
      <w:tr w:rsidR="004B2930" w:rsidTr="00317C3C">
        <w:trPr>
          <w:trHeight w:val="227"/>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2.29.</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Kontrola vyrovnanosti stran MD a DAL.</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2</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0B4E54">
        <w:trPr>
          <w:cantSplit/>
          <w:trHeight w:val="227"/>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2.30.</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 xml:space="preserve">Při založení akce musí být možné zadat informace/parametry: </w:t>
            </w:r>
            <w:r>
              <w:rPr>
                <w:rFonts w:ascii="Arial" w:eastAsia="Times New Roman" w:hAnsi="Arial" w:cs="Arial"/>
                <w:color w:val="000000"/>
                <w:sz w:val="20"/>
                <w:szCs w:val="20"/>
                <w:lang w:eastAsia="cs-CZ"/>
              </w:rPr>
              <w:br/>
              <w:t xml:space="preserve">- volitelný identifikátor akce (min. šestimístný) </w:t>
            </w:r>
            <w:r>
              <w:rPr>
                <w:rFonts w:ascii="Arial" w:eastAsia="Times New Roman" w:hAnsi="Arial" w:cs="Arial"/>
                <w:color w:val="000000"/>
                <w:sz w:val="20"/>
                <w:szCs w:val="20"/>
                <w:lang w:eastAsia="cs-CZ"/>
              </w:rPr>
              <w:br/>
              <w:t xml:space="preserve">- název akce </w:t>
            </w:r>
            <w:r>
              <w:rPr>
                <w:rFonts w:ascii="Arial" w:eastAsia="Times New Roman" w:hAnsi="Arial" w:cs="Arial"/>
                <w:color w:val="000000"/>
                <w:sz w:val="20"/>
                <w:szCs w:val="20"/>
                <w:lang w:eastAsia="cs-CZ"/>
              </w:rPr>
              <w:br/>
              <w:t xml:space="preserve">- typ akce, min. 3 znaky </w:t>
            </w:r>
            <w:r>
              <w:rPr>
                <w:rFonts w:ascii="Arial" w:eastAsia="Times New Roman" w:hAnsi="Arial" w:cs="Arial"/>
                <w:color w:val="000000"/>
                <w:sz w:val="20"/>
                <w:szCs w:val="20"/>
                <w:lang w:eastAsia="cs-CZ"/>
              </w:rPr>
              <w:br/>
              <w:t xml:space="preserve">- komplexní položka min. 4 znaky </w:t>
            </w:r>
            <w:r>
              <w:rPr>
                <w:rFonts w:ascii="Arial" w:eastAsia="Times New Roman" w:hAnsi="Arial" w:cs="Arial"/>
                <w:color w:val="000000"/>
                <w:sz w:val="20"/>
                <w:szCs w:val="20"/>
                <w:lang w:eastAsia="cs-CZ"/>
              </w:rPr>
              <w:br/>
              <w:t xml:space="preserve">- registrační číslo projektu </w:t>
            </w:r>
            <w:r>
              <w:rPr>
                <w:rFonts w:ascii="Arial" w:eastAsia="Times New Roman" w:hAnsi="Arial" w:cs="Arial"/>
                <w:color w:val="000000"/>
                <w:sz w:val="20"/>
                <w:szCs w:val="20"/>
                <w:lang w:eastAsia="cs-CZ"/>
              </w:rPr>
              <w:br/>
              <w:t xml:space="preserve">- doba trvání akce od-do (měsíc, rok) </w:t>
            </w:r>
            <w:r>
              <w:rPr>
                <w:rFonts w:ascii="Arial" w:eastAsia="Times New Roman" w:hAnsi="Arial" w:cs="Arial"/>
                <w:color w:val="000000"/>
                <w:sz w:val="20"/>
                <w:szCs w:val="20"/>
                <w:lang w:eastAsia="cs-CZ"/>
              </w:rPr>
              <w:br/>
              <w:t xml:space="preserve">- nákladová střediska s textovou poznámkou </w:t>
            </w:r>
            <w:r>
              <w:rPr>
                <w:rFonts w:ascii="Arial" w:eastAsia="Times New Roman" w:hAnsi="Arial" w:cs="Arial"/>
                <w:color w:val="000000"/>
                <w:sz w:val="20"/>
                <w:szCs w:val="20"/>
                <w:lang w:eastAsia="cs-CZ"/>
              </w:rPr>
              <w:br/>
              <w:t xml:space="preserve">- hlavní řešitel </w:t>
            </w:r>
            <w:r>
              <w:rPr>
                <w:rFonts w:ascii="Arial" w:eastAsia="Times New Roman" w:hAnsi="Arial" w:cs="Arial"/>
                <w:color w:val="000000"/>
                <w:sz w:val="20"/>
                <w:szCs w:val="20"/>
                <w:lang w:eastAsia="cs-CZ"/>
              </w:rPr>
              <w:br/>
              <w:t>- další odpovědné osoby</w:t>
            </w:r>
            <w:r>
              <w:rPr>
                <w:rFonts w:ascii="Arial" w:eastAsia="Times New Roman" w:hAnsi="Arial" w:cs="Arial"/>
                <w:color w:val="000000"/>
                <w:sz w:val="20"/>
                <w:szCs w:val="20"/>
                <w:lang w:eastAsia="cs-CZ"/>
              </w:rPr>
              <w:br/>
              <w:t xml:space="preserve">- nadefinování práv řešitele a odpovědných osob s finančním limitem (s přenosem práv do rozpočtu) </w:t>
            </w:r>
            <w:r>
              <w:rPr>
                <w:rFonts w:ascii="Arial" w:eastAsia="Times New Roman" w:hAnsi="Arial" w:cs="Arial"/>
                <w:color w:val="000000"/>
                <w:sz w:val="20"/>
                <w:szCs w:val="20"/>
                <w:lang w:eastAsia="cs-CZ"/>
              </w:rPr>
              <w:br/>
              <w:t xml:space="preserve">- možnost čerpání mezd </w:t>
            </w:r>
            <w:r>
              <w:rPr>
                <w:rFonts w:ascii="Arial" w:eastAsia="Times New Roman" w:hAnsi="Arial" w:cs="Arial"/>
                <w:color w:val="000000"/>
                <w:sz w:val="20"/>
                <w:szCs w:val="20"/>
                <w:lang w:eastAsia="cs-CZ"/>
              </w:rPr>
              <w:br/>
              <w:t xml:space="preserve">- možnost čerpání investic </w:t>
            </w:r>
            <w:r>
              <w:rPr>
                <w:rFonts w:ascii="Arial" w:eastAsia="Times New Roman" w:hAnsi="Arial" w:cs="Arial"/>
                <w:color w:val="000000"/>
                <w:sz w:val="20"/>
                <w:szCs w:val="20"/>
                <w:lang w:eastAsia="cs-CZ"/>
              </w:rPr>
              <w:br/>
              <w:t>- poznámka k akci</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24EB5">
        <w:trPr>
          <w:trHeight w:val="340"/>
        </w:trPr>
        <w:tc>
          <w:tcPr>
            <w:tcW w:w="15521" w:type="dxa"/>
            <w:gridSpan w:val="6"/>
            <w:shd w:val="clear" w:color="auto" w:fill="auto"/>
            <w:vAlign w:val="bottom"/>
          </w:tcPr>
          <w:p w:rsidR="004B2930" w:rsidRDefault="004E1353">
            <w:pPr>
              <w:spacing w:before="113" w:after="0"/>
            </w:pPr>
            <w:r>
              <w:rPr>
                <w:rFonts w:ascii="Arial" w:eastAsia="Times New Roman" w:hAnsi="Arial" w:cs="Arial"/>
                <w:b/>
                <w:bCs/>
                <w:color w:val="000000"/>
                <w:sz w:val="20"/>
                <w:szCs w:val="20"/>
                <w:lang w:eastAsia="cs-CZ"/>
              </w:rPr>
              <w:t>Fakturace, saldo </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2.31.</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Kniha přijatých a vydaných faktur včetně možnosti interní fakturace. V měně CZK a dostupných zahraničních měnách.</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4</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2.32.</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Vytváření samostatných deníků pro různé řady dokladů (závazků, pohledávek, ...) podle projektů, měn.</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2.33.</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Evidence závazků a pohledávek včetně uchování textů poznámek (včetně přenosu do tiskových výstupů).</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4</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2.34.</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pacing w:val="-2"/>
                <w:sz w:val="20"/>
                <w:szCs w:val="20"/>
                <w:lang w:eastAsia="cs-CZ"/>
              </w:rPr>
              <w:t xml:space="preserve">Podpora elektronické fakturace s možností vytváření faktur ve formátu MS Word a </w:t>
            </w:r>
            <w:proofErr w:type="spellStart"/>
            <w:r>
              <w:rPr>
                <w:rFonts w:ascii="Arial" w:eastAsia="Times New Roman" w:hAnsi="Arial" w:cs="Arial"/>
                <w:color w:val="000000"/>
                <w:spacing w:val="-2"/>
                <w:sz w:val="20"/>
                <w:szCs w:val="20"/>
                <w:lang w:eastAsia="cs-CZ"/>
              </w:rPr>
              <w:t>pdf</w:t>
            </w:r>
            <w:proofErr w:type="spellEnd"/>
            <w:r>
              <w:rPr>
                <w:rFonts w:ascii="Arial" w:eastAsia="Times New Roman" w:hAnsi="Arial" w:cs="Arial"/>
                <w:color w:val="000000"/>
                <w:spacing w:val="-2"/>
                <w:sz w:val="20"/>
                <w:szCs w:val="20"/>
                <w:lang w:eastAsia="cs-CZ"/>
              </w:rPr>
              <w:t>.</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5</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2.35.</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Možnost kopírovat závazky a pohledávky do nových dokladů, vytváření kopií.</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4</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2.36.</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 xml:space="preserve">U přijatých faktur musí být rozlišitelné stavy: </w:t>
            </w:r>
            <w:r>
              <w:rPr>
                <w:rFonts w:ascii="Arial" w:eastAsia="Times New Roman" w:hAnsi="Arial" w:cs="Arial"/>
                <w:color w:val="000000"/>
                <w:sz w:val="20"/>
                <w:szCs w:val="20"/>
                <w:lang w:eastAsia="cs-CZ"/>
              </w:rPr>
              <w:br/>
              <w:t xml:space="preserve">- faktura zavedená do systému </w:t>
            </w:r>
            <w:r>
              <w:rPr>
                <w:rFonts w:ascii="Arial" w:eastAsia="Times New Roman" w:hAnsi="Arial" w:cs="Arial"/>
                <w:color w:val="000000"/>
                <w:sz w:val="20"/>
                <w:szCs w:val="20"/>
                <w:lang w:eastAsia="cs-CZ"/>
              </w:rPr>
              <w:br/>
              <w:t xml:space="preserve">- faktura schválená </w:t>
            </w:r>
            <w:r>
              <w:rPr>
                <w:rFonts w:ascii="Arial" w:eastAsia="Times New Roman" w:hAnsi="Arial" w:cs="Arial"/>
                <w:color w:val="000000"/>
                <w:sz w:val="20"/>
                <w:szCs w:val="20"/>
                <w:lang w:eastAsia="cs-CZ"/>
              </w:rPr>
              <w:br/>
              <w:t xml:space="preserve">- faktura </w:t>
            </w:r>
            <w:proofErr w:type="spellStart"/>
            <w:r>
              <w:rPr>
                <w:rFonts w:ascii="Arial" w:eastAsia="Times New Roman" w:hAnsi="Arial" w:cs="Arial"/>
                <w:color w:val="000000"/>
                <w:sz w:val="20"/>
                <w:szCs w:val="20"/>
                <w:lang w:eastAsia="cs-CZ"/>
              </w:rPr>
              <w:t>nakontovaná</w:t>
            </w:r>
            <w:proofErr w:type="spellEnd"/>
            <w:r>
              <w:rPr>
                <w:rFonts w:ascii="Arial" w:eastAsia="Times New Roman" w:hAnsi="Arial" w:cs="Arial"/>
                <w:color w:val="000000"/>
                <w:sz w:val="20"/>
                <w:szCs w:val="20"/>
                <w:lang w:eastAsia="cs-CZ"/>
              </w:rPr>
              <w:t xml:space="preserve"> </w:t>
            </w:r>
            <w:r>
              <w:rPr>
                <w:rFonts w:ascii="Arial" w:eastAsia="Times New Roman" w:hAnsi="Arial" w:cs="Arial"/>
                <w:color w:val="000000"/>
                <w:sz w:val="20"/>
                <w:szCs w:val="20"/>
                <w:lang w:eastAsia="cs-CZ"/>
              </w:rPr>
              <w:br/>
              <w:t>Podle stavu faktur musí být nastavitelný filtr</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8</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2.37.</w:t>
            </w:r>
          </w:p>
        </w:tc>
        <w:tc>
          <w:tcPr>
            <w:tcW w:w="986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Automatické vystavování závazků a pohledávek podle zadaných podmínek.</w:t>
            </w:r>
          </w:p>
        </w:tc>
        <w:tc>
          <w:tcPr>
            <w:tcW w:w="127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jc w:val="center"/>
            </w:pPr>
            <w:r>
              <w:rPr>
                <w:rFonts w:ascii="Arial" w:eastAsia="Times New Roman" w:hAnsi="Arial" w:cs="Arial"/>
                <w:color w:val="000000"/>
                <w:sz w:val="20"/>
                <w:szCs w:val="20"/>
                <w:lang w:eastAsia="cs-CZ"/>
              </w:rPr>
              <w:t>8</w:t>
            </w:r>
          </w:p>
        </w:tc>
        <w:tc>
          <w:tcPr>
            <w:tcW w:w="130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R</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2.38.</w:t>
            </w:r>
          </w:p>
        </w:tc>
        <w:tc>
          <w:tcPr>
            <w:tcW w:w="986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sz w:val="20"/>
                <w:szCs w:val="20"/>
                <w:lang w:eastAsia="cs-CZ"/>
              </w:rPr>
              <w:t>Možnost přiložení dokumentů v elektronické podobě prostřednictvím jejich identifikace čárovým kódem k prvotním účetním dokladům. Připojování dokladů k prvotnímu do</w:t>
            </w:r>
            <w:r>
              <w:rPr>
                <w:rFonts w:ascii="Arial" w:eastAsia="Times New Roman" w:hAnsi="Arial" w:cs="Arial"/>
                <w:sz w:val="20"/>
                <w:szCs w:val="20"/>
                <w:lang w:eastAsia="cs-CZ"/>
              </w:rPr>
              <w:softHyphen/>
              <w:t xml:space="preserve">kladu při oběhu dokladů ve </w:t>
            </w:r>
            <w:proofErr w:type="spellStart"/>
            <w:proofErr w:type="gramStart"/>
            <w:r>
              <w:rPr>
                <w:rFonts w:ascii="Arial" w:eastAsia="Times New Roman" w:hAnsi="Arial" w:cs="Arial"/>
                <w:sz w:val="20"/>
                <w:szCs w:val="20"/>
                <w:lang w:eastAsia="cs-CZ"/>
              </w:rPr>
              <w:t>workflow</w:t>
            </w:r>
            <w:proofErr w:type="spellEnd"/>
            <w:proofErr w:type="gramEnd"/>
            <w:r>
              <w:rPr>
                <w:rFonts w:ascii="Arial" w:eastAsia="Times New Roman" w:hAnsi="Arial" w:cs="Arial"/>
                <w:sz w:val="20"/>
                <w:szCs w:val="20"/>
                <w:lang w:eastAsia="cs-CZ"/>
              </w:rPr>
              <w:t>. Možnost přiložení dalších dokladů dle potřeby.</w:t>
            </w:r>
          </w:p>
        </w:tc>
        <w:tc>
          <w:tcPr>
            <w:tcW w:w="127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jc w:val="center"/>
            </w:pPr>
            <w:r>
              <w:rPr>
                <w:rFonts w:ascii="Arial" w:eastAsia="Times New Roman" w:hAnsi="Arial" w:cs="Arial"/>
                <w:color w:val="000000"/>
                <w:sz w:val="20"/>
                <w:szCs w:val="20"/>
                <w:lang w:eastAsia="cs-CZ"/>
              </w:rPr>
              <w:t>6</w:t>
            </w:r>
          </w:p>
        </w:tc>
        <w:tc>
          <w:tcPr>
            <w:tcW w:w="130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R</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2.39.</w:t>
            </w:r>
          </w:p>
        </w:tc>
        <w:tc>
          <w:tcPr>
            <w:tcW w:w="986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sz w:val="20"/>
                <w:szCs w:val="20"/>
                <w:lang w:eastAsia="cs-CZ"/>
              </w:rPr>
              <w:t>Elektronické schvalování finančních zdrojů (jednotlivých kombinací finančních zdrojů, každá kombinace může mít jiného schvalovatele), několik stupňů (úrovní) schvalovatelů včetně jejich finančních limitů pro schvalování (</w:t>
            </w:r>
            <w:proofErr w:type="spellStart"/>
            <w:r>
              <w:rPr>
                <w:rFonts w:ascii="Arial" w:eastAsia="Times New Roman" w:hAnsi="Arial" w:cs="Arial"/>
                <w:sz w:val="20"/>
                <w:szCs w:val="20"/>
                <w:lang w:eastAsia="cs-CZ"/>
              </w:rPr>
              <w:t>workflow</w:t>
            </w:r>
            <w:proofErr w:type="spellEnd"/>
            <w:r>
              <w:rPr>
                <w:rFonts w:ascii="Arial" w:eastAsia="Times New Roman" w:hAnsi="Arial" w:cs="Arial"/>
                <w:sz w:val="20"/>
                <w:szCs w:val="20"/>
                <w:lang w:eastAsia="cs-CZ"/>
              </w:rPr>
              <w:t>).</w:t>
            </w:r>
          </w:p>
        </w:tc>
        <w:tc>
          <w:tcPr>
            <w:tcW w:w="127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jc w:val="center"/>
            </w:pPr>
            <w:r>
              <w:rPr>
                <w:rFonts w:ascii="Arial" w:eastAsia="Times New Roman" w:hAnsi="Arial" w:cs="Arial"/>
                <w:color w:val="000000"/>
                <w:sz w:val="20"/>
                <w:szCs w:val="20"/>
                <w:lang w:eastAsia="cs-CZ"/>
              </w:rPr>
              <w:t>10</w:t>
            </w:r>
          </w:p>
        </w:tc>
        <w:tc>
          <w:tcPr>
            <w:tcW w:w="130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R</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2.40.</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Práce se zálohovými fakturami, párování, hlídání duplicit, upozornění na existenci nespárované zálohy.</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2.41.</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Zápis a účtování závazků a pohledávek včetně záloh na více finančních zdrojů (jeden doklad rozúčtován na více finančních zdrojů).</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2.42.</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Vzájemný zápočet (zápočet pohledávek a závazků za jedním partnerem přímo proti sobě).</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5</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2.43.</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Saldokonta odběratelů, dodavatelů – možnost automatického i ručního párování, párování dle předem nastavitelných parametrů. U ručního párování vyžadujeme vizuální kontrolu položky výpisu s párovanou položkou. Při chybném spárování mož</w:t>
            </w:r>
            <w:r>
              <w:rPr>
                <w:rFonts w:ascii="Arial" w:eastAsia="Times New Roman" w:hAnsi="Arial" w:cs="Arial"/>
                <w:color w:val="000000"/>
                <w:sz w:val="20"/>
                <w:szCs w:val="20"/>
                <w:lang w:eastAsia="cs-CZ"/>
              </w:rPr>
              <w:softHyphen/>
              <w:t>nost navrácení do původního stavu. Párování</w:t>
            </w:r>
            <w:r w:rsidR="0060580B">
              <w:rPr>
                <w:rFonts w:ascii="Arial" w:eastAsia="Times New Roman" w:hAnsi="Arial" w:cs="Arial"/>
                <w:color w:val="000000"/>
                <w:sz w:val="20"/>
                <w:szCs w:val="20"/>
                <w:lang w:eastAsia="cs-CZ"/>
              </w:rPr>
              <w:t xml:space="preserve"> závazku a pohledávky s úhradou </w:t>
            </w:r>
            <w:r>
              <w:rPr>
                <w:rFonts w:ascii="Arial" w:eastAsia="Times New Roman" w:hAnsi="Arial" w:cs="Arial"/>
                <w:color w:val="000000"/>
                <w:sz w:val="20"/>
                <w:szCs w:val="20"/>
                <w:lang w:eastAsia="cs-CZ"/>
              </w:rPr>
              <w:t>musí být možné bez ohledu na stav jejich zpracování (např. zaúčtovaný, nezaúčtovaný).</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2.44.</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Účetní likvidace plateb přímo z banky (které nemají jako protistranu pohledávku či závazek) ručně i automaticky (podle zadaných předem nastavených parametrů, pravidel).</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7</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2.45.</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 xml:space="preserve">Vzájemné párování (identifikace vazeb) žádanek, objednávek, faktur, opravných daňových dokladů (dobropisů, skladových pohybů, záloh, plateb, smluv, rozpočtů).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7</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cantSplit/>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2.46.</w:t>
            </w:r>
          </w:p>
        </w:tc>
        <w:tc>
          <w:tcPr>
            <w:tcW w:w="986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Při přiřazení čísla objednávky nebo smlouvy s předem definovaným zdrojem financování (středisko,  typ akce, akce a komplexní položka) se k závazku automaticky nabídne/</w:t>
            </w:r>
            <w:proofErr w:type="spellStart"/>
            <w:r>
              <w:rPr>
                <w:rFonts w:ascii="Arial" w:eastAsia="Times New Roman" w:hAnsi="Arial" w:cs="Arial"/>
                <w:color w:val="000000"/>
                <w:sz w:val="20"/>
                <w:szCs w:val="20"/>
                <w:lang w:eastAsia="cs-CZ"/>
              </w:rPr>
              <w:t>předvyplní</w:t>
            </w:r>
            <w:proofErr w:type="spellEnd"/>
            <w:r>
              <w:rPr>
                <w:rFonts w:ascii="Arial" w:eastAsia="Times New Roman" w:hAnsi="Arial" w:cs="Arial"/>
                <w:color w:val="000000"/>
                <w:sz w:val="20"/>
                <w:szCs w:val="20"/>
                <w:lang w:eastAsia="cs-CZ"/>
              </w:rPr>
              <w:t xml:space="preserve"> zdroj financování z objednávky/smlouvy.</w:t>
            </w:r>
          </w:p>
        </w:tc>
        <w:tc>
          <w:tcPr>
            <w:tcW w:w="127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jc w:val="center"/>
            </w:pPr>
            <w:r>
              <w:rPr>
                <w:rFonts w:ascii="Arial" w:eastAsia="Times New Roman" w:hAnsi="Arial" w:cs="Arial"/>
                <w:color w:val="000000"/>
                <w:sz w:val="20"/>
                <w:szCs w:val="20"/>
                <w:lang w:eastAsia="cs-CZ"/>
              </w:rPr>
              <w:t>10</w:t>
            </w:r>
          </w:p>
        </w:tc>
        <w:tc>
          <w:tcPr>
            <w:tcW w:w="130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R</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2.47.</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 xml:space="preserve">Uživatelské nastavení </w:t>
            </w:r>
            <w:proofErr w:type="spellStart"/>
            <w:r>
              <w:rPr>
                <w:rFonts w:ascii="Arial" w:eastAsia="Times New Roman" w:hAnsi="Arial" w:cs="Arial"/>
                <w:color w:val="000000"/>
                <w:sz w:val="20"/>
                <w:szCs w:val="20"/>
                <w:lang w:eastAsia="cs-CZ"/>
              </w:rPr>
              <w:t>rozkontací</w:t>
            </w:r>
            <w:proofErr w:type="spellEnd"/>
            <w:r>
              <w:rPr>
                <w:rFonts w:ascii="Arial" w:eastAsia="Times New Roman" w:hAnsi="Arial" w:cs="Arial"/>
                <w:color w:val="000000"/>
                <w:sz w:val="20"/>
                <w:szCs w:val="20"/>
                <w:lang w:eastAsia="cs-CZ"/>
              </w:rPr>
              <w:t>, předkontací plateb, nastavení účetních pravidel předkontací.</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5</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2.48.</w:t>
            </w:r>
          </w:p>
          <w:p w:rsidR="004B2930" w:rsidRDefault="004E1353">
            <w:pPr>
              <w:spacing w:after="0"/>
            </w:pPr>
            <w:r>
              <w:rPr>
                <w:rFonts w:ascii="Arial" w:eastAsia="Times New Roman" w:hAnsi="Arial" w:cs="Arial"/>
                <w:color w:val="000000"/>
                <w:sz w:val="20"/>
                <w:szCs w:val="20"/>
                <w:lang w:eastAsia="cs-CZ"/>
              </w:rPr>
              <w:t>KNAV</w:t>
            </w:r>
            <w:r w:rsidR="00317C3C">
              <w:rPr>
                <w:rFonts w:ascii="Arial" w:eastAsia="Times New Roman" w:hAnsi="Arial" w:cs="Arial"/>
                <w:color w:val="000000"/>
                <w:sz w:val="20"/>
                <w:szCs w:val="20"/>
                <w:lang w:eastAsia="cs-CZ"/>
              </w:rPr>
              <w:t xml:space="preserve">, </w:t>
            </w:r>
            <w:r>
              <w:rPr>
                <w:rFonts w:ascii="Arial" w:eastAsia="Times New Roman" w:hAnsi="Arial" w:cs="Arial"/>
                <w:color w:val="000000"/>
                <w:sz w:val="20"/>
                <w:szCs w:val="20"/>
                <w:lang w:eastAsia="cs-CZ"/>
              </w:rPr>
              <w:t>ÚSP</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Podpora zpracování upomínek k pohledávkám, stupňování upomínek – zpracování hromadně nebo i pro jednoho jednotlivého odběratele. Možnost definovat generování upomínky po uplynutí splatnosti faktur – možnost odsouhlasení, zrušení či posunutí termínu vystavení upomínky.</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3</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2.49.</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Podpora zpracování pohledávek a závazků v cizí měně vč. záloh a jejich párování (jedna č i více měn na jednom dokladu). Následná práce s doklady v cizí měně (tiskové výstupy, promítnutí do rozpočtů, apod.).</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6</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2.50.</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Podpora pro analýzy pohledávek a závazků podle stáří, zákazníků, finančních zdrojů (se kterými jsou spojeny), doby po splatnosti apod. s návazností na tvorbu opravných položek a odpisů, inventarizace pohledávek a závazků.</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4</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2.51.</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 xml:space="preserve">Průběžné sledování a hodnocení nevyúčtovaných záloh, stálé zálohy. Možnost nastavení upozornění / blokace poskytnutí další zálohy zaměstnanci, který má předchozí nevyúčtovanou – ruční odblokování po důrazném upozornění.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3</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2.52.</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proofErr w:type="spellStart"/>
            <w:r>
              <w:rPr>
                <w:rFonts w:ascii="Arial" w:eastAsia="Times New Roman" w:hAnsi="Arial" w:cs="Arial"/>
                <w:sz w:val="20"/>
                <w:szCs w:val="20"/>
                <w:lang w:eastAsia="cs-CZ"/>
              </w:rPr>
              <w:t>Workflow</w:t>
            </w:r>
            <w:proofErr w:type="spellEnd"/>
            <w:r>
              <w:rPr>
                <w:rFonts w:ascii="Arial" w:eastAsia="Times New Roman" w:hAnsi="Arial" w:cs="Arial"/>
                <w:sz w:val="20"/>
                <w:szCs w:val="20"/>
                <w:lang w:eastAsia="cs-CZ"/>
              </w:rPr>
              <w:t xml:space="preserve"> likvidace závazků.</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24EB5">
        <w:trPr>
          <w:trHeight w:val="340"/>
        </w:trPr>
        <w:tc>
          <w:tcPr>
            <w:tcW w:w="15521" w:type="dxa"/>
            <w:gridSpan w:val="6"/>
            <w:shd w:val="clear" w:color="auto" w:fill="auto"/>
            <w:vAlign w:val="bottom"/>
          </w:tcPr>
          <w:p w:rsidR="004B2930" w:rsidRDefault="004E1353">
            <w:pPr>
              <w:spacing w:before="113" w:after="0"/>
            </w:pPr>
            <w:r>
              <w:rPr>
                <w:rFonts w:ascii="Arial" w:eastAsia="Times New Roman" w:hAnsi="Arial" w:cs="Arial"/>
                <w:b/>
                <w:bCs/>
                <w:color w:val="000000"/>
                <w:sz w:val="20"/>
                <w:szCs w:val="20"/>
                <w:lang w:eastAsia="cs-CZ"/>
              </w:rPr>
              <w:t>Banka </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2.53.</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Platební styk s podporou e-</w:t>
            </w:r>
            <w:proofErr w:type="spellStart"/>
            <w:r>
              <w:rPr>
                <w:rFonts w:ascii="Arial" w:eastAsia="Times New Roman" w:hAnsi="Arial" w:cs="Arial"/>
                <w:color w:val="000000"/>
                <w:sz w:val="20"/>
                <w:szCs w:val="20"/>
                <w:lang w:eastAsia="cs-CZ"/>
              </w:rPr>
              <w:t>bankingu</w:t>
            </w:r>
            <w:proofErr w:type="spellEnd"/>
            <w:r>
              <w:rPr>
                <w:rFonts w:ascii="Arial" w:eastAsia="Times New Roman" w:hAnsi="Arial" w:cs="Arial"/>
                <w:color w:val="000000"/>
                <w:sz w:val="20"/>
                <w:szCs w:val="20"/>
                <w:lang w:eastAsia="cs-CZ"/>
              </w:rPr>
              <w:t>. Podpora elektronické komunikace s tuzemskými peněžními ústavy, plný elektronický styk s bankami – příkazy tuzemské, zasílání elektronicky, stahování výpisů, hromadné stahování výpisů.</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6</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2.54.</w:t>
            </w:r>
          </w:p>
          <w:p w:rsidR="004B2930" w:rsidRDefault="004E1353">
            <w:pPr>
              <w:spacing w:after="0"/>
            </w:pPr>
            <w:r>
              <w:rPr>
                <w:rFonts w:ascii="Arial" w:eastAsia="Times New Roman" w:hAnsi="Arial" w:cs="Arial"/>
                <w:color w:val="000000"/>
                <w:sz w:val="20"/>
                <w:szCs w:val="20"/>
                <w:lang w:eastAsia="cs-CZ"/>
              </w:rPr>
              <w:t>OÚ</w:t>
            </w:r>
          </w:p>
        </w:tc>
        <w:tc>
          <w:tcPr>
            <w:tcW w:w="986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Platební styk s podporou e-</w:t>
            </w:r>
            <w:proofErr w:type="spellStart"/>
            <w:r>
              <w:rPr>
                <w:rFonts w:ascii="Arial" w:eastAsia="Times New Roman" w:hAnsi="Arial" w:cs="Arial"/>
                <w:color w:val="000000"/>
                <w:sz w:val="20"/>
                <w:szCs w:val="20"/>
                <w:lang w:eastAsia="cs-CZ"/>
              </w:rPr>
              <w:t>bankingu</w:t>
            </w:r>
            <w:proofErr w:type="spellEnd"/>
            <w:r>
              <w:rPr>
                <w:rFonts w:ascii="Arial" w:eastAsia="Times New Roman" w:hAnsi="Arial" w:cs="Arial"/>
                <w:color w:val="000000"/>
                <w:sz w:val="20"/>
                <w:szCs w:val="20"/>
                <w:lang w:eastAsia="cs-CZ"/>
              </w:rPr>
              <w:t>. Platební příkazy v cizí měně, použití devizových účtů. Možnost vyplnění příkazu do zahraničí (IBAN, SWIFT, BIC SEPA,…).</w:t>
            </w:r>
          </w:p>
        </w:tc>
        <w:tc>
          <w:tcPr>
            <w:tcW w:w="127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jc w:val="center"/>
            </w:pPr>
            <w:r>
              <w:rPr>
                <w:rFonts w:ascii="Arial" w:eastAsia="Times New Roman" w:hAnsi="Arial" w:cs="Arial"/>
                <w:color w:val="000000"/>
                <w:sz w:val="20"/>
                <w:szCs w:val="20"/>
                <w:lang w:eastAsia="cs-CZ"/>
              </w:rPr>
              <w:t>6</w:t>
            </w:r>
          </w:p>
        </w:tc>
        <w:tc>
          <w:tcPr>
            <w:tcW w:w="130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R</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2.55.</w:t>
            </w:r>
          </w:p>
        </w:tc>
        <w:tc>
          <w:tcPr>
            <w:tcW w:w="986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Podepisování příkazů pomocí systémových i osobních certifikátů (i větším počtem certifikátů na jednom příkazu).</w:t>
            </w:r>
          </w:p>
        </w:tc>
        <w:tc>
          <w:tcPr>
            <w:tcW w:w="127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jc w:val="center"/>
            </w:pPr>
            <w:r>
              <w:rPr>
                <w:rFonts w:ascii="Arial" w:eastAsia="Times New Roman" w:hAnsi="Arial" w:cs="Arial"/>
                <w:color w:val="000000"/>
                <w:sz w:val="20"/>
                <w:szCs w:val="20"/>
                <w:lang w:eastAsia="cs-CZ"/>
              </w:rPr>
              <w:t>6</w:t>
            </w:r>
          </w:p>
        </w:tc>
        <w:tc>
          <w:tcPr>
            <w:tcW w:w="130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R</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2.56.</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Sestavování příkazů k hromadné platbě výběrem z při pravených plateb, blokace vygenerování opětovné úhrady.</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2.57.</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Import rozpisu úhrad platebními kartami. Párování vrácených plateb s opravnými doklady.</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8</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2.58.</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Automatická kontace hromadných plateb banky, párování závazků a pohledávek podle kritérií (min. VS, částka, měna, číslo bankovního účtu protistrany).</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9</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2.59.</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Možnost nastavení pravidel pro automatickou účetní likvidaci opakujících se plateb (mzdy, bankovní poplatky, převody apod.).</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9</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24EB5">
        <w:trPr>
          <w:trHeight w:val="340"/>
        </w:trPr>
        <w:tc>
          <w:tcPr>
            <w:tcW w:w="15521" w:type="dxa"/>
            <w:gridSpan w:val="6"/>
            <w:shd w:val="clear" w:color="auto" w:fill="auto"/>
            <w:vAlign w:val="bottom"/>
          </w:tcPr>
          <w:p w:rsidR="004B2930" w:rsidRDefault="004E1353">
            <w:pPr>
              <w:spacing w:before="113" w:after="0"/>
            </w:pPr>
            <w:r>
              <w:rPr>
                <w:rFonts w:ascii="Arial" w:eastAsia="Times New Roman" w:hAnsi="Arial" w:cs="Arial"/>
                <w:b/>
                <w:bCs/>
                <w:color w:val="000000"/>
                <w:sz w:val="20"/>
                <w:szCs w:val="20"/>
                <w:lang w:eastAsia="cs-CZ"/>
              </w:rPr>
              <w:t>Pokladna </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2.60.</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Tuzemské i valutové pokladny.</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2</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2.61.</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Přímá vazba pokladny na konkrétní osoby s ohledem na hmotnou odpovědnost, řešení zástupů.</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6</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2.62.</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Zjednodušené daňové doklady k přijatým platbám odpovídající podmínkám zákona o DPH.</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2</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2.63.</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Přiřazování hotovostních úhrad k závazkům a pohledávkám, částečné úhrady.</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2</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2.64.</w:t>
            </w:r>
          </w:p>
        </w:tc>
        <w:tc>
          <w:tcPr>
            <w:tcW w:w="986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Hromadné úhrady (jeden pokladní doklad k několika závazkům, několika pohledávkám, kombinaci pohledávek a závazků) vůči jednomu příjemci/plátci.</w:t>
            </w:r>
          </w:p>
        </w:tc>
        <w:tc>
          <w:tcPr>
            <w:tcW w:w="127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jc w:val="center"/>
            </w:pPr>
            <w:r>
              <w:rPr>
                <w:rFonts w:ascii="Arial" w:eastAsia="Times New Roman" w:hAnsi="Arial" w:cs="Arial"/>
                <w:color w:val="000000"/>
                <w:sz w:val="20"/>
                <w:szCs w:val="20"/>
                <w:lang w:eastAsia="cs-CZ"/>
              </w:rPr>
              <w:t>10</w:t>
            </w:r>
          </w:p>
        </w:tc>
        <w:tc>
          <w:tcPr>
            <w:tcW w:w="130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R</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2.65.</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Automatické otevírání nového měsíce dle aktuálního dne (období), včetně upozornění uživatele na tuto skutečnost.</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3</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2.66.</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Nezávislé uzavírání jednotlivých tuzemských i valutových pokladen.</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3</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2.67.</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 xml:space="preserve">Vyúčtování zahraniční cesty – zálohy v cizí měně i </w:t>
            </w:r>
            <w:r w:rsidR="0060580B">
              <w:rPr>
                <w:rFonts w:ascii="Arial" w:eastAsia="Times New Roman" w:hAnsi="Arial" w:cs="Arial"/>
                <w:color w:val="000000"/>
                <w:sz w:val="20"/>
                <w:szCs w:val="20"/>
                <w:lang w:eastAsia="cs-CZ"/>
              </w:rPr>
              <w:t xml:space="preserve">v </w:t>
            </w:r>
            <w:r>
              <w:rPr>
                <w:rFonts w:ascii="Arial" w:eastAsia="Times New Roman" w:hAnsi="Arial" w:cs="Arial"/>
                <w:color w:val="000000"/>
                <w:sz w:val="20"/>
                <w:szCs w:val="20"/>
                <w:lang w:eastAsia="cs-CZ"/>
              </w:rPr>
              <w:t>CZK, vyplacení vyúčtování</w:t>
            </w:r>
            <w:r w:rsidR="0060580B">
              <w:rPr>
                <w:rFonts w:ascii="Arial" w:eastAsia="Times New Roman" w:hAnsi="Arial" w:cs="Arial"/>
                <w:color w:val="000000"/>
                <w:sz w:val="20"/>
                <w:szCs w:val="20"/>
                <w:lang w:eastAsia="cs-CZ"/>
              </w:rPr>
              <w:t xml:space="preserve"> zahraniční cesty v cizí měně i v </w:t>
            </w:r>
            <w:r>
              <w:rPr>
                <w:rFonts w:ascii="Arial" w:eastAsia="Times New Roman" w:hAnsi="Arial" w:cs="Arial"/>
                <w:color w:val="000000"/>
                <w:sz w:val="20"/>
                <w:szCs w:val="20"/>
                <w:lang w:eastAsia="cs-CZ"/>
              </w:rPr>
              <w:t>CZK.</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8</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2.68.</w:t>
            </w:r>
          </w:p>
          <w:p w:rsidR="004B2930" w:rsidRDefault="004E1353">
            <w:pPr>
              <w:spacing w:after="0"/>
            </w:pPr>
            <w:r>
              <w:rPr>
                <w:rFonts w:ascii="Arial" w:eastAsia="Times New Roman" w:hAnsi="Arial" w:cs="Arial"/>
                <w:color w:val="000000"/>
                <w:sz w:val="20"/>
                <w:szCs w:val="20"/>
                <w:lang w:eastAsia="cs-CZ"/>
              </w:rPr>
              <w:t>KNAV</w:t>
            </w:r>
          </w:p>
        </w:tc>
        <w:tc>
          <w:tcPr>
            <w:tcW w:w="986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 xml:space="preserve">On line komunikace pokladny (pokladen) </w:t>
            </w:r>
            <w:proofErr w:type="gramStart"/>
            <w:r>
              <w:rPr>
                <w:rFonts w:ascii="Arial" w:eastAsia="Times New Roman" w:hAnsi="Arial" w:cs="Arial"/>
                <w:color w:val="000000"/>
                <w:sz w:val="20"/>
                <w:szCs w:val="20"/>
                <w:lang w:eastAsia="cs-CZ"/>
              </w:rPr>
              <w:t>se</w:t>
            </w:r>
            <w:proofErr w:type="gramEnd"/>
            <w:r>
              <w:rPr>
                <w:rFonts w:ascii="Arial" w:eastAsia="Times New Roman" w:hAnsi="Arial" w:cs="Arial"/>
                <w:color w:val="000000"/>
                <w:sz w:val="20"/>
                <w:szCs w:val="20"/>
                <w:lang w:eastAsia="cs-CZ"/>
              </w:rPr>
              <w:t xml:space="preserve"> systémem elektronické evidence tržeb.</w:t>
            </w:r>
          </w:p>
        </w:tc>
        <w:tc>
          <w:tcPr>
            <w:tcW w:w="127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jc w:val="center"/>
            </w:pPr>
            <w:r>
              <w:rPr>
                <w:rFonts w:ascii="Arial" w:eastAsia="Times New Roman" w:hAnsi="Arial" w:cs="Arial"/>
                <w:color w:val="000000"/>
                <w:sz w:val="20"/>
                <w:szCs w:val="20"/>
                <w:lang w:eastAsia="cs-CZ"/>
              </w:rPr>
              <w:t>4</w:t>
            </w:r>
          </w:p>
        </w:tc>
        <w:tc>
          <w:tcPr>
            <w:tcW w:w="130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R</w:t>
            </w:r>
          </w:p>
        </w:tc>
      </w:tr>
      <w:tr w:rsidR="004B2930" w:rsidTr="00324EB5">
        <w:trPr>
          <w:trHeight w:val="340"/>
        </w:trPr>
        <w:tc>
          <w:tcPr>
            <w:tcW w:w="15521" w:type="dxa"/>
            <w:gridSpan w:val="6"/>
            <w:shd w:val="clear" w:color="auto" w:fill="auto"/>
          </w:tcPr>
          <w:p w:rsidR="004B2930" w:rsidRDefault="004E1353">
            <w:pPr>
              <w:spacing w:before="113" w:after="0"/>
            </w:pPr>
            <w:r>
              <w:rPr>
                <w:rFonts w:ascii="Arial" w:eastAsia="Times New Roman" w:hAnsi="Arial" w:cs="Arial"/>
                <w:b/>
                <w:bCs/>
                <w:color w:val="000000"/>
                <w:sz w:val="20"/>
                <w:szCs w:val="20"/>
                <w:lang w:eastAsia="cs-CZ"/>
              </w:rPr>
              <w:t>Cizí měna </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2.69.</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Aktuální kurzový lístek dle ČNB, on-line doplňování dle ČNB.</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5</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2.70.</w:t>
            </w:r>
          </w:p>
        </w:tc>
        <w:tc>
          <w:tcPr>
            <w:tcW w:w="986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Možnost použití pevného kurzu, možnost zadání pevného kurzu na 3 desetinná místa – v celém systému (především u závazků, pohledávek, pokladny, bankovních účtů).</w:t>
            </w:r>
          </w:p>
        </w:tc>
        <w:tc>
          <w:tcPr>
            <w:tcW w:w="127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jc w:val="center"/>
            </w:pPr>
            <w:r>
              <w:rPr>
                <w:rFonts w:ascii="Arial" w:eastAsia="Times New Roman" w:hAnsi="Arial" w:cs="Arial"/>
                <w:color w:val="000000"/>
                <w:sz w:val="20"/>
                <w:szCs w:val="20"/>
                <w:lang w:eastAsia="cs-CZ"/>
              </w:rPr>
              <w:t>2</w:t>
            </w:r>
          </w:p>
        </w:tc>
        <w:tc>
          <w:tcPr>
            <w:tcW w:w="130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R</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2.71.</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Při práci se záznamy v cizí měně automatické využívání kurzu (primárně dle kurzového lístku ČNB) pro přepočet na CZK.</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5</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2.72.</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Vedení valutových pokladen, prvotní doklady v cizí měně, pohyby na bankovních účtech v cizích měnách, devizové účty.</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6</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2.73.</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Hromadný výpočet a účtování kurzových rozdílů.</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6</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2.74.</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Párování plateb a dokladů v cizí měně s automatizovanou podporou výpočtu a účtování kurzových rozdílů.</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8</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2.75.</w:t>
            </w:r>
          </w:p>
        </w:tc>
        <w:tc>
          <w:tcPr>
            <w:tcW w:w="986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Možnost evidence rozpočtů a úkolů/zakázek v cizí měně.</w:t>
            </w:r>
          </w:p>
        </w:tc>
        <w:tc>
          <w:tcPr>
            <w:tcW w:w="127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jc w:val="center"/>
            </w:pPr>
            <w:r>
              <w:rPr>
                <w:rFonts w:ascii="Arial" w:eastAsia="Times New Roman" w:hAnsi="Arial" w:cs="Arial"/>
                <w:color w:val="000000"/>
                <w:sz w:val="20"/>
                <w:szCs w:val="20"/>
                <w:lang w:eastAsia="cs-CZ"/>
              </w:rPr>
              <w:t>3</w:t>
            </w:r>
          </w:p>
        </w:tc>
        <w:tc>
          <w:tcPr>
            <w:tcW w:w="130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R</w:t>
            </w:r>
          </w:p>
        </w:tc>
      </w:tr>
      <w:tr w:rsidR="004B2930" w:rsidTr="00324EB5">
        <w:trPr>
          <w:trHeight w:val="340"/>
        </w:trPr>
        <w:tc>
          <w:tcPr>
            <w:tcW w:w="15521" w:type="dxa"/>
            <w:gridSpan w:val="6"/>
            <w:shd w:val="clear" w:color="auto" w:fill="auto"/>
            <w:vAlign w:val="bottom"/>
          </w:tcPr>
          <w:p w:rsidR="004B2930" w:rsidRDefault="004E1353">
            <w:pPr>
              <w:spacing w:before="113" w:after="0"/>
            </w:pPr>
            <w:r>
              <w:rPr>
                <w:rFonts w:ascii="Arial" w:eastAsia="Times New Roman" w:hAnsi="Arial" w:cs="Arial"/>
                <w:b/>
                <w:bCs/>
                <w:color w:val="000000"/>
                <w:sz w:val="20"/>
                <w:szCs w:val="20"/>
                <w:lang w:eastAsia="cs-CZ"/>
              </w:rPr>
              <w:t>DPH </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2.76.</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Evidence sazeb DPH s ohledem na požadavky zákona, aktualizace dle aktuálně platné legislativy, včetně krácení a poměrového koeficientu, podpora při změně sazby.</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2.77.</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Evidence a výpočty podkladů pro DPH, příprava podkladů pro přiznání k DPH, DPH a kontrolní hlášení vč. přiznání ve zvláštním režimu jednoho správního místa, souhrnného hlášení a přenesení daňové povinnosti. Vyměření DPH u došlých faktur a ostatních závazků a následná kontrola s účetnictvím.</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5</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2.78.</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U každého daňového dokladu vazba na prvotní doklad a přiznání k DPH s možností zobrazení těchto dokladů jednoduchým způsobem (</w:t>
            </w:r>
            <w:proofErr w:type="spellStart"/>
            <w:r>
              <w:rPr>
                <w:rFonts w:ascii="Arial" w:eastAsia="Times New Roman" w:hAnsi="Arial" w:cs="Arial"/>
                <w:color w:val="000000"/>
                <w:sz w:val="20"/>
                <w:szCs w:val="20"/>
                <w:lang w:eastAsia="cs-CZ"/>
              </w:rPr>
              <w:t>prokliknutím</w:t>
            </w:r>
            <w:proofErr w:type="spellEnd"/>
            <w:r>
              <w:rPr>
                <w:rFonts w:ascii="Arial" w:eastAsia="Times New Roman" w:hAnsi="Arial" w:cs="Arial"/>
                <w:color w:val="000000"/>
                <w:sz w:val="20"/>
                <w:szCs w:val="20"/>
                <w:lang w:eastAsia="cs-CZ"/>
              </w:rPr>
              <w:t>).</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2.79.</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Zobrazení chybových hlášení vůči splnění požadavků zákona o DPH a navazujících předpisů (odchylky od výše DPH odpovídající zvolené sazbě, neodpovídajících období,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2.80.</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 xml:space="preserve">U zobrazených chybových hlášení vůči splnění požadavků zákona o DPH možnost zobrazení konkrétního chybového řádku s odkazem na příslušný prvotní daňový doklad.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5</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2.81.</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Výstup pro přiznání k DPH a kontrolní hlášení ve formátu dle požadavků MF ČR včetně povinných příloh (formát XML i tisknutelný formát).</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3</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cantSplit/>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2.82.</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Propojení DPH se souvisejícími agendami (závazky, pohledávky, poklad na, banka). Pořízení daňových dokladů – cizí měny (podklad pro přepočet základu daně, částky daně na českou měnu v předepsaném kurzu).</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3</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2.83.</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U jednoho daňového dokladu možnost uvedení více sazeb daně.</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5</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2.84.</w:t>
            </w:r>
          </w:p>
        </w:tc>
        <w:tc>
          <w:tcPr>
            <w:tcW w:w="986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sz w:val="20"/>
                <w:szCs w:val="20"/>
                <w:lang w:eastAsia="cs-CZ"/>
              </w:rPr>
              <w:t xml:space="preserve">Částka z dokladu o DPH musí být součástí </w:t>
            </w:r>
            <w:proofErr w:type="spellStart"/>
            <w:r>
              <w:rPr>
                <w:rFonts w:ascii="Arial" w:eastAsia="Times New Roman" w:hAnsi="Arial" w:cs="Arial"/>
                <w:sz w:val="20"/>
                <w:szCs w:val="20"/>
                <w:lang w:eastAsia="cs-CZ"/>
              </w:rPr>
              <w:t>workflow</w:t>
            </w:r>
            <w:proofErr w:type="spellEnd"/>
            <w:r>
              <w:rPr>
                <w:rFonts w:ascii="Arial" w:eastAsia="Times New Roman" w:hAnsi="Arial" w:cs="Arial"/>
                <w:sz w:val="20"/>
                <w:szCs w:val="20"/>
                <w:lang w:eastAsia="cs-CZ"/>
              </w:rPr>
              <w:t xml:space="preserve"> likvidace závazků.</w:t>
            </w:r>
          </w:p>
        </w:tc>
        <w:tc>
          <w:tcPr>
            <w:tcW w:w="127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jc w:val="center"/>
            </w:pPr>
            <w:r>
              <w:rPr>
                <w:rFonts w:ascii="Arial" w:eastAsia="Times New Roman" w:hAnsi="Arial" w:cs="Arial"/>
                <w:color w:val="000000"/>
                <w:sz w:val="20"/>
                <w:szCs w:val="20"/>
                <w:lang w:eastAsia="cs-CZ"/>
              </w:rPr>
              <w:t>5</w:t>
            </w:r>
          </w:p>
        </w:tc>
        <w:tc>
          <w:tcPr>
            <w:tcW w:w="130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R</w:t>
            </w:r>
          </w:p>
        </w:tc>
      </w:tr>
      <w:tr w:rsidR="004B2930" w:rsidTr="00324EB5">
        <w:trPr>
          <w:trHeight w:val="340"/>
        </w:trPr>
        <w:tc>
          <w:tcPr>
            <w:tcW w:w="15521" w:type="dxa"/>
            <w:gridSpan w:val="6"/>
            <w:shd w:val="clear" w:color="auto" w:fill="auto"/>
            <w:vAlign w:val="bottom"/>
          </w:tcPr>
          <w:p w:rsidR="004B2930" w:rsidRDefault="004E1353">
            <w:pPr>
              <w:spacing w:before="113" w:after="0"/>
            </w:pPr>
            <w:r>
              <w:rPr>
                <w:rFonts w:ascii="Arial" w:eastAsia="Times New Roman" w:hAnsi="Arial" w:cs="Arial"/>
                <w:b/>
                <w:bCs/>
                <w:sz w:val="20"/>
                <w:szCs w:val="20"/>
                <w:lang w:eastAsia="cs-CZ"/>
              </w:rPr>
              <w:t>Objednávky </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2.85.</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sz w:val="20"/>
                <w:szCs w:val="20"/>
                <w:lang w:eastAsia="cs-CZ"/>
              </w:rPr>
              <w:t>Zadávání, vytváření a schvalování žádanek. Schvalování žádostí, finančních zdrojů žádostí s ohledem na zákon 320/2001 Sb., vícestupňové schvalování zdrojů (</w:t>
            </w:r>
            <w:proofErr w:type="spellStart"/>
            <w:r>
              <w:rPr>
                <w:rFonts w:ascii="Arial" w:eastAsia="Times New Roman" w:hAnsi="Arial" w:cs="Arial"/>
                <w:sz w:val="20"/>
                <w:szCs w:val="20"/>
                <w:lang w:eastAsia="cs-CZ"/>
              </w:rPr>
              <w:t>workflow</w:t>
            </w:r>
            <w:proofErr w:type="spellEnd"/>
            <w:r>
              <w:rPr>
                <w:rFonts w:ascii="Arial" w:eastAsia="Times New Roman" w:hAnsi="Arial" w:cs="Arial"/>
                <w:sz w:val="20"/>
                <w:szCs w:val="20"/>
                <w:lang w:eastAsia="cs-CZ"/>
              </w:rPr>
              <w:t>).</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2.86.</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Tvorba vícezdrojových objednávek - jedna objednávka financována z několika zdrojů, kombinací finančních zdrojů.</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8</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2.87.</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Vazba na rozpočty (předběžná blokace) v okamžiku zadání zdroje a částky do žádanky.</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8</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2.88.</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Vazba objednávek a faktur (předběžná blokace se mění na skutečné čerpání dle účetních zápisů).</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5</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2.89.</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Možnost modifikace textů na objednávce.</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2.90.</w:t>
            </w:r>
          </w:p>
          <w:p w:rsidR="004B2930" w:rsidRDefault="004E1353">
            <w:pPr>
              <w:spacing w:after="0"/>
            </w:pPr>
            <w:r>
              <w:rPr>
                <w:rFonts w:ascii="Arial" w:eastAsia="Times New Roman" w:hAnsi="Arial" w:cs="Arial"/>
                <w:color w:val="000000"/>
                <w:sz w:val="20"/>
                <w:szCs w:val="20"/>
                <w:lang w:eastAsia="cs-CZ"/>
              </w:rPr>
              <w:t>KNAV</w:t>
            </w:r>
          </w:p>
          <w:p w:rsidR="004B2930" w:rsidRDefault="004E1353">
            <w:pPr>
              <w:spacing w:after="0"/>
            </w:pPr>
            <w:r>
              <w:rPr>
                <w:rFonts w:ascii="Arial" w:eastAsia="Times New Roman" w:hAnsi="Arial" w:cs="Arial"/>
                <w:color w:val="000000"/>
                <w:sz w:val="20"/>
                <w:szCs w:val="20"/>
                <w:lang w:eastAsia="cs-CZ"/>
              </w:rPr>
              <w:t>MÚ</w:t>
            </w:r>
          </w:p>
          <w:p w:rsidR="004B2930" w:rsidRDefault="004E1353">
            <w:pPr>
              <w:spacing w:after="0"/>
            </w:pPr>
            <w:r>
              <w:rPr>
                <w:rFonts w:ascii="Arial" w:eastAsia="Times New Roman" w:hAnsi="Arial" w:cs="Arial"/>
                <w:color w:val="000000"/>
                <w:sz w:val="20"/>
                <w:szCs w:val="20"/>
                <w:lang w:eastAsia="cs-CZ"/>
              </w:rPr>
              <w:t>OÚ</w:t>
            </w:r>
          </w:p>
          <w:p w:rsidR="004B2930" w:rsidRDefault="004E1353">
            <w:pPr>
              <w:spacing w:after="0"/>
            </w:pPr>
            <w:r>
              <w:rPr>
                <w:rFonts w:ascii="Arial" w:eastAsia="Times New Roman" w:hAnsi="Arial" w:cs="Arial"/>
                <w:color w:val="000000"/>
                <w:sz w:val="20"/>
                <w:szCs w:val="20"/>
                <w:lang w:eastAsia="cs-CZ"/>
              </w:rPr>
              <w:t>ÚSP</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Vyřazení, hromadné vyřazení neuhrazených nebo částečně uhrazených objednávek ze salda.</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4</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2.91.</w:t>
            </w:r>
          </w:p>
          <w:p w:rsidR="004B2930" w:rsidRDefault="004E1353">
            <w:pPr>
              <w:spacing w:after="0"/>
            </w:pPr>
            <w:r>
              <w:rPr>
                <w:rFonts w:ascii="Arial" w:eastAsia="Times New Roman" w:hAnsi="Arial" w:cs="Arial"/>
                <w:color w:val="000000"/>
                <w:sz w:val="20"/>
                <w:szCs w:val="20"/>
                <w:lang w:eastAsia="cs-CZ"/>
              </w:rPr>
              <w:t>KNAV</w:t>
            </w:r>
          </w:p>
          <w:p w:rsidR="004B2930" w:rsidRDefault="004E1353">
            <w:pPr>
              <w:spacing w:after="0"/>
            </w:pPr>
            <w:r>
              <w:rPr>
                <w:rFonts w:ascii="Arial" w:eastAsia="Times New Roman" w:hAnsi="Arial" w:cs="Arial"/>
                <w:color w:val="000000"/>
                <w:sz w:val="20"/>
                <w:szCs w:val="20"/>
                <w:lang w:eastAsia="cs-CZ"/>
              </w:rPr>
              <w:t>ÚČL</w:t>
            </w:r>
          </w:p>
          <w:p w:rsidR="004B2930" w:rsidRDefault="004E1353">
            <w:pPr>
              <w:spacing w:after="0"/>
            </w:pPr>
            <w:r>
              <w:rPr>
                <w:rFonts w:ascii="Arial" w:eastAsia="Times New Roman" w:hAnsi="Arial" w:cs="Arial"/>
                <w:color w:val="000000"/>
                <w:sz w:val="20"/>
                <w:szCs w:val="20"/>
                <w:lang w:eastAsia="cs-CZ"/>
              </w:rPr>
              <w:t>ÚSP</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Možnost navýšení objednávky určeným pracovníkem nákupu.</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5</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2.92.</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Možnost vytvoření nové objednávky kopií stávající objednávky.</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7</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2.93.</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Objednávky v cizí měně včetně automatického přepočtu do CZK podle aktuálního kurzu ČNB.</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6</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2.94.</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Volitelně uvedení ceny na objednávce bez DPH a s DPH.</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3</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2.95.</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Storno objednávky.</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2</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2.96.</w:t>
            </w:r>
          </w:p>
          <w:p w:rsidR="004B2930" w:rsidRDefault="004E1353">
            <w:pPr>
              <w:spacing w:after="0"/>
            </w:pPr>
            <w:r>
              <w:rPr>
                <w:rFonts w:ascii="Arial" w:eastAsia="Times New Roman" w:hAnsi="Arial" w:cs="Arial"/>
                <w:color w:val="000000"/>
                <w:sz w:val="20"/>
                <w:szCs w:val="20"/>
                <w:lang w:eastAsia="cs-CZ"/>
              </w:rPr>
              <w:t>ÚČL</w:t>
            </w:r>
          </w:p>
          <w:p w:rsidR="004B2930" w:rsidRDefault="004E1353">
            <w:pPr>
              <w:spacing w:after="0"/>
            </w:pPr>
            <w:r>
              <w:rPr>
                <w:rFonts w:ascii="Arial" w:eastAsia="Times New Roman" w:hAnsi="Arial" w:cs="Arial"/>
                <w:color w:val="000000"/>
                <w:sz w:val="20"/>
                <w:szCs w:val="20"/>
                <w:lang w:eastAsia="cs-CZ"/>
              </w:rPr>
              <w:t>OÚ</w:t>
            </w:r>
          </w:p>
        </w:tc>
        <w:tc>
          <w:tcPr>
            <w:tcW w:w="986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Nástroj na sledování přijatých objednávek.</w:t>
            </w:r>
          </w:p>
        </w:tc>
        <w:tc>
          <w:tcPr>
            <w:tcW w:w="127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jc w:val="center"/>
            </w:pPr>
            <w:r>
              <w:rPr>
                <w:rFonts w:ascii="Arial" w:eastAsia="Times New Roman" w:hAnsi="Arial" w:cs="Arial"/>
                <w:color w:val="000000"/>
                <w:sz w:val="20"/>
                <w:szCs w:val="20"/>
                <w:lang w:eastAsia="cs-CZ"/>
              </w:rPr>
              <w:t>8</w:t>
            </w:r>
          </w:p>
        </w:tc>
        <w:tc>
          <w:tcPr>
            <w:tcW w:w="130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R</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2.97.</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proofErr w:type="spellStart"/>
            <w:r>
              <w:rPr>
                <w:rFonts w:ascii="Arial" w:eastAsia="Times New Roman" w:hAnsi="Arial" w:cs="Arial"/>
                <w:color w:val="000000"/>
                <w:sz w:val="20"/>
                <w:szCs w:val="20"/>
                <w:lang w:eastAsia="cs-CZ"/>
              </w:rPr>
              <w:t>Workflow</w:t>
            </w:r>
            <w:proofErr w:type="spellEnd"/>
            <w:r>
              <w:rPr>
                <w:rFonts w:ascii="Arial" w:eastAsia="Times New Roman" w:hAnsi="Arial" w:cs="Arial"/>
                <w:color w:val="000000"/>
                <w:sz w:val="20"/>
                <w:szCs w:val="20"/>
                <w:lang w:eastAsia="cs-CZ"/>
              </w:rPr>
              <w:t xml:space="preserve"> schvalování objednávky/žádanky.</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24EB5">
        <w:trPr>
          <w:trHeight w:val="340"/>
        </w:trPr>
        <w:tc>
          <w:tcPr>
            <w:tcW w:w="15521" w:type="dxa"/>
            <w:gridSpan w:val="6"/>
            <w:shd w:val="clear" w:color="auto" w:fill="auto"/>
            <w:vAlign w:val="bottom"/>
          </w:tcPr>
          <w:p w:rsidR="004B2930" w:rsidRDefault="004E1353">
            <w:pPr>
              <w:spacing w:before="113" w:after="0"/>
            </w:pPr>
            <w:r>
              <w:rPr>
                <w:rFonts w:ascii="Arial" w:eastAsia="Times New Roman" w:hAnsi="Arial" w:cs="Arial"/>
                <w:b/>
                <w:bCs/>
                <w:color w:val="000000"/>
                <w:sz w:val="20"/>
                <w:szCs w:val="20"/>
                <w:lang w:eastAsia="cs-CZ"/>
              </w:rPr>
              <w:t>Smlouvy </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2.98.</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Evidence smluv a dodatků smluv ústavu s ostatními partnery.</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5</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2.99.</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Filtrace smluv podle parametru či kombinace parametrů (aktivní, neaktivní, částky, dodavatele, uveřejnění v</w:t>
            </w:r>
            <w:r w:rsidR="0060580B">
              <w:rPr>
                <w:rFonts w:ascii="Arial" w:eastAsia="Times New Roman" w:hAnsi="Arial" w:cs="Arial"/>
                <w:color w:val="000000"/>
                <w:sz w:val="20"/>
                <w:szCs w:val="20"/>
                <w:lang w:eastAsia="cs-CZ"/>
              </w:rPr>
              <w:t> </w:t>
            </w:r>
            <w:r>
              <w:rPr>
                <w:rFonts w:ascii="Arial" w:eastAsia="Times New Roman" w:hAnsi="Arial" w:cs="Arial"/>
                <w:color w:val="000000"/>
                <w:sz w:val="20"/>
                <w:szCs w:val="20"/>
                <w:lang w:eastAsia="cs-CZ"/>
              </w:rPr>
              <w:t xml:space="preserve">registru, času účinnosti </w:t>
            </w:r>
            <w:proofErr w:type="gramStart"/>
            <w:r>
              <w:rPr>
                <w:rFonts w:ascii="Arial" w:eastAsia="Times New Roman" w:hAnsi="Arial" w:cs="Arial"/>
                <w:color w:val="000000"/>
                <w:sz w:val="20"/>
                <w:szCs w:val="20"/>
                <w:lang w:eastAsia="cs-CZ"/>
              </w:rPr>
              <w:t>do</w:t>
            </w:r>
            <w:proofErr w:type="gramEnd"/>
            <w:r>
              <w:rPr>
                <w:rFonts w:ascii="Arial" w:eastAsia="Times New Roman" w:hAnsi="Arial" w:cs="Arial"/>
                <w:color w:val="000000"/>
                <w:sz w:val="20"/>
                <w:szCs w:val="20"/>
                <w:lang w:eastAsia="cs-CZ"/>
              </w:rPr>
              <w:t>).</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5</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2.100.</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Omezení platnosti smlouvy (možnost uvést dobu neurčitou).</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3</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2.101.</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Sledování termínů, platnosti, událostí (zadání časové notifikace s předpřipraveným textem na zadaný e-mail).</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7</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2.102.</w:t>
            </w:r>
          </w:p>
          <w:p w:rsidR="004B2930" w:rsidRDefault="004E1353">
            <w:pPr>
              <w:spacing w:after="0"/>
            </w:pPr>
            <w:r>
              <w:rPr>
                <w:rFonts w:ascii="Arial" w:eastAsia="Times New Roman" w:hAnsi="Arial" w:cs="Arial"/>
                <w:color w:val="000000"/>
                <w:sz w:val="20"/>
                <w:szCs w:val="20"/>
                <w:lang w:eastAsia="cs-CZ"/>
              </w:rPr>
              <w:t>KNAV</w:t>
            </w:r>
          </w:p>
          <w:p w:rsidR="004B2930" w:rsidRDefault="004E1353">
            <w:pPr>
              <w:spacing w:after="0"/>
            </w:pPr>
            <w:r>
              <w:rPr>
                <w:rFonts w:ascii="Arial" w:eastAsia="Times New Roman" w:hAnsi="Arial" w:cs="Arial"/>
                <w:color w:val="000000"/>
                <w:sz w:val="20"/>
                <w:szCs w:val="20"/>
                <w:lang w:eastAsia="cs-CZ"/>
              </w:rPr>
              <w:t>ÚSP</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Blokace prostředků ze smluv v příslušných rozpočtech.</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2.103.</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Možnost sledování plnění.</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5</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2.104.</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Vazba mezi smlouvami a souvisejícími prvotními doklady (</w:t>
            </w:r>
            <w:proofErr w:type="spellStart"/>
            <w:r>
              <w:rPr>
                <w:rFonts w:ascii="Arial" w:eastAsia="Times New Roman" w:hAnsi="Arial" w:cs="Arial"/>
                <w:color w:val="000000"/>
                <w:sz w:val="20"/>
                <w:szCs w:val="20"/>
                <w:lang w:eastAsia="cs-CZ"/>
              </w:rPr>
              <w:t>proklik</w:t>
            </w:r>
            <w:proofErr w:type="spellEnd"/>
            <w:r>
              <w:rPr>
                <w:rFonts w:ascii="Arial" w:eastAsia="Times New Roman" w:hAnsi="Arial" w:cs="Arial"/>
                <w:color w:val="000000"/>
                <w:sz w:val="20"/>
                <w:szCs w:val="20"/>
                <w:lang w:eastAsia="cs-CZ"/>
              </w:rPr>
              <w:t>).</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2.105.</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Vazba smluv na fakturaci s možností tisku faktur, které se váží ke smlouvě.</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7</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2.106.</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Generování dokladů pro pravidelné platby podle smlouvy dle zadaných parametrů a zodpovědných osob.</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2.107.</w:t>
            </w:r>
          </w:p>
          <w:p w:rsidR="004B2930" w:rsidRDefault="004E1353">
            <w:pPr>
              <w:spacing w:after="0"/>
            </w:pPr>
            <w:r>
              <w:rPr>
                <w:rFonts w:ascii="Arial" w:eastAsia="Times New Roman" w:hAnsi="Arial" w:cs="Arial"/>
                <w:color w:val="000000"/>
                <w:sz w:val="20"/>
                <w:szCs w:val="20"/>
                <w:lang w:eastAsia="cs-CZ"/>
              </w:rPr>
              <w:t>KNAV</w:t>
            </w:r>
          </w:p>
          <w:p w:rsidR="004B2930" w:rsidRDefault="004E1353">
            <w:pPr>
              <w:spacing w:after="0"/>
            </w:pPr>
            <w:r>
              <w:rPr>
                <w:rFonts w:ascii="Arial" w:eastAsia="Times New Roman" w:hAnsi="Arial" w:cs="Arial"/>
                <w:color w:val="000000"/>
                <w:sz w:val="20"/>
                <w:szCs w:val="20"/>
                <w:lang w:eastAsia="cs-CZ"/>
              </w:rPr>
              <w:t>ÚSP</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Vazba mezi rámcovou smlouvou a dílčími prováděcími smlouvami. Kontrola výše částek uzavřených dílčích smluv s ohledem na celkový limit rámcové smlouvy. Kontrola čerpání dle dílčích smluv v součtu s ohledem na celkový limit rámcové smlouvy.</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2.108.</w:t>
            </w:r>
          </w:p>
        </w:tc>
        <w:tc>
          <w:tcPr>
            <w:tcW w:w="986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proofErr w:type="spellStart"/>
            <w:r>
              <w:rPr>
                <w:rFonts w:ascii="Arial" w:eastAsia="Times New Roman" w:hAnsi="Arial" w:cs="Arial"/>
                <w:sz w:val="20"/>
                <w:szCs w:val="20"/>
                <w:lang w:eastAsia="cs-CZ"/>
              </w:rPr>
              <w:t>Workflow</w:t>
            </w:r>
            <w:proofErr w:type="spellEnd"/>
            <w:r>
              <w:rPr>
                <w:rFonts w:ascii="Arial" w:eastAsia="Times New Roman" w:hAnsi="Arial" w:cs="Arial"/>
                <w:sz w:val="20"/>
                <w:szCs w:val="20"/>
                <w:lang w:eastAsia="cs-CZ"/>
              </w:rPr>
              <w:t xml:space="preserve"> nad smlouvami (tvorba a schvalování smluv).</w:t>
            </w:r>
          </w:p>
        </w:tc>
        <w:tc>
          <w:tcPr>
            <w:tcW w:w="127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jc w:val="center"/>
            </w:pPr>
            <w:r>
              <w:rPr>
                <w:rFonts w:ascii="Arial" w:eastAsia="Times New Roman" w:hAnsi="Arial" w:cs="Arial"/>
                <w:color w:val="000000"/>
                <w:sz w:val="20"/>
                <w:szCs w:val="20"/>
                <w:lang w:eastAsia="cs-CZ"/>
              </w:rPr>
              <w:t>10</w:t>
            </w:r>
          </w:p>
        </w:tc>
        <w:tc>
          <w:tcPr>
            <w:tcW w:w="130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R</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2.109.</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Záznam smlouvy v evidenci umožňuje zobrazení naskenovaného originálu smlouvy.</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4</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2.110.</w:t>
            </w:r>
          </w:p>
        </w:tc>
        <w:tc>
          <w:tcPr>
            <w:tcW w:w="9868" w:type="dxa"/>
            <w:tcBorders>
              <w:top w:val="single" w:sz="4" w:space="0" w:color="000000"/>
              <w:left w:val="single" w:sz="4" w:space="0" w:color="000000"/>
              <w:bottom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Možnost připojení dokumentů ke smlouvě vč. zobrazení příloh provázaných dokladů/záznamů.</w:t>
            </w:r>
          </w:p>
        </w:tc>
        <w:tc>
          <w:tcPr>
            <w:tcW w:w="1272" w:type="dxa"/>
            <w:tcBorders>
              <w:top w:val="single" w:sz="4" w:space="0" w:color="000000"/>
              <w:left w:val="single" w:sz="4" w:space="0" w:color="000000"/>
              <w:bottom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4</w:t>
            </w:r>
          </w:p>
        </w:tc>
        <w:tc>
          <w:tcPr>
            <w:tcW w:w="1302" w:type="dxa"/>
            <w:tcBorders>
              <w:top w:val="single" w:sz="4" w:space="0" w:color="000000"/>
              <w:left w:val="single" w:sz="4" w:space="0" w:color="000000"/>
              <w:bottom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24EB5">
        <w:trPr>
          <w:trHeight w:val="340"/>
        </w:trPr>
        <w:tc>
          <w:tcPr>
            <w:tcW w:w="15521" w:type="dxa"/>
            <w:gridSpan w:val="6"/>
            <w:shd w:val="clear" w:color="auto" w:fill="auto"/>
            <w:vAlign w:val="bottom"/>
          </w:tcPr>
          <w:p w:rsidR="004B2930" w:rsidRDefault="004E1353">
            <w:pPr>
              <w:spacing w:before="113" w:after="0"/>
            </w:pPr>
            <w:r>
              <w:rPr>
                <w:rFonts w:ascii="Arial" w:eastAsia="Times New Roman" w:hAnsi="Arial" w:cs="Arial"/>
                <w:b/>
                <w:bCs/>
                <w:color w:val="000000"/>
                <w:sz w:val="20"/>
                <w:szCs w:val="20"/>
                <w:lang w:eastAsia="cs-CZ"/>
              </w:rPr>
              <w:t>Rozpočty </w:t>
            </w:r>
          </w:p>
        </w:tc>
      </w:tr>
      <w:tr w:rsidR="004B2930" w:rsidTr="00317C3C">
        <w:trPr>
          <w:cantSplit/>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2.111.</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Možnost tvorby rozpočtu v závislosti na zdroji (druhu) finančních prost</w:t>
            </w:r>
            <w:r w:rsidR="0060580B">
              <w:rPr>
                <w:rFonts w:ascii="Arial" w:eastAsia="Times New Roman" w:hAnsi="Arial" w:cs="Arial"/>
                <w:color w:val="000000"/>
                <w:sz w:val="20"/>
                <w:szCs w:val="20"/>
                <w:lang w:eastAsia="cs-CZ"/>
              </w:rPr>
              <w:t>ředků (vyplývající ze zákona č. </w:t>
            </w:r>
            <w:r>
              <w:rPr>
                <w:rFonts w:ascii="Arial" w:eastAsia="Times New Roman" w:hAnsi="Arial" w:cs="Arial"/>
                <w:color w:val="000000"/>
                <w:sz w:val="20"/>
                <w:szCs w:val="20"/>
                <w:lang w:eastAsia="cs-CZ"/>
              </w:rPr>
              <w:t xml:space="preserve">130/2002 Sb.): </w:t>
            </w:r>
            <w:r>
              <w:rPr>
                <w:rFonts w:ascii="Arial" w:eastAsia="Times New Roman" w:hAnsi="Arial" w:cs="Arial"/>
                <w:color w:val="000000"/>
                <w:sz w:val="20"/>
                <w:szCs w:val="20"/>
                <w:lang w:eastAsia="cs-CZ"/>
              </w:rPr>
              <w:br/>
              <w:t xml:space="preserve">- institucionální </w:t>
            </w:r>
            <w:r>
              <w:rPr>
                <w:rFonts w:ascii="Arial" w:eastAsia="Times New Roman" w:hAnsi="Arial" w:cs="Arial"/>
                <w:color w:val="000000"/>
                <w:sz w:val="20"/>
                <w:szCs w:val="20"/>
                <w:lang w:eastAsia="cs-CZ"/>
              </w:rPr>
              <w:br/>
              <w:t xml:space="preserve">- účelové </w:t>
            </w:r>
            <w:r>
              <w:rPr>
                <w:rFonts w:ascii="Arial" w:eastAsia="Times New Roman" w:hAnsi="Arial" w:cs="Arial"/>
                <w:color w:val="000000"/>
                <w:sz w:val="20"/>
                <w:szCs w:val="20"/>
                <w:lang w:eastAsia="cs-CZ"/>
              </w:rPr>
              <w:br/>
              <w:t>- ostatní (zdroj jiný než podle zákona č. 130/2002 Sb.)</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8</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2.112.</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 xml:space="preserve">Podpora přípravy a tvorby rozpočtu na zdroj financování. </w:t>
            </w:r>
            <w:r>
              <w:rPr>
                <w:rFonts w:ascii="Arial" w:eastAsia="Times New Roman" w:hAnsi="Arial" w:cs="Arial"/>
                <w:color w:val="000000"/>
                <w:sz w:val="20"/>
                <w:szCs w:val="20"/>
                <w:lang w:eastAsia="cs-CZ"/>
              </w:rPr>
              <w:br/>
              <w:t>Možnost nastavení vlastní struktury rozpočtu na zdroj financování s nadefinováním analytických účtů. Kontrola přidělení analytického účtu do dané struktury rozpočtu při účtování nákladů v účetnictví.</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2.113.</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Kontrola přidělení analytického účtu do dané struktury rozpočtu při účtování nákladů v účetnictví.</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2.114.</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Možnost nastavení hierarchie rozpočtů. Možnost součtu dílčích rozpočtů do jednoho nadřízeného rozpočtu a současně možnost přímého náhledu do čerpání jednotlivých nákladových položek (faktura, objednávka, cestovní příkaz,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2.115.</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Různé varianty časového omezení rozpočtů – roční, víceleté (na víceleté projekty, které běží přes několik kalendářních let), na omezený počet měsíců, od-do, období odlišné od kalendářního roku (i delší než 12 měsíců).</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5</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2.116.</w:t>
            </w:r>
          </w:p>
        </w:tc>
        <w:tc>
          <w:tcPr>
            <w:tcW w:w="986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Při zobrazení časově omezeného čerpání rozpočtů umožnit náhled na čerpání jednotlivých nákladových položek (faktura, objednávka, cestovní příkaz, ...).</w:t>
            </w:r>
          </w:p>
        </w:tc>
        <w:tc>
          <w:tcPr>
            <w:tcW w:w="127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jc w:val="center"/>
            </w:pPr>
            <w:r>
              <w:rPr>
                <w:rFonts w:ascii="Arial" w:eastAsia="Times New Roman" w:hAnsi="Arial" w:cs="Arial"/>
                <w:color w:val="000000"/>
                <w:sz w:val="20"/>
                <w:szCs w:val="20"/>
                <w:lang w:eastAsia="cs-CZ"/>
              </w:rPr>
              <w:t>10</w:t>
            </w:r>
          </w:p>
        </w:tc>
        <w:tc>
          <w:tcPr>
            <w:tcW w:w="130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R</w:t>
            </w:r>
          </w:p>
        </w:tc>
      </w:tr>
      <w:tr w:rsidR="004B2930" w:rsidTr="00317C3C">
        <w:trPr>
          <w:cantSplit/>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2.117.</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Blokace finančních prostředků akce od schválení žádanky, přes objednávku/smlouvu až po kontaci faktury.</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2.118.</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Možnost vytvoření více variant rozpočtu k jedné akci (odlišná struktura, finanční zdroj).</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2.119.</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Sledování čerpání rozpočtu, zapojení i neúčetních agend – předběžné čerpání (smlouvy, objednávky, rezervace, žádosti, zálohy, cestovní příkazy, ...), skutečné čerpání (prvotní doklady, účetní doklady), možnost kontroly dat, která do čerpání rozpočtu vstupují (jaké analytické účty pro jednotlivé řádky) a možnost revize, doplnění. Možnost nadefinování použití/nepoužití strany MD/D při přenosu údajů z účetnictví do rozpočtu.</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6</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2.120.</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Rozpočet (čerpání) pro všechny typy nákladů vč. investičních, možnost sledovat čerpání nejen výsledkových, ale i rozvahových účtů.</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3</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2.121.</w:t>
            </w:r>
          </w:p>
        </w:tc>
        <w:tc>
          <w:tcPr>
            <w:tcW w:w="986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Možnost nadefinovat volitelně kontrolu a varování přečerpáni proti rozpočtu akce, sledování volných prostředků, systém varování a blokace dalších požadavků na rozpočet (např. při nedostatečném finančním krytí).</w:t>
            </w:r>
          </w:p>
        </w:tc>
        <w:tc>
          <w:tcPr>
            <w:tcW w:w="127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jc w:val="center"/>
            </w:pPr>
            <w:r>
              <w:rPr>
                <w:rFonts w:ascii="Arial" w:eastAsia="Times New Roman" w:hAnsi="Arial" w:cs="Arial"/>
                <w:color w:val="000000"/>
                <w:sz w:val="20"/>
                <w:szCs w:val="20"/>
                <w:lang w:eastAsia="cs-CZ"/>
              </w:rPr>
              <w:t>5</w:t>
            </w:r>
          </w:p>
        </w:tc>
        <w:tc>
          <w:tcPr>
            <w:tcW w:w="130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R</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2.122.</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Podpora hromadné tvorby rozpočtů na více akcí, kopírování, tvorba nového rozpočtu dle předem dané masky a pravidel. Maskou s pravidly se zde rozumí filtr pro výběr přenášených údajů s podmínkami pro selekci údajů pro vlastní přenos do nového rozpočtu. Maska stanovuje, jak se mají nahradit nebo překopírovat položky (např. přepsat rok na nový, překopírovat hodnotu z jedné položky starého do jiné položky nového rozpočtu).</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2.123.</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Možnost sledování on-line výstupů, sledování čerpání – jak z pohledu aktivníh</w:t>
            </w:r>
            <w:r w:rsidR="0060580B">
              <w:rPr>
                <w:rFonts w:ascii="Arial" w:eastAsia="Times New Roman" w:hAnsi="Arial" w:cs="Arial"/>
                <w:color w:val="000000"/>
                <w:sz w:val="20"/>
                <w:szCs w:val="20"/>
                <w:lang w:eastAsia="cs-CZ"/>
              </w:rPr>
              <w:t>o přístupu do systému, tak i </w:t>
            </w:r>
            <w:r>
              <w:rPr>
                <w:rFonts w:ascii="Arial" w:eastAsia="Times New Roman" w:hAnsi="Arial" w:cs="Arial"/>
                <w:color w:val="000000"/>
                <w:sz w:val="20"/>
                <w:szCs w:val="20"/>
                <w:lang w:eastAsia="cs-CZ"/>
              </w:rPr>
              <w:t xml:space="preserve">formou pasivního přístupu, získávání el. </w:t>
            </w:r>
            <w:proofErr w:type="gramStart"/>
            <w:r>
              <w:rPr>
                <w:rFonts w:ascii="Arial" w:eastAsia="Times New Roman" w:hAnsi="Arial" w:cs="Arial"/>
                <w:color w:val="000000"/>
                <w:sz w:val="20"/>
                <w:szCs w:val="20"/>
                <w:lang w:eastAsia="cs-CZ"/>
              </w:rPr>
              <w:t>výstupů</w:t>
            </w:r>
            <w:proofErr w:type="gramEnd"/>
            <w:r>
              <w:rPr>
                <w:rFonts w:ascii="Arial" w:eastAsia="Times New Roman" w:hAnsi="Arial" w:cs="Arial"/>
                <w:color w:val="000000"/>
                <w:sz w:val="20"/>
                <w:szCs w:val="20"/>
                <w:lang w:eastAsia="cs-CZ"/>
              </w:rPr>
              <w:t xml:space="preserve"> a reportů do formátu MS Excel. Výstupy musí být umožněny jak z jedné akce, tak i ze skupiny akcí nadefinovaných společnými parametry.</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8</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2.124.</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Evidence rozpočtových změn, včetně důvodu a okamžiku změny, sledování čerpání rozpočtu v různých časových řezech (před změnou, po změně).</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7</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2.125.</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Možnost zobrazení až prvotních dokladů, účetních dokladů a zápisů, neúčetních informací (včetně příloh) ovlivňujících skutečné i předběžné čerpání rozpočtu přímo z konkrétního rozpočtu.</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7</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2.126.</w:t>
            </w:r>
          </w:p>
        </w:tc>
        <w:tc>
          <w:tcPr>
            <w:tcW w:w="986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Možnost tvorby vlastních výstupních reportů se složitější strukturou (neomezený počet řádků i sloupců v</w:t>
            </w:r>
            <w:r w:rsidR="0060580B">
              <w:rPr>
                <w:rFonts w:ascii="Arial" w:eastAsia="Times New Roman" w:hAnsi="Arial" w:cs="Arial"/>
                <w:color w:val="000000"/>
                <w:sz w:val="20"/>
                <w:szCs w:val="20"/>
                <w:lang w:eastAsia="cs-CZ"/>
              </w:rPr>
              <w:t> </w:t>
            </w:r>
            <w:r>
              <w:rPr>
                <w:rFonts w:ascii="Arial" w:eastAsia="Times New Roman" w:hAnsi="Arial" w:cs="Arial"/>
                <w:color w:val="000000"/>
                <w:sz w:val="20"/>
                <w:szCs w:val="20"/>
                <w:lang w:eastAsia="cs-CZ"/>
              </w:rPr>
              <w:t xml:space="preserve">jedné sestavě s ohledem na formát výstupu), možností kombinací různých vstupních dat a možností uživatelsky definovat funkce mezi jednotlivými sloupci i řádky. </w:t>
            </w:r>
          </w:p>
        </w:tc>
        <w:tc>
          <w:tcPr>
            <w:tcW w:w="127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jc w:val="center"/>
            </w:pPr>
            <w:r>
              <w:rPr>
                <w:rFonts w:ascii="Arial" w:eastAsia="Times New Roman" w:hAnsi="Arial" w:cs="Arial"/>
                <w:color w:val="000000"/>
                <w:sz w:val="20"/>
                <w:szCs w:val="20"/>
                <w:lang w:eastAsia="cs-CZ"/>
              </w:rPr>
              <w:t>5</w:t>
            </w:r>
          </w:p>
        </w:tc>
        <w:tc>
          <w:tcPr>
            <w:tcW w:w="130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R</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2.127.</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 xml:space="preserve">Přístupová práva uživatelů dle rolí u rozpočtu, možnost delegování rolí.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2</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2.128.</w:t>
            </w:r>
          </w:p>
        </w:tc>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Možnost výběru řádku rozpočtu a zobrazení všech příslušných nákladových položek daného řádku, čerpání a zůstatku s možností zobrazení (</w:t>
            </w:r>
            <w:proofErr w:type="spellStart"/>
            <w:r>
              <w:rPr>
                <w:rFonts w:ascii="Arial" w:eastAsia="Times New Roman" w:hAnsi="Arial" w:cs="Arial"/>
                <w:color w:val="000000"/>
                <w:sz w:val="20"/>
                <w:szCs w:val="20"/>
                <w:lang w:eastAsia="cs-CZ"/>
              </w:rPr>
              <w:t>proklikem</w:t>
            </w:r>
            <w:proofErr w:type="spellEnd"/>
            <w:r>
              <w:rPr>
                <w:rFonts w:ascii="Arial" w:eastAsia="Times New Roman" w:hAnsi="Arial" w:cs="Arial"/>
                <w:color w:val="000000"/>
                <w:sz w:val="20"/>
                <w:szCs w:val="20"/>
                <w:lang w:eastAsia="cs-CZ"/>
              </w:rPr>
              <w:t>) detailní informace.</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3</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bl>
    <w:p w:rsidR="008E31A5" w:rsidRDefault="008E31A5">
      <w:pPr>
        <w:rPr>
          <w:rFonts w:ascii="Arial" w:hAnsi="Arial" w:cs="Arial"/>
          <w:b/>
          <w:sz w:val="24"/>
          <w:szCs w:val="24"/>
        </w:rPr>
      </w:pPr>
    </w:p>
    <w:p w:rsidR="008E31A5" w:rsidRDefault="008E31A5" w:rsidP="00C54171">
      <w:pPr>
        <w:pStyle w:val="Zpat"/>
        <w:overflowPunct/>
        <w:jc w:val="right"/>
        <w:rPr>
          <w:rFonts w:ascii="Arial" w:hAnsi="Arial" w:cs="Arial"/>
          <w:b/>
          <w:sz w:val="24"/>
          <w:szCs w:val="24"/>
        </w:rPr>
      </w:pPr>
      <w:r>
        <w:rPr>
          <w:rFonts w:ascii="Arial" w:hAnsi="Arial" w:cs="Arial"/>
          <w:b/>
          <w:sz w:val="24"/>
          <w:szCs w:val="24"/>
        </w:rPr>
        <w:br w:type="page"/>
      </w:r>
    </w:p>
    <w:p w:rsidR="004B2930" w:rsidRPr="008E31A5" w:rsidRDefault="004E1353" w:rsidP="008E31A5">
      <w:pPr>
        <w:rPr>
          <w:rFonts w:ascii="Arial" w:hAnsi="Arial" w:cs="Arial"/>
          <w:b/>
          <w:sz w:val="24"/>
          <w:szCs w:val="24"/>
        </w:rPr>
      </w:pPr>
      <w:r>
        <w:rPr>
          <w:rFonts w:ascii="Arial" w:hAnsi="Arial" w:cs="Arial"/>
          <w:b/>
          <w:sz w:val="24"/>
          <w:szCs w:val="24"/>
        </w:rPr>
        <w:t>3. Evidence majetku a skladová evidence</w:t>
      </w:r>
    </w:p>
    <w:tbl>
      <w:tblPr>
        <w:tblW w:w="15521" w:type="dxa"/>
        <w:tblCellMar>
          <w:left w:w="70" w:type="dxa"/>
          <w:right w:w="70" w:type="dxa"/>
        </w:tblCellMar>
        <w:tblLook w:val="04A0" w:firstRow="1" w:lastRow="0" w:firstColumn="1" w:lastColumn="0" w:noHBand="0" w:noVBand="1"/>
      </w:tblPr>
      <w:tblGrid>
        <w:gridCol w:w="734"/>
        <w:gridCol w:w="9893"/>
        <w:gridCol w:w="1273"/>
        <w:gridCol w:w="1306"/>
        <w:gridCol w:w="1245"/>
        <w:gridCol w:w="1070"/>
      </w:tblGrid>
      <w:tr w:rsidR="00C05E96" w:rsidTr="00317C3C">
        <w:trPr>
          <w:trHeight w:val="284"/>
          <w:tblHeader/>
        </w:trPr>
        <w:tc>
          <w:tcPr>
            <w:tcW w:w="7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C05E96" w:rsidRDefault="00C05E96" w:rsidP="00C05E96">
            <w:pPr>
              <w:spacing w:after="0"/>
            </w:pPr>
            <w:r>
              <w:rPr>
                <w:rFonts w:ascii="Arial" w:eastAsia="Times New Roman" w:hAnsi="Arial" w:cs="Arial"/>
                <w:b/>
                <w:sz w:val="18"/>
                <w:szCs w:val="18"/>
                <w:lang w:eastAsia="cs-CZ"/>
              </w:rPr>
              <w:t>Číslo</w:t>
            </w:r>
            <w:r>
              <w:rPr>
                <w:rFonts w:ascii="Arial" w:eastAsia="Times New Roman" w:hAnsi="Arial" w:cs="Arial"/>
                <w:b/>
                <w:sz w:val="18"/>
                <w:szCs w:val="18"/>
                <w:vertAlign w:val="superscript"/>
                <w:lang w:eastAsia="cs-CZ"/>
              </w:rPr>
              <w:t>1)</w:t>
            </w:r>
          </w:p>
        </w:tc>
        <w:tc>
          <w:tcPr>
            <w:tcW w:w="9893"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C05E96" w:rsidRDefault="00C05E96" w:rsidP="00C05E96">
            <w:pPr>
              <w:spacing w:after="0"/>
            </w:pPr>
            <w:r>
              <w:rPr>
                <w:rFonts w:ascii="Arial" w:eastAsia="Times New Roman" w:hAnsi="Arial" w:cs="Arial"/>
                <w:b/>
                <w:color w:val="000000"/>
                <w:sz w:val="18"/>
                <w:szCs w:val="18"/>
                <w:lang w:eastAsia="cs-CZ"/>
              </w:rPr>
              <w:t>Požadavek na funkcionalitu</w:t>
            </w:r>
          </w:p>
        </w:tc>
        <w:tc>
          <w:tcPr>
            <w:tcW w:w="1273"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C05E96" w:rsidRDefault="00C05E96" w:rsidP="00C05E96">
            <w:pPr>
              <w:spacing w:after="0"/>
            </w:pPr>
            <w:r>
              <w:rPr>
                <w:rFonts w:ascii="Arial" w:hAnsi="Arial" w:cs="Arial"/>
                <w:b/>
                <w:sz w:val="18"/>
                <w:szCs w:val="18"/>
              </w:rPr>
              <w:t>Body významnosti</w:t>
            </w:r>
            <w:r>
              <w:rPr>
                <w:rFonts w:ascii="Arial" w:hAnsi="Arial" w:cs="Arial"/>
                <w:sz w:val="18"/>
                <w:szCs w:val="18"/>
              </w:rPr>
              <w:br/>
            </w:r>
            <w:r>
              <w:rPr>
                <w:rFonts w:ascii="Arial" w:hAnsi="Arial" w:cs="Arial"/>
                <w:b/>
                <w:sz w:val="18"/>
                <w:szCs w:val="18"/>
              </w:rPr>
              <w:t>funkcionality</w:t>
            </w:r>
          </w:p>
        </w:tc>
        <w:tc>
          <w:tcPr>
            <w:tcW w:w="1306"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C05E96" w:rsidRDefault="00C05E96" w:rsidP="00C05E96">
            <w:pPr>
              <w:spacing w:after="0"/>
            </w:pPr>
            <w:r>
              <w:rPr>
                <w:rFonts w:ascii="Arial" w:hAnsi="Arial" w:cs="Arial"/>
                <w:b/>
                <w:sz w:val="18"/>
                <w:szCs w:val="18"/>
              </w:rPr>
              <w:t>Standardní</w:t>
            </w:r>
            <w:r>
              <w:rPr>
                <w:rFonts w:ascii="Arial" w:hAnsi="Arial" w:cs="Arial"/>
                <w:sz w:val="18"/>
                <w:szCs w:val="18"/>
              </w:rPr>
              <w:br/>
            </w:r>
            <w:r>
              <w:rPr>
                <w:rFonts w:ascii="Arial" w:hAnsi="Arial" w:cs="Arial"/>
                <w:b/>
                <w:sz w:val="18"/>
                <w:szCs w:val="18"/>
              </w:rPr>
              <w:t>funkcionalita</w:t>
            </w:r>
          </w:p>
        </w:tc>
        <w:tc>
          <w:tcPr>
            <w:tcW w:w="1245"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C05E96" w:rsidRDefault="00C05E96" w:rsidP="00C05E96">
            <w:pPr>
              <w:spacing w:after="0"/>
            </w:pPr>
            <w:r>
              <w:rPr>
                <w:rFonts w:ascii="Arial" w:hAnsi="Arial" w:cs="Arial"/>
                <w:b/>
                <w:sz w:val="18"/>
                <w:szCs w:val="18"/>
              </w:rPr>
              <w:t>Bude doplněno /</w:t>
            </w:r>
            <w:r>
              <w:rPr>
                <w:rFonts w:ascii="Arial" w:hAnsi="Arial" w:cs="Arial"/>
                <w:sz w:val="18"/>
                <w:szCs w:val="18"/>
              </w:rPr>
              <w:br/>
            </w:r>
            <w:r>
              <w:rPr>
                <w:rFonts w:ascii="Arial" w:hAnsi="Arial" w:cs="Arial"/>
                <w:b/>
                <w:sz w:val="18"/>
                <w:szCs w:val="18"/>
              </w:rPr>
              <w:t>doprogra</w:t>
            </w:r>
            <w:r>
              <w:rPr>
                <w:rFonts w:ascii="Arial" w:hAnsi="Arial" w:cs="Arial"/>
                <w:b/>
                <w:sz w:val="18"/>
                <w:szCs w:val="18"/>
              </w:rPr>
              <w:softHyphen/>
              <w:t>mováno</w:t>
            </w:r>
          </w:p>
        </w:tc>
        <w:tc>
          <w:tcPr>
            <w:tcW w:w="1070"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C05E96" w:rsidRDefault="00C05E96" w:rsidP="00C05E96">
            <w:pPr>
              <w:spacing w:after="0"/>
            </w:pPr>
            <w:r>
              <w:rPr>
                <w:rFonts w:ascii="Arial" w:eastAsia="Times New Roman" w:hAnsi="Arial" w:cs="Arial"/>
                <w:b/>
                <w:color w:val="000000"/>
                <w:sz w:val="18"/>
                <w:szCs w:val="18"/>
                <w:lang w:eastAsia="cs-CZ"/>
              </w:rPr>
              <w:t>Povinný/ rozšiřující</w:t>
            </w:r>
          </w:p>
        </w:tc>
      </w:tr>
      <w:tr w:rsidR="004B2930" w:rsidRPr="008E31A5" w:rsidTr="00317C3C">
        <w:trPr>
          <w:cantSplit/>
          <w:trHeight w:val="284"/>
        </w:trPr>
        <w:tc>
          <w:tcPr>
            <w:tcW w:w="15521" w:type="dxa"/>
            <w:gridSpan w:val="6"/>
            <w:tcBorders>
              <w:top w:val="single" w:sz="4" w:space="0" w:color="000000"/>
              <w:bottom w:val="single" w:sz="4" w:space="0" w:color="auto"/>
            </w:tcBorders>
            <w:shd w:val="clear" w:color="auto" w:fill="auto"/>
          </w:tcPr>
          <w:p w:rsidR="004B2930" w:rsidRPr="008E31A5" w:rsidRDefault="004E1353" w:rsidP="008E31A5">
            <w:pPr>
              <w:spacing w:before="113" w:after="0"/>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Evidence majetku </w:t>
            </w:r>
          </w:p>
        </w:tc>
      </w:tr>
      <w:tr w:rsidR="004B2930" w:rsidTr="00317C3C">
        <w:trPr>
          <w:cantSplit/>
          <w:trHeight w:val="284"/>
        </w:trPr>
        <w:tc>
          <w:tcPr>
            <w:tcW w:w="734" w:type="dxa"/>
            <w:tcBorders>
              <w:top w:val="single" w:sz="4" w:space="0" w:color="auto"/>
              <w:left w:val="single" w:sz="4" w:space="0" w:color="000000"/>
              <w:bottom w:val="single" w:sz="4" w:space="0" w:color="000000"/>
              <w:right w:val="single" w:sz="4" w:space="0" w:color="000000"/>
            </w:tcBorders>
            <w:shd w:val="clear" w:color="auto" w:fill="auto"/>
          </w:tcPr>
          <w:p w:rsidR="004B2930" w:rsidRPr="00C05E96" w:rsidRDefault="004E1353" w:rsidP="00C05E96">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3.1.</w:t>
            </w:r>
          </w:p>
        </w:tc>
        <w:tc>
          <w:tcPr>
            <w:tcW w:w="9893" w:type="dxa"/>
            <w:tcBorders>
              <w:top w:val="single" w:sz="4" w:space="0" w:color="auto"/>
              <w:left w:val="single" w:sz="4" w:space="0" w:color="000000"/>
              <w:bottom w:val="single" w:sz="4" w:space="0" w:color="000000"/>
              <w:right w:val="single" w:sz="4" w:space="0" w:color="000000"/>
            </w:tcBorders>
            <w:shd w:val="clear" w:color="auto" w:fill="auto"/>
          </w:tcPr>
          <w:p w:rsidR="004B2930" w:rsidRPr="00C05E96" w:rsidRDefault="004E1353" w:rsidP="00C05E96">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Účetní a daňová evidence dlouhodobého majetku umožňující sledování majetku dle uživatelsky zavedených skupin.</w:t>
            </w:r>
          </w:p>
        </w:tc>
        <w:tc>
          <w:tcPr>
            <w:tcW w:w="1273" w:type="dxa"/>
            <w:tcBorders>
              <w:top w:val="single" w:sz="4" w:space="0" w:color="auto"/>
              <w:left w:val="single" w:sz="4" w:space="0" w:color="000000"/>
              <w:bottom w:val="single" w:sz="4" w:space="0" w:color="000000"/>
              <w:right w:val="single" w:sz="4" w:space="0" w:color="000000"/>
            </w:tcBorders>
            <w:shd w:val="clear" w:color="auto" w:fill="auto"/>
          </w:tcPr>
          <w:p w:rsidR="004B2930" w:rsidRPr="00C05E96" w:rsidRDefault="004E1353" w:rsidP="00C05E96">
            <w:pPr>
              <w:spacing w:after="0"/>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w:t>
            </w:r>
          </w:p>
        </w:tc>
        <w:tc>
          <w:tcPr>
            <w:tcW w:w="1306" w:type="dxa"/>
            <w:tcBorders>
              <w:top w:val="single" w:sz="4" w:space="0" w:color="auto"/>
              <w:left w:val="single" w:sz="4" w:space="0" w:color="000000"/>
              <w:bottom w:val="single" w:sz="4" w:space="0" w:color="000000"/>
              <w:right w:val="single" w:sz="4" w:space="0" w:color="000000"/>
            </w:tcBorders>
            <w:shd w:val="clear" w:color="auto" w:fill="auto"/>
          </w:tcPr>
          <w:p w:rsidR="004B2930" w:rsidRPr="00C05E96" w:rsidRDefault="004B2930" w:rsidP="00C05E96">
            <w:pPr>
              <w:spacing w:after="0"/>
              <w:jc w:val="center"/>
              <w:rPr>
                <w:rFonts w:ascii="Arial" w:eastAsia="Times New Roman" w:hAnsi="Arial" w:cs="Arial"/>
                <w:color w:val="000000"/>
                <w:sz w:val="20"/>
                <w:szCs w:val="20"/>
                <w:lang w:eastAsia="cs-CZ"/>
              </w:rPr>
            </w:pPr>
          </w:p>
        </w:tc>
        <w:tc>
          <w:tcPr>
            <w:tcW w:w="1245" w:type="dxa"/>
            <w:tcBorders>
              <w:top w:val="single" w:sz="4" w:space="0" w:color="auto"/>
              <w:left w:val="single" w:sz="4" w:space="0" w:color="000000"/>
              <w:bottom w:val="single" w:sz="4" w:space="0" w:color="000000"/>
              <w:right w:val="single" w:sz="4" w:space="0" w:color="000000"/>
            </w:tcBorders>
            <w:shd w:val="clear" w:color="auto" w:fill="auto"/>
          </w:tcPr>
          <w:p w:rsidR="004B2930" w:rsidRDefault="004B2930" w:rsidP="00C05E96">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auto"/>
              <w:left w:val="single" w:sz="4" w:space="0" w:color="000000"/>
              <w:bottom w:val="single" w:sz="4" w:space="0" w:color="000000"/>
              <w:right w:val="single" w:sz="4" w:space="0" w:color="000000"/>
            </w:tcBorders>
            <w:shd w:val="clear" w:color="auto" w:fill="auto"/>
          </w:tcPr>
          <w:p w:rsidR="004B2930" w:rsidRPr="00C05E96" w:rsidRDefault="004E1353" w:rsidP="00C05E96">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P</w:t>
            </w:r>
          </w:p>
        </w:tc>
      </w:tr>
      <w:tr w:rsidR="004B2930" w:rsidTr="00317C3C">
        <w:trPr>
          <w:cantSplit/>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Pr="00C05E96" w:rsidRDefault="004E1353" w:rsidP="00C05E96">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3.2.</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Pr="00C05E96" w:rsidRDefault="004E1353" w:rsidP="00C05E96">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Operativní evidence drobného majetku (majetek bez vazby do účetnictví).</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Pr="00C05E96" w:rsidRDefault="004E1353" w:rsidP="00C05E96">
            <w:pPr>
              <w:spacing w:after="0"/>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Pr="00C05E96" w:rsidRDefault="004B2930" w:rsidP="00C05E96">
            <w:pPr>
              <w:spacing w:after="0"/>
              <w:jc w:val="center"/>
              <w:rPr>
                <w:rFonts w:ascii="Arial" w:eastAsia="Times New Roman" w:hAnsi="Arial" w:cs="Arial"/>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rsidP="00C05E96">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Pr="00C05E96" w:rsidRDefault="004E1353" w:rsidP="00C05E96">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P</w:t>
            </w:r>
          </w:p>
        </w:tc>
      </w:tr>
      <w:tr w:rsidR="004B2930" w:rsidTr="00317C3C">
        <w:trPr>
          <w:cantSplit/>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Pr="00C05E96" w:rsidRDefault="004E1353" w:rsidP="00C05E96">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3.3.</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Pr="00C05E96" w:rsidRDefault="004E1353" w:rsidP="00C05E96">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Majetkové transakce – zařazení, změny ceny, technické zhodnocení, převody, hromadný výpočet účetních a daňových odpisů, vyřazení.</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Pr="00C05E96" w:rsidRDefault="004E1353" w:rsidP="00C05E96">
            <w:pPr>
              <w:spacing w:after="0"/>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Pr="00C05E96" w:rsidRDefault="004B2930" w:rsidP="00C05E96">
            <w:pPr>
              <w:spacing w:after="0"/>
              <w:jc w:val="center"/>
              <w:rPr>
                <w:rFonts w:ascii="Arial" w:eastAsia="Times New Roman" w:hAnsi="Arial" w:cs="Arial"/>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rsidP="00C05E96">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Pr="00C05E96" w:rsidRDefault="004E1353" w:rsidP="00C05E96">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P</w:t>
            </w:r>
          </w:p>
        </w:tc>
      </w:tr>
      <w:tr w:rsidR="004B2930" w:rsidTr="00317C3C">
        <w:trPr>
          <w:cantSplit/>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Pr="00C05E96" w:rsidRDefault="004E1353" w:rsidP="00C05E96">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3.4.</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Pr="00C05E96" w:rsidRDefault="004E1353" w:rsidP="00C05E96">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Možnost vytváření nových dokladů (majetkových karet) z kopie již existujících dokladů (karet) s možností volby kopie příloh.</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Pr="00C05E96" w:rsidRDefault="004E1353" w:rsidP="00C05E96">
            <w:pPr>
              <w:spacing w:after="0"/>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Pr="00C05E96" w:rsidRDefault="004B2930" w:rsidP="00C05E96">
            <w:pPr>
              <w:spacing w:after="0"/>
              <w:jc w:val="center"/>
              <w:rPr>
                <w:rFonts w:ascii="Arial" w:eastAsia="Times New Roman" w:hAnsi="Arial" w:cs="Arial"/>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rsidP="00C05E96">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Pr="00C05E96" w:rsidRDefault="004E1353" w:rsidP="00C05E96">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P</w:t>
            </w:r>
          </w:p>
        </w:tc>
      </w:tr>
      <w:tr w:rsidR="004B2930" w:rsidTr="00317C3C">
        <w:trPr>
          <w:cantSplit/>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Pr="00C05E96" w:rsidRDefault="004E1353" w:rsidP="00C05E96">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3.5.</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Pr="00C05E96" w:rsidRDefault="004E1353" w:rsidP="00C05E96">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Vazba inventární karty a prvotních dokladů, kterými byl majetek pořízen, včetně ceny (podílu na pořizovací ceně) a zdroje financování.</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Pr="00C05E96" w:rsidRDefault="004E1353" w:rsidP="00C05E96">
            <w:pPr>
              <w:spacing w:after="0"/>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Pr="00C05E96" w:rsidRDefault="004B2930" w:rsidP="00C05E96">
            <w:pPr>
              <w:spacing w:after="0"/>
              <w:jc w:val="center"/>
              <w:rPr>
                <w:rFonts w:ascii="Arial" w:eastAsia="Times New Roman" w:hAnsi="Arial" w:cs="Arial"/>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rsidP="00C05E96">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Pr="00C05E96" w:rsidRDefault="004E1353" w:rsidP="00C05E96">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P</w:t>
            </w:r>
          </w:p>
        </w:tc>
      </w:tr>
      <w:tr w:rsidR="004B2930" w:rsidTr="00317C3C">
        <w:trPr>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Pr="00C05E96" w:rsidRDefault="004E1353" w:rsidP="00C05E96">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3.6.</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Pr="00C05E96" w:rsidRDefault="004E1353" w:rsidP="00C05E96">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Vazba inventárních karet a konkrétních analytických účtů, na které byly účtovány operace s majetkem, možnost v jakémkoli okamžiku zjistit rozpad zůstatku příslušného analytického účtu na jednotlivé položky evidence majetku (identifikátorem může být např. inventární číslo majetku).</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Pr="00C05E96" w:rsidRDefault="004E1353" w:rsidP="00C05E96">
            <w:pPr>
              <w:spacing w:after="0"/>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Pr="00C05E96" w:rsidRDefault="004B2930" w:rsidP="00C05E96">
            <w:pPr>
              <w:spacing w:after="0"/>
              <w:jc w:val="center"/>
              <w:rPr>
                <w:rFonts w:ascii="Arial" w:eastAsia="Times New Roman" w:hAnsi="Arial" w:cs="Arial"/>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rsidP="00C05E96">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Pr="00C05E96" w:rsidRDefault="004E1353" w:rsidP="00C05E96">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P</w:t>
            </w:r>
          </w:p>
        </w:tc>
      </w:tr>
      <w:tr w:rsidR="004B2930" w:rsidTr="00317C3C">
        <w:trPr>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Pr="00C05E96" w:rsidRDefault="004E1353" w:rsidP="00C05E96">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3.7.</w:t>
            </w:r>
          </w:p>
        </w:tc>
        <w:tc>
          <w:tcPr>
            <w:tcW w:w="989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Pr="00C05E96" w:rsidRDefault="004E1353" w:rsidP="00C05E96">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Sledování zápůjček v operativní evidenci (poskytnutých i přijatých).</w:t>
            </w:r>
          </w:p>
        </w:tc>
        <w:tc>
          <w:tcPr>
            <w:tcW w:w="127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Pr="00C05E96" w:rsidRDefault="004E1353" w:rsidP="00C05E96">
            <w:pPr>
              <w:spacing w:after="0"/>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w:t>
            </w:r>
          </w:p>
        </w:tc>
        <w:tc>
          <w:tcPr>
            <w:tcW w:w="130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Pr="00C05E96" w:rsidRDefault="004B2930" w:rsidP="00C05E96">
            <w:pPr>
              <w:spacing w:after="0"/>
              <w:jc w:val="center"/>
              <w:rPr>
                <w:rFonts w:ascii="Arial" w:eastAsia="Times New Roman" w:hAnsi="Arial" w:cs="Arial"/>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rsidP="00C05E96">
            <w:pPr>
              <w:spacing w:after="0"/>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Pr="00C05E96" w:rsidRDefault="004E1353" w:rsidP="00C05E96">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R</w:t>
            </w:r>
          </w:p>
        </w:tc>
      </w:tr>
      <w:tr w:rsidR="004B2930" w:rsidTr="00317C3C">
        <w:trPr>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Pr="00C05E96" w:rsidRDefault="004E1353" w:rsidP="00C05E96">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3.8.</w:t>
            </w:r>
          </w:p>
        </w:tc>
        <w:tc>
          <w:tcPr>
            <w:tcW w:w="989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Pr="00C05E96" w:rsidRDefault="004E1353" w:rsidP="00C05E96">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Sledování majetku ve spoluvlastnictví a operace s ním (majetek ve spoluvlastnictví mezi více ústavy, majetek ve spoluvlastnictví se třetími subjekty (např. univerzitami, vysokými školami apod.).</w:t>
            </w:r>
          </w:p>
        </w:tc>
        <w:tc>
          <w:tcPr>
            <w:tcW w:w="127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Pr="00C05E96" w:rsidRDefault="004E1353" w:rsidP="00C05E96">
            <w:pPr>
              <w:spacing w:after="0"/>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w:t>
            </w:r>
          </w:p>
        </w:tc>
        <w:tc>
          <w:tcPr>
            <w:tcW w:w="130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Pr="00C05E96" w:rsidRDefault="004B2930" w:rsidP="00C05E96">
            <w:pPr>
              <w:spacing w:after="0"/>
              <w:jc w:val="center"/>
              <w:rPr>
                <w:rFonts w:ascii="Arial" w:eastAsia="Times New Roman" w:hAnsi="Arial" w:cs="Arial"/>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rsidP="00C05E96">
            <w:pPr>
              <w:spacing w:after="0"/>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Pr="00C05E96" w:rsidRDefault="004E1353" w:rsidP="00C05E96">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R</w:t>
            </w:r>
          </w:p>
        </w:tc>
      </w:tr>
      <w:tr w:rsidR="004B2930" w:rsidTr="00317C3C">
        <w:trPr>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Pr="005F4EF4" w:rsidRDefault="004E1353" w:rsidP="005F4EF4">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3.9.</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Převody majetku, hromadné převody majetku včetně tiskových výstupů.</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Pr="005F4EF4" w:rsidRDefault="004E1353" w:rsidP="005F4EF4">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3.10.</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Vyřazení majetku, hromadné vyřazení majetku včetně tiskových výstupů (soupis vyřazovaných položek).</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Pr="005F4EF4" w:rsidRDefault="004E1353" w:rsidP="005F4EF4">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3.11.</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Možnost změny údajů, hromadné změny údajů na kartách majetku.</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Pr="005F4EF4" w:rsidRDefault="004E1353" w:rsidP="005F4EF4">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3.12.</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Hromadné převody/vyřazení majetku.</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Pr="005F4EF4" w:rsidRDefault="004E1353" w:rsidP="005F4EF4">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3.13.</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Evidence historie veškerých pohybů s majetkem.</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Pr="005F4EF4" w:rsidRDefault="004E1353" w:rsidP="005F4EF4">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3.14.</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Evidence finančních zdrojů spojených s pořízením, změnou ceny majetku, vícezdrojové financování (na kartě majetku).</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Pr="005F4EF4" w:rsidRDefault="004E1353" w:rsidP="005F4EF4">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3.15.</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Daňové i účetní odepisování (kombinace dotace, vlastní prostředky), generování odpisů dle nastavených pravidel, odpisových plánů, vazba účtování o pohybech majetku a finančním zdroji (vícezdrojové financování investic vč. evidence příslušných odpisů ze zdrojů (dotační, nedotační)).</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Pr="005F4EF4" w:rsidRDefault="004E1353" w:rsidP="005F4EF4">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3.16.</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Možnost účtování účetních odpisů na konkrétní akci/akce (grant, zakázku) po zvolené časové období.</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Pr="005F4EF4" w:rsidRDefault="004E1353" w:rsidP="005F4EF4">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3.17.</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Uživatelská modifikace a možnost doplnění volitelných polí v kartě majetku pr</w:t>
            </w:r>
            <w:r w:rsidR="0060580B">
              <w:rPr>
                <w:rFonts w:ascii="Arial" w:eastAsia="Times New Roman" w:hAnsi="Arial" w:cs="Arial"/>
                <w:color w:val="000000"/>
                <w:sz w:val="20"/>
                <w:szCs w:val="20"/>
                <w:lang w:eastAsia="cs-CZ"/>
              </w:rPr>
              <w:t>o jednotlivé skupiny majetku. U </w:t>
            </w:r>
            <w:r>
              <w:rPr>
                <w:rFonts w:ascii="Arial" w:eastAsia="Times New Roman" w:hAnsi="Arial" w:cs="Arial"/>
                <w:color w:val="000000"/>
                <w:sz w:val="20"/>
                <w:szCs w:val="20"/>
                <w:lang w:eastAsia="cs-CZ"/>
              </w:rPr>
              <w:t>polí možnost rozlišení na povinně a volitelně vyplňované.</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Pr="005F4EF4" w:rsidRDefault="004E1353" w:rsidP="005F4EF4">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3.18.</w:t>
            </w:r>
          </w:p>
        </w:tc>
        <w:tc>
          <w:tcPr>
            <w:tcW w:w="989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Pr="005F4EF4" w:rsidRDefault="004E1353" w:rsidP="005F4EF4">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Sledování, zda náklady spojené s konkrétním majetkem nepřesáhly limit pro technické zhodnocení.</w:t>
            </w:r>
          </w:p>
        </w:tc>
        <w:tc>
          <w:tcPr>
            <w:tcW w:w="127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Pr="005F4EF4" w:rsidRDefault="004E1353" w:rsidP="005F4EF4">
            <w:pPr>
              <w:spacing w:after="0"/>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6</w:t>
            </w:r>
          </w:p>
        </w:tc>
        <w:tc>
          <w:tcPr>
            <w:tcW w:w="130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Pr="005F4EF4" w:rsidRDefault="004B2930" w:rsidP="005F4EF4">
            <w:pPr>
              <w:spacing w:after="0"/>
              <w:jc w:val="center"/>
              <w:rPr>
                <w:rFonts w:ascii="Arial" w:eastAsia="Times New Roman" w:hAnsi="Arial" w:cs="Arial"/>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rsidP="005F4EF4">
            <w:pPr>
              <w:spacing w:after="0"/>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Pr="005F4EF4" w:rsidRDefault="004E1353" w:rsidP="005F4EF4">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R</w:t>
            </w:r>
          </w:p>
        </w:tc>
      </w:tr>
      <w:tr w:rsidR="004B2930" w:rsidTr="00317C3C">
        <w:trPr>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rsidP="005F4EF4">
            <w:pPr>
              <w:spacing w:after="0"/>
            </w:pPr>
            <w:r>
              <w:rPr>
                <w:rFonts w:ascii="Arial" w:eastAsia="Times New Roman" w:hAnsi="Arial" w:cs="Arial"/>
                <w:color w:val="000000"/>
                <w:sz w:val="20"/>
                <w:szCs w:val="20"/>
                <w:lang w:eastAsia="cs-CZ"/>
              </w:rPr>
              <w:t>3.19.</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Evidence více kusů stejného majetku na jedné kartě – soubory majetku. Částečné vyřazení ze souboru majetku.</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rsidP="005F4EF4">
            <w:pPr>
              <w:spacing w:after="0"/>
            </w:pPr>
            <w:r>
              <w:rPr>
                <w:rFonts w:ascii="Arial" w:eastAsia="Times New Roman" w:hAnsi="Arial" w:cs="Arial"/>
                <w:color w:val="000000"/>
                <w:sz w:val="20"/>
                <w:szCs w:val="20"/>
                <w:lang w:eastAsia="cs-CZ"/>
              </w:rPr>
              <w:t>3.20.</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Zatřídění majetku dle standardně používané klasifikace ČSÚ (CZ-CC, CZ-CPA (SKP), CPV); vazba na daňové odpisy. Udržování seznamu kódů klasifikace dle platné legislativy.</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657CFE">
        <w:trPr>
          <w:cantSplit/>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rsidP="005F4EF4">
            <w:pPr>
              <w:spacing w:after="0"/>
            </w:pPr>
            <w:r>
              <w:rPr>
                <w:rFonts w:ascii="Arial" w:eastAsia="Times New Roman" w:hAnsi="Arial" w:cs="Arial"/>
                <w:color w:val="000000"/>
                <w:sz w:val="20"/>
                <w:szCs w:val="20"/>
                <w:lang w:eastAsia="cs-CZ"/>
              </w:rPr>
              <w:t>3.21.</w:t>
            </w:r>
          </w:p>
          <w:p w:rsidR="004B2930" w:rsidRDefault="004E1353">
            <w:pPr>
              <w:spacing w:after="0"/>
            </w:pPr>
            <w:r>
              <w:rPr>
                <w:rFonts w:ascii="Arial" w:eastAsia="Times New Roman" w:hAnsi="Arial" w:cs="Arial"/>
                <w:color w:val="000000"/>
                <w:sz w:val="20"/>
                <w:szCs w:val="20"/>
                <w:lang w:eastAsia="cs-CZ"/>
              </w:rPr>
              <w:t>KNAV</w:t>
            </w:r>
          </w:p>
        </w:tc>
        <w:tc>
          <w:tcPr>
            <w:tcW w:w="989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Možnost připojení obrazové přílohy (náhledu) k vybraným inventárním kartám (např. vyobrazení příslušného uměleckého díla).</w:t>
            </w:r>
          </w:p>
        </w:tc>
        <w:tc>
          <w:tcPr>
            <w:tcW w:w="127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jc w:val="center"/>
            </w:pPr>
            <w:r>
              <w:rPr>
                <w:rFonts w:ascii="Arial" w:eastAsia="Times New Roman" w:hAnsi="Arial" w:cs="Arial"/>
                <w:color w:val="000000"/>
                <w:sz w:val="20"/>
                <w:szCs w:val="20"/>
                <w:lang w:eastAsia="cs-CZ"/>
              </w:rPr>
              <w:t>3</w:t>
            </w:r>
          </w:p>
        </w:tc>
        <w:tc>
          <w:tcPr>
            <w:tcW w:w="130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R</w:t>
            </w:r>
          </w:p>
        </w:tc>
      </w:tr>
      <w:tr w:rsidR="004B2930" w:rsidTr="00317C3C">
        <w:trPr>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Pr="005F4EF4" w:rsidRDefault="004E1353" w:rsidP="005F4EF4">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3.22.</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Inventarizace majetku  dle volitelných kritérií (stav k datu, druh majetku, odpovědná osoba, nákladové středisko, místnost či několik). Vytváření sestav pro inventuru majetku.</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Pr="005F4EF4" w:rsidRDefault="004E1353" w:rsidP="005F4EF4">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3.23.</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Vazba majetku na číselník umístění, lokalit, odpovědných osob.</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Pr="005F4EF4" w:rsidRDefault="004E1353" w:rsidP="005F4EF4">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3.24.</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Podpora čárových popř. QR kódů pro účely inventarizace, provádění inventarizace majetku pomocí čteček čárových / QR kódů.</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9</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Pr="005F4EF4" w:rsidRDefault="004E1353" w:rsidP="005F4EF4">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3.25.</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Sestava majetku ze všech údajů na kartě majetku včetně definovatelného třídění (filtr údajů) s výstupem do MS Excel.</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p w:rsidR="004B2930" w:rsidRDefault="004B2930">
            <w:pPr>
              <w:spacing w:after="0"/>
              <w:rPr>
                <w:rFonts w:ascii="Arial" w:eastAsia="Times New Roman" w:hAnsi="Arial" w:cs="Arial"/>
                <w:color w:val="000000"/>
                <w:sz w:val="20"/>
                <w:szCs w:val="20"/>
                <w:lang w:eastAsia="cs-CZ"/>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340"/>
        </w:trPr>
        <w:tc>
          <w:tcPr>
            <w:tcW w:w="15521" w:type="dxa"/>
            <w:gridSpan w:val="6"/>
            <w:shd w:val="clear" w:color="auto" w:fill="auto"/>
            <w:vAlign w:val="bottom"/>
          </w:tcPr>
          <w:p w:rsidR="004B2930" w:rsidRPr="00A650EF" w:rsidRDefault="004E1353" w:rsidP="00A650EF">
            <w:pPr>
              <w:spacing w:before="113" w:after="0"/>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Skladová evidence </w:t>
            </w:r>
          </w:p>
        </w:tc>
      </w:tr>
      <w:tr w:rsidR="004B2930" w:rsidTr="00317C3C">
        <w:trPr>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rsidP="005F4EF4">
            <w:pPr>
              <w:spacing w:after="0"/>
            </w:pPr>
            <w:r>
              <w:rPr>
                <w:rFonts w:ascii="Arial" w:eastAsia="Times New Roman" w:hAnsi="Arial" w:cs="Arial"/>
                <w:color w:val="000000"/>
                <w:sz w:val="20"/>
                <w:szCs w:val="20"/>
                <w:lang w:eastAsia="cs-CZ"/>
              </w:rPr>
              <w:t>3.26.</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Evidence skladových zásob, sledování příjmů (přírůstků) a výdejů (úbytků), přecenění, výpůjček a zápůjček.</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Pr="005F4EF4" w:rsidRDefault="004E1353" w:rsidP="005F4EF4">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3.27.</w:t>
            </w:r>
          </w:p>
        </w:tc>
        <w:tc>
          <w:tcPr>
            <w:tcW w:w="989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Notifikace e-mailem na dosažení minimálního limitu stavu zásob na skladě.</w:t>
            </w:r>
          </w:p>
        </w:tc>
        <w:tc>
          <w:tcPr>
            <w:tcW w:w="127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jc w:val="center"/>
            </w:pPr>
            <w:r>
              <w:rPr>
                <w:rFonts w:ascii="Arial" w:eastAsia="Times New Roman" w:hAnsi="Arial" w:cs="Arial"/>
                <w:color w:val="000000"/>
                <w:sz w:val="20"/>
                <w:szCs w:val="20"/>
                <w:lang w:eastAsia="cs-CZ"/>
              </w:rPr>
              <w:t>8</w:t>
            </w:r>
          </w:p>
        </w:tc>
        <w:tc>
          <w:tcPr>
            <w:tcW w:w="130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R</w:t>
            </w:r>
          </w:p>
        </w:tc>
      </w:tr>
      <w:tr w:rsidR="004B2930" w:rsidTr="00317C3C">
        <w:trPr>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Pr="005F4EF4" w:rsidRDefault="004E1353" w:rsidP="005F4EF4">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3.28.</w:t>
            </w:r>
          </w:p>
        </w:tc>
        <w:tc>
          <w:tcPr>
            <w:tcW w:w="989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Podpora více skladů, meziskladů, vazba odpovědných osob a skladů.</w:t>
            </w:r>
          </w:p>
        </w:tc>
        <w:tc>
          <w:tcPr>
            <w:tcW w:w="127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jc w:val="center"/>
            </w:pPr>
            <w:r>
              <w:rPr>
                <w:rFonts w:ascii="Arial" w:eastAsia="Times New Roman" w:hAnsi="Arial" w:cs="Arial"/>
                <w:color w:val="000000"/>
                <w:sz w:val="20"/>
                <w:szCs w:val="20"/>
                <w:lang w:eastAsia="cs-CZ"/>
              </w:rPr>
              <w:t>4</w:t>
            </w:r>
          </w:p>
        </w:tc>
        <w:tc>
          <w:tcPr>
            <w:tcW w:w="130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R</w:t>
            </w:r>
          </w:p>
        </w:tc>
      </w:tr>
      <w:tr w:rsidR="004B2930" w:rsidTr="00317C3C">
        <w:trPr>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Pr="005F4EF4" w:rsidRDefault="004E1353" w:rsidP="005F4EF4">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3.29.</w:t>
            </w:r>
          </w:p>
        </w:tc>
        <w:tc>
          <w:tcPr>
            <w:tcW w:w="989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Kategorizace odběratelů, různé ceníky, možnost slev a rabatů.</w:t>
            </w:r>
          </w:p>
        </w:tc>
        <w:tc>
          <w:tcPr>
            <w:tcW w:w="127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jc w:val="center"/>
            </w:pPr>
            <w:r>
              <w:rPr>
                <w:rFonts w:ascii="Arial" w:eastAsia="Times New Roman" w:hAnsi="Arial" w:cs="Arial"/>
                <w:color w:val="000000"/>
                <w:sz w:val="20"/>
                <w:szCs w:val="20"/>
                <w:lang w:eastAsia="cs-CZ"/>
              </w:rPr>
              <w:t>2</w:t>
            </w:r>
          </w:p>
        </w:tc>
        <w:tc>
          <w:tcPr>
            <w:tcW w:w="130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R</w:t>
            </w:r>
          </w:p>
        </w:tc>
      </w:tr>
      <w:tr w:rsidR="004B2930" w:rsidTr="00317C3C">
        <w:trPr>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Pr="005F4EF4" w:rsidRDefault="004E1353" w:rsidP="005F4EF4">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3.30.</w:t>
            </w:r>
          </w:p>
        </w:tc>
        <w:tc>
          <w:tcPr>
            <w:tcW w:w="989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Podpora evidence pomocí čtečky čárových kódů, QR kódů. Napojení čtečky na skladovou evidenci.</w:t>
            </w:r>
          </w:p>
        </w:tc>
        <w:tc>
          <w:tcPr>
            <w:tcW w:w="127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jc w:val="center"/>
            </w:pPr>
            <w:r>
              <w:rPr>
                <w:rFonts w:ascii="Arial" w:eastAsia="Times New Roman" w:hAnsi="Arial" w:cs="Arial"/>
                <w:color w:val="000000"/>
                <w:sz w:val="20"/>
                <w:szCs w:val="20"/>
                <w:lang w:eastAsia="cs-CZ"/>
              </w:rPr>
              <w:t>5</w:t>
            </w:r>
          </w:p>
        </w:tc>
        <w:tc>
          <w:tcPr>
            <w:tcW w:w="130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R</w:t>
            </w:r>
          </w:p>
        </w:tc>
      </w:tr>
      <w:tr w:rsidR="004B2930" w:rsidTr="00317C3C">
        <w:trPr>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Pr="005F4EF4" w:rsidRDefault="004E1353" w:rsidP="005F4EF4">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3.31.</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Příprava a vystavování odběratelských faktur ve vazbě na skladové pohyby.</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Pr="005F4EF4" w:rsidRDefault="004E1353" w:rsidP="005F4EF4">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3.32.</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 xml:space="preserve">Nastavení účetních pravidel </w:t>
            </w:r>
            <w:proofErr w:type="spellStart"/>
            <w:r>
              <w:rPr>
                <w:rFonts w:ascii="Arial" w:eastAsia="Times New Roman" w:hAnsi="Arial" w:cs="Arial"/>
                <w:color w:val="000000"/>
                <w:sz w:val="20"/>
                <w:szCs w:val="20"/>
                <w:lang w:eastAsia="cs-CZ"/>
              </w:rPr>
              <w:t>rozkontace</w:t>
            </w:r>
            <w:proofErr w:type="spellEnd"/>
            <w:r>
              <w:rPr>
                <w:rFonts w:ascii="Arial" w:eastAsia="Times New Roman" w:hAnsi="Arial" w:cs="Arial"/>
                <w:color w:val="000000"/>
                <w:sz w:val="20"/>
                <w:szCs w:val="20"/>
                <w:lang w:eastAsia="cs-CZ"/>
              </w:rPr>
              <w:t xml:space="preserve"> pro jednotlivé skladové pohyby.</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Pr="005F4EF4" w:rsidRDefault="004E1353" w:rsidP="005F4EF4">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3.33.</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Sestava ze všech údajů na skladové kartě včetně definovatelného třídění (filtr).</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Pr="005F4EF4" w:rsidRDefault="004E1353" w:rsidP="005F4EF4">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3.34.</w:t>
            </w:r>
          </w:p>
          <w:p w:rsidR="004B2930" w:rsidRPr="005F4EF4" w:rsidRDefault="004E1353" w:rsidP="005F4EF4">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KNAV</w:t>
            </w:r>
          </w:p>
          <w:p w:rsidR="004B2930" w:rsidRPr="005F4EF4" w:rsidRDefault="004E1353" w:rsidP="005F4EF4">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ÚČL</w:t>
            </w:r>
          </w:p>
          <w:p w:rsidR="004B2930" w:rsidRPr="005F4EF4" w:rsidRDefault="004E1353" w:rsidP="005F4EF4">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ÚSP</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Možnost automatického otevírání měsíce.</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317C3C">
        <w:trPr>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rsidP="005F4EF4">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3.35.</w:t>
            </w:r>
          </w:p>
          <w:p w:rsidR="004B2930" w:rsidRDefault="004E1353">
            <w:pPr>
              <w:keepNext/>
              <w:spacing w:after="0"/>
            </w:pPr>
            <w:r>
              <w:rPr>
                <w:rFonts w:ascii="Arial" w:eastAsia="Times New Roman" w:hAnsi="Arial" w:cs="Arial"/>
                <w:color w:val="000000"/>
                <w:sz w:val="20"/>
                <w:szCs w:val="20"/>
                <w:lang w:eastAsia="cs-CZ"/>
              </w:rPr>
              <w:t>ÚČL</w:t>
            </w:r>
          </w:p>
        </w:tc>
        <w:tc>
          <w:tcPr>
            <w:tcW w:w="989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Evidence nevyužívaných skladových položek za zadané časové období.</w:t>
            </w:r>
          </w:p>
        </w:tc>
        <w:tc>
          <w:tcPr>
            <w:tcW w:w="127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jc w:val="center"/>
            </w:pPr>
            <w:r>
              <w:rPr>
                <w:rFonts w:ascii="Arial" w:eastAsia="Times New Roman" w:hAnsi="Arial" w:cs="Arial"/>
                <w:color w:val="000000"/>
                <w:sz w:val="20"/>
                <w:szCs w:val="20"/>
                <w:lang w:eastAsia="cs-CZ"/>
              </w:rPr>
              <w:t>6</w:t>
            </w:r>
          </w:p>
        </w:tc>
        <w:tc>
          <w:tcPr>
            <w:tcW w:w="130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R</w:t>
            </w:r>
          </w:p>
        </w:tc>
      </w:tr>
    </w:tbl>
    <w:p w:rsidR="004B2930" w:rsidRDefault="004B2930">
      <w:pPr>
        <w:pStyle w:val="Zkladntext"/>
      </w:pPr>
    </w:p>
    <w:p w:rsidR="00A62EDC" w:rsidRDefault="00A62EDC">
      <w:pPr>
        <w:overflowPunct/>
        <w:spacing w:after="0"/>
        <w:rPr>
          <w:rFonts w:ascii="Arial" w:hAnsi="Arial" w:cs="Arial"/>
          <w:b/>
          <w:sz w:val="24"/>
          <w:szCs w:val="24"/>
        </w:rPr>
      </w:pPr>
      <w:r>
        <w:rPr>
          <w:rFonts w:ascii="Arial" w:hAnsi="Arial" w:cs="Arial"/>
          <w:b/>
          <w:sz w:val="24"/>
          <w:szCs w:val="24"/>
        </w:rPr>
        <w:br w:type="page"/>
      </w:r>
    </w:p>
    <w:p w:rsidR="004B2930" w:rsidRDefault="004E1353">
      <w:r>
        <w:rPr>
          <w:rFonts w:ascii="Arial" w:hAnsi="Arial" w:cs="Arial"/>
          <w:b/>
          <w:sz w:val="24"/>
          <w:szCs w:val="24"/>
        </w:rPr>
        <w:t>4. Personalistika a mzdy, docházka, stravenky</w:t>
      </w:r>
    </w:p>
    <w:tbl>
      <w:tblPr>
        <w:tblW w:w="15527" w:type="dxa"/>
        <w:tblInd w:w="-6" w:type="dxa"/>
        <w:tblLayout w:type="fixed"/>
        <w:tblCellMar>
          <w:left w:w="70" w:type="dxa"/>
          <w:right w:w="70" w:type="dxa"/>
        </w:tblCellMar>
        <w:tblLook w:val="04A0" w:firstRow="1" w:lastRow="0" w:firstColumn="1" w:lastColumn="0" w:noHBand="0" w:noVBand="1"/>
      </w:tblPr>
      <w:tblGrid>
        <w:gridCol w:w="732"/>
        <w:gridCol w:w="9901"/>
        <w:gridCol w:w="1280"/>
        <w:gridCol w:w="1292"/>
        <w:gridCol w:w="1247"/>
        <w:gridCol w:w="1075"/>
      </w:tblGrid>
      <w:tr w:rsidR="004B2930" w:rsidTr="004F13B9">
        <w:trPr>
          <w:cantSplit/>
          <w:trHeight w:val="284"/>
          <w:tblHeader/>
        </w:trPr>
        <w:tc>
          <w:tcPr>
            <w:tcW w:w="732" w:type="dxa"/>
            <w:tcBorders>
              <w:top w:val="single" w:sz="4" w:space="0" w:color="000000"/>
              <w:left w:val="single" w:sz="4" w:space="0" w:color="000000"/>
              <w:bottom w:val="single" w:sz="4" w:space="0" w:color="auto"/>
              <w:right w:val="single" w:sz="4" w:space="0" w:color="000000"/>
            </w:tcBorders>
            <w:shd w:val="clear" w:color="auto" w:fill="E6E6E6"/>
            <w:vAlign w:val="bottom"/>
          </w:tcPr>
          <w:p w:rsidR="004B2930" w:rsidRDefault="004E1353">
            <w:pPr>
              <w:spacing w:after="0"/>
            </w:pPr>
            <w:r>
              <w:rPr>
                <w:rFonts w:ascii="Arial" w:eastAsia="Times New Roman" w:hAnsi="Arial" w:cs="Arial"/>
                <w:b/>
                <w:sz w:val="18"/>
                <w:szCs w:val="18"/>
                <w:lang w:eastAsia="cs-CZ"/>
              </w:rPr>
              <w:t>Číslo</w:t>
            </w:r>
            <w:r>
              <w:rPr>
                <w:rFonts w:ascii="Arial" w:eastAsia="Times New Roman" w:hAnsi="Arial" w:cs="Arial"/>
                <w:b/>
                <w:sz w:val="18"/>
                <w:szCs w:val="18"/>
                <w:vertAlign w:val="superscript"/>
                <w:lang w:eastAsia="cs-CZ"/>
              </w:rPr>
              <w:t>1)</w:t>
            </w:r>
          </w:p>
        </w:tc>
        <w:tc>
          <w:tcPr>
            <w:tcW w:w="9901" w:type="dxa"/>
            <w:tcBorders>
              <w:top w:val="single" w:sz="4" w:space="0" w:color="000000"/>
              <w:left w:val="single" w:sz="4" w:space="0" w:color="000000"/>
              <w:bottom w:val="single" w:sz="4" w:space="0" w:color="auto"/>
              <w:right w:val="single" w:sz="4" w:space="0" w:color="000000"/>
            </w:tcBorders>
            <w:shd w:val="clear" w:color="auto" w:fill="E6E6E6"/>
            <w:vAlign w:val="bottom"/>
          </w:tcPr>
          <w:p w:rsidR="004B2930" w:rsidRDefault="004E1353">
            <w:pPr>
              <w:spacing w:after="0"/>
            </w:pPr>
            <w:r>
              <w:rPr>
                <w:rFonts w:ascii="Arial" w:eastAsia="Times New Roman" w:hAnsi="Arial" w:cs="Arial"/>
                <w:b/>
                <w:color w:val="000000"/>
                <w:sz w:val="18"/>
                <w:szCs w:val="18"/>
                <w:lang w:eastAsia="cs-CZ"/>
              </w:rPr>
              <w:t>Požadavek na funkcionalitu</w:t>
            </w:r>
          </w:p>
        </w:tc>
        <w:tc>
          <w:tcPr>
            <w:tcW w:w="1280" w:type="dxa"/>
            <w:tcBorders>
              <w:top w:val="single" w:sz="4" w:space="0" w:color="000000"/>
              <w:left w:val="single" w:sz="4" w:space="0" w:color="000000"/>
              <w:bottom w:val="single" w:sz="4" w:space="0" w:color="auto"/>
              <w:right w:val="single" w:sz="4" w:space="0" w:color="000000"/>
            </w:tcBorders>
            <w:shd w:val="clear" w:color="auto" w:fill="E6E6E6"/>
            <w:vAlign w:val="bottom"/>
          </w:tcPr>
          <w:p w:rsidR="004B2930" w:rsidRDefault="004E1353">
            <w:pPr>
              <w:spacing w:after="0"/>
            </w:pPr>
            <w:r>
              <w:rPr>
                <w:rFonts w:ascii="Arial" w:hAnsi="Arial" w:cs="Arial"/>
                <w:b/>
                <w:sz w:val="18"/>
                <w:szCs w:val="18"/>
              </w:rPr>
              <w:t>Body významnosti</w:t>
            </w:r>
            <w:r>
              <w:rPr>
                <w:rFonts w:ascii="Arial" w:hAnsi="Arial" w:cs="Arial"/>
                <w:sz w:val="18"/>
                <w:szCs w:val="18"/>
              </w:rPr>
              <w:br/>
            </w:r>
            <w:r>
              <w:rPr>
                <w:rFonts w:ascii="Arial" w:hAnsi="Arial" w:cs="Arial"/>
                <w:b/>
                <w:sz w:val="18"/>
                <w:szCs w:val="18"/>
              </w:rPr>
              <w:t>funkcionality</w:t>
            </w:r>
          </w:p>
        </w:tc>
        <w:tc>
          <w:tcPr>
            <w:tcW w:w="1292" w:type="dxa"/>
            <w:tcBorders>
              <w:top w:val="single" w:sz="4" w:space="0" w:color="000000"/>
              <w:left w:val="single" w:sz="4" w:space="0" w:color="000000"/>
              <w:bottom w:val="single" w:sz="4" w:space="0" w:color="auto"/>
              <w:right w:val="single" w:sz="4" w:space="0" w:color="000000"/>
            </w:tcBorders>
            <w:shd w:val="clear" w:color="auto" w:fill="E6E6E6"/>
            <w:vAlign w:val="bottom"/>
          </w:tcPr>
          <w:p w:rsidR="004B2930" w:rsidRDefault="004E1353">
            <w:pPr>
              <w:spacing w:after="0"/>
              <w:jc w:val="center"/>
            </w:pPr>
            <w:r>
              <w:rPr>
                <w:rFonts w:ascii="Arial" w:hAnsi="Arial" w:cs="Arial"/>
                <w:b/>
                <w:sz w:val="18"/>
                <w:szCs w:val="18"/>
              </w:rPr>
              <w:t>Standardní</w:t>
            </w:r>
            <w:r>
              <w:rPr>
                <w:rFonts w:ascii="Arial" w:hAnsi="Arial" w:cs="Arial"/>
                <w:sz w:val="18"/>
                <w:szCs w:val="18"/>
              </w:rPr>
              <w:br/>
            </w:r>
            <w:r>
              <w:rPr>
                <w:rFonts w:ascii="Arial" w:hAnsi="Arial" w:cs="Arial"/>
                <w:b/>
                <w:sz w:val="18"/>
                <w:szCs w:val="18"/>
              </w:rPr>
              <w:t>funkcionalita</w:t>
            </w:r>
          </w:p>
        </w:tc>
        <w:tc>
          <w:tcPr>
            <w:tcW w:w="1247" w:type="dxa"/>
            <w:tcBorders>
              <w:top w:val="single" w:sz="4" w:space="0" w:color="000000"/>
              <w:left w:val="single" w:sz="4" w:space="0" w:color="000000"/>
              <w:bottom w:val="single" w:sz="4" w:space="0" w:color="auto"/>
              <w:right w:val="single" w:sz="4" w:space="0" w:color="000000"/>
            </w:tcBorders>
            <w:shd w:val="clear" w:color="auto" w:fill="E6E6E6"/>
            <w:vAlign w:val="bottom"/>
          </w:tcPr>
          <w:p w:rsidR="004B2930" w:rsidRDefault="004E1353">
            <w:pPr>
              <w:spacing w:after="0"/>
            </w:pPr>
            <w:r>
              <w:rPr>
                <w:rFonts w:ascii="Arial" w:hAnsi="Arial" w:cs="Arial"/>
                <w:b/>
                <w:sz w:val="18"/>
                <w:szCs w:val="18"/>
              </w:rPr>
              <w:t>Bude doplněno /</w:t>
            </w:r>
            <w:r>
              <w:rPr>
                <w:rFonts w:ascii="Arial" w:hAnsi="Arial" w:cs="Arial"/>
                <w:sz w:val="18"/>
                <w:szCs w:val="18"/>
              </w:rPr>
              <w:br/>
            </w:r>
            <w:r>
              <w:rPr>
                <w:rFonts w:ascii="Arial" w:hAnsi="Arial" w:cs="Arial"/>
                <w:b/>
                <w:sz w:val="18"/>
                <w:szCs w:val="18"/>
              </w:rPr>
              <w:t>doprogra</w:t>
            </w:r>
            <w:r>
              <w:rPr>
                <w:rFonts w:ascii="Arial" w:hAnsi="Arial" w:cs="Arial"/>
                <w:b/>
                <w:sz w:val="18"/>
                <w:szCs w:val="18"/>
              </w:rPr>
              <w:softHyphen/>
              <w:t>mováno</w:t>
            </w:r>
          </w:p>
        </w:tc>
        <w:tc>
          <w:tcPr>
            <w:tcW w:w="1075" w:type="dxa"/>
            <w:tcBorders>
              <w:top w:val="single" w:sz="4" w:space="0" w:color="000000"/>
              <w:left w:val="single" w:sz="4" w:space="0" w:color="000000"/>
              <w:bottom w:val="single" w:sz="4" w:space="0" w:color="auto"/>
              <w:right w:val="single" w:sz="4" w:space="0" w:color="000000"/>
            </w:tcBorders>
            <w:shd w:val="clear" w:color="auto" w:fill="E6E6E6"/>
            <w:vAlign w:val="bottom"/>
          </w:tcPr>
          <w:p w:rsidR="004B2930" w:rsidRDefault="004E1353">
            <w:pPr>
              <w:spacing w:after="0"/>
            </w:pPr>
            <w:r>
              <w:rPr>
                <w:rFonts w:ascii="Arial" w:eastAsia="Times New Roman" w:hAnsi="Arial" w:cs="Arial"/>
                <w:b/>
                <w:color w:val="000000"/>
                <w:sz w:val="18"/>
                <w:szCs w:val="18"/>
                <w:lang w:eastAsia="cs-CZ"/>
              </w:rPr>
              <w:t>Povinný/ rozšiřující</w:t>
            </w:r>
          </w:p>
        </w:tc>
      </w:tr>
      <w:tr w:rsidR="004B2930" w:rsidTr="004F13B9">
        <w:trPr>
          <w:cantSplit/>
          <w:trHeight w:val="284"/>
        </w:trPr>
        <w:tc>
          <w:tcPr>
            <w:tcW w:w="15527" w:type="dxa"/>
            <w:gridSpan w:val="6"/>
            <w:tcBorders>
              <w:top w:val="single" w:sz="4" w:space="0" w:color="auto"/>
              <w:bottom w:val="single" w:sz="4" w:space="0" w:color="auto"/>
            </w:tcBorders>
            <w:shd w:val="clear" w:color="auto" w:fill="auto"/>
          </w:tcPr>
          <w:p w:rsidR="004B2930" w:rsidRDefault="004E1353">
            <w:pPr>
              <w:spacing w:before="113" w:after="0"/>
            </w:pPr>
            <w:r>
              <w:rPr>
                <w:rFonts w:ascii="Arial" w:eastAsia="Times New Roman" w:hAnsi="Arial" w:cs="Arial"/>
                <w:b/>
                <w:bCs/>
                <w:color w:val="000000"/>
                <w:sz w:val="20"/>
                <w:szCs w:val="20"/>
                <w:lang w:eastAsia="cs-CZ"/>
              </w:rPr>
              <w:t>Personalistika a mzdy</w:t>
            </w:r>
          </w:p>
        </w:tc>
      </w:tr>
      <w:tr w:rsidR="004B2930" w:rsidTr="004F13B9">
        <w:trPr>
          <w:cantSplit/>
          <w:trHeight w:val="284"/>
        </w:trPr>
        <w:tc>
          <w:tcPr>
            <w:tcW w:w="732" w:type="dxa"/>
            <w:tcBorders>
              <w:top w:val="single" w:sz="4" w:space="0" w:color="auto"/>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4.1.</w:t>
            </w:r>
          </w:p>
        </w:tc>
        <w:tc>
          <w:tcPr>
            <w:tcW w:w="9901" w:type="dxa"/>
            <w:tcBorders>
              <w:top w:val="single" w:sz="4" w:space="0" w:color="auto"/>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Evidence základních personálních údajů o osobě.</w:t>
            </w:r>
          </w:p>
        </w:tc>
        <w:tc>
          <w:tcPr>
            <w:tcW w:w="1280" w:type="dxa"/>
            <w:tcBorders>
              <w:top w:val="single" w:sz="4" w:space="0" w:color="auto"/>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3</w:t>
            </w:r>
          </w:p>
        </w:tc>
        <w:tc>
          <w:tcPr>
            <w:tcW w:w="1292" w:type="dxa"/>
            <w:tcBorders>
              <w:top w:val="single" w:sz="4" w:space="0" w:color="auto"/>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auto"/>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auto"/>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4.2.</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Číselníky budou nastavitelné v požadovaném formátu (složky mezd – číselný formát XXXX, účetní souvztažnosti na úrovni analytik číselný formát XXXXXXXXXX, CZ</w:t>
            </w:r>
            <w:r>
              <w:rPr>
                <w:rFonts w:ascii="Arial" w:eastAsia="Times New Roman" w:hAnsi="Arial" w:cs="Arial"/>
                <w:color w:val="000000"/>
                <w:sz w:val="20"/>
                <w:szCs w:val="20"/>
                <w:lang w:eastAsia="cs-CZ"/>
              </w:rPr>
              <w:noBreakHyphen/>
              <w:t>ISCO, atd.).</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4.3.</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Individuální číselníky pro kalendáře, směny, mzdové tabulky, číselník odesílatelů a příjemců, mzdové postupy atd.</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5</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4.4.</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Číselník osob musí být jen jeden, aby se ID zaměstnance nemohlo v systému opakovat, stejně jako OSČ.</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5</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4.5.</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Možnost vyčlenění pouze určité skupiny zaměstnanců dle předem daného parametru (například dle konkrétních akcí), uložení tohoto výběru a možnost práce pouze s touto skupinou (načítání sestav a jejich export a tisk, hromadné změny, atd.).</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4.6.</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Možnost zrušení výpočtu mezd za aktuální období a uzávěrky a to i opakovaně.</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4.7.</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Nástroje pro podporu a</w:t>
            </w:r>
            <w:r>
              <w:rPr>
                <w:rFonts w:ascii="Arial" w:eastAsia="Times New Roman" w:hAnsi="Arial" w:cs="Arial"/>
                <w:bCs/>
                <w:color w:val="000000"/>
                <w:sz w:val="20"/>
                <w:szCs w:val="20"/>
                <w:lang w:eastAsia="cs-CZ"/>
              </w:rPr>
              <w:t xml:space="preserve"> </w:t>
            </w:r>
            <w:r>
              <w:rPr>
                <w:rFonts w:ascii="Arial" w:eastAsia="Times New Roman" w:hAnsi="Arial" w:cs="Arial"/>
                <w:color w:val="000000"/>
                <w:sz w:val="20"/>
                <w:szCs w:val="20"/>
                <w:lang w:eastAsia="cs-CZ"/>
              </w:rPr>
              <w:t>výpočet odvodů sociálního pojištění, zdravotního pojištění a daní.</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4.8.</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Plná implementace české legislativy.</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4.9.</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Parametrizované sestavy zohledňující dodržování podmínek pro čerpání osobních nákladů jednotlivých poskytovatelů (např. GAČR, TAČR, MPO, MŠMT a jiné) pro jednotlivé roky.</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4.10.</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Nástroje pro průběžné sledování čerpání osobních nákladů na jednotlivých akcích (možnost nastavení rozpočtu na akci přímo ve mzdovém systému, na úrovni akcí i osobních čísel; kontrola prostřednictví m uživatelské sestavy).</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4.11.</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Vedení elektronického spisu (osobní složka zaměstnance) s možností připojování dokumentů (v libovolném formátu).</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2</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4.12.</w:t>
            </w:r>
          </w:p>
        </w:tc>
        <w:tc>
          <w:tcPr>
            <w:tcW w:w="99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Podpora evidence souhlasů udělených subjekty údajů a přístupu na osobní data podle GDPR.</w:t>
            </w:r>
          </w:p>
        </w:tc>
        <w:tc>
          <w:tcPr>
            <w:tcW w:w="12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jc w:val="center"/>
            </w:pPr>
            <w:r>
              <w:rPr>
                <w:rFonts w:ascii="Arial" w:eastAsia="Times New Roman" w:hAnsi="Arial" w:cs="Arial"/>
                <w:color w:val="000000"/>
                <w:sz w:val="20"/>
                <w:szCs w:val="20"/>
                <w:lang w:eastAsia="cs-CZ"/>
              </w:rPr>
              <w:t>10</w:t>
            </w:r>
          </w:p>
        </w:tc>
        <w:tc>
          <w:tcPr>
            <w:tcW w:w="129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R</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4.13.</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Možnost evidence osob bez rodného čísla (cizinci) pomocí ID osoby, které je vázáno na osobní číslo.</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5</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4.14.</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Uchovávání historie změny záznamů pro personální a mzdové údaje (platnost údaje od-do).</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4.15.</w:t>
            </w:r>
          </w:p>
          <w:p w:rsidR="004B2930" w:rsidRDefault="004E1353">
            <w:pPr>
              <w:spacing w:after="0"/>
            </w:pPr>
            <w:r>
              <w:rPr>
                <w:rFonts w:ascii="Arial" w:eastAsia="Times New Roman" w:hAnsi="Arial" w:cs="Arial"/>
                <w:color w:val="000000"/>
                <w:sz w:val="20"/>
                <w:szCs w:val="20"/>
                <w:lang w:eastAsia="cs-CZ"/>
              </w:rPr>
              <w:t>KNAV</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Evidence jazykových znalostí.</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6</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4.16.</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Evidence lékařských prohlídek a způsobilosti k výkonu práce.</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8</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4.17.</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On-line nástěnka nebo upozornění pro personalistu na vybrané události: konec smlouvy na dobu určitou, konec zkušební doby, hlídání platnosti atestací, řidičských zkoušek, BOZP,  odchody do důchodu, životní jubilea, nesplněné zdravotní prohlídky (např. notifikace zaměstnancům emailem o nutnosti nové lékařské prohlídky, vypršení platnosti stávající), ukončení RD a MD.</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7</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4.18.</w:t>
            </w:r>
          </w:p>
        </w:tc>
        <w:tc>
          <w:tcPr>
            <w:tcW w:w="99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Nástroj pro hromadné plánování a pořádání školení zaměstnanců na BOZP, řidičské zkoušky, atd.</w:t>
            </w:r>
          </w:p>
        </w:tc>
        <w:tc>
          <w:tcPr>
            <w:tcW w:w="12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jc w:val="center"/>
            </w:pPr>
            <w:r>
              <w:rPr>
                <w:rFonts w:ascii="Arial" w:eastAsia="Times New Roman" w:hAnsi="Arial" w:cs="Arial"/>
                <w:color w:val="000000"/>
                <w:sz w:val="20"/>
                <w:szCs w:val="20"/>
                <w:lang w:eastAsia="cs-CZ"/>
              </w:rPr>
              <w:t>8</w:t>
            </w:r>
          </w:p>
        </w:tc>
        <w:tc>
          <w:tcPr>
            <w:tcW w:w="129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R</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4.19.</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U cizích státních příslušníků evidence pracovního povolení včetně jeho platnosti, evidence pojištění.</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8</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4.20.</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U cizích státních příslušníků podpora vyplnění formulářů pro úřad práce.</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5</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4.21.</w:t>
            </w:r>
          </w:p>
        </w:tc>
        <w:tc>
          <w:tcPr>
            <w:tcW w:w="99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Evidence benefitů (peněžní i nepeněžní) včetně automatického přenesení benefitů do zpracování mezd.</w:t>
            </w:r>
          </w:p>
        </w:tc>
        <w:tc>
          <w:tcPr>
            <w:tcW w:w="12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jc w:val="center"/>
            </w:pPr>
            <w:r>
              <w:rPr>
                <w:rFonts w:ascii="Arial" w:eastAsia="Times New Roman" w:hAnsi="Arial" w:cs="Arial"/>
                <w:color w:val="000000"/>
                <w:sz w:val="20"/>
                <w:szCs w:val="20"/>
                <w:lang w:eastAsia="cs-CZ"/>
              </w:rPr>
              <w:t>10</w:t>
            </w:r>
          </w:p>
        </w:tc>
        <w:tc>
          <w:tcPr>
            <w:tcW w:w="129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R</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4.22.</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Hlídání mzdových limitů dle vnitřního mzdového předpisu (limity tarifních tříd, osobních příplatků).</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7</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4.23.</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Možnost vytváření vlastních formulářů, připravených k následnému exportu. Jedná se o textovou/grafickou šablonu, která je uživatelsky předdefinována a některé její části jsou doplňován y daty ze systému pro jednotlivé zaměstnance.</w:t>
            </w:r>
            <w:r>
              <w:rPr>
                <w:rFonts w:ascii="Arial" w:eastAsia="Times New Roman" w:hAnsi="Arial" w:cs="Arial"/>
                <w:color w:val="000000"/>
                <w:sz w:val="20"/>
                <w:szCs w:val="20"/>
                <w:lang w:eastAsia="cs-CZ"/>
              </w:rPr>
              <w:br/>
              <w:t>Pozn. Součástí implementace je příprava formulářů pro pracovní smlouvy, dohoda o provedení práce, dohoda o pracovní činnosti, dodatek k pracovní smlouvě, mzdový výměr; všechny dokumenty v českém a anglickém jazyce, případně v kombinaci těchto jazyků.</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4.24.</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U jedné osoby (pod stejným osobním číslem) je možné evidovat více souběžně probíhajících pracovních vztahů. Změny úvazků, mzdových tříd, osobních příplatků a ostatní změny vedeny časovým řezem se zachováním prohlížení historie.</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4.25.</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Evidence základních údajů o pracovněprávním vztahu.</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3</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4.26.</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 xml:space="preserve">Evidence </w:t>
            </w:r>
            <w:proofErr w:type="spellStart"/>
            <w:r>
              <w:rPr>
                <w:rFonts w:ascii="Arial" w:eastAsia="Times New Roman" w:hAnsi="Arial" w:cs="Arial"/>
                <w:color w:val="000000"/>
                <w:sz w:val="20"/>
                <w:szCs w:val="20"/>
                <w:lang w:eastAsia="cs-CZ"/>
              </w:rPr>
              <w:t>mimoevidenčních</w:t>
            </w:r>
            <w:proofErr w:type="spellEnd"/>
            <w:r>
              <w:rPr>
                <w:rFonts w:ascii="Arial" w:eastAsia="Times New Roman" w:hAnsi="Arial" w:cs="Arial"/>
                <w:color w:val="000000"/>
                <w:sz w:val="20"/>
                <w:szCs w:val="20"/>
                <w:lang w:eastAsia="cs-CZ"/>
              </w:rPr>
              <w:t xml:space="preserve"> stavů (rodičovská dovolená, mateřská dovolená, neplacené volno).</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6</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4.27.</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Zavedení různých druhů kalendářů/směn pro docházku a výpočet mezd vč</w:t>
            </w:r>
            <w:r w:rsidR="0060580B">
              <w:rPr>
                <w:rFonts w:ascii="Arial" w:eastAsia="Times New Roman" w:hAnsi="Arial" w:cs="Arial"/>
                <w:color w:val="000000"/>
                <w:sz w:val="20"/>
                <w:szCs w:val="20"/>
                <w:lang w:eastAsia="cs-CZ"/>
              </w:rPr>
              <w:t>etně možnosti nastavení pevné i </w:t>
            </w:r>
            <w:r>
              <w:rPr>
                <w:rFonts w:ascii="Arial" w:eastAsia="Times New Roman" w:hAnsi="Arial" w:cs="Arial"/>
                <w:color w:val="000000"/>
                <w:sz w:val="20"/>
                <w:szCs w:val="20"/>
                <w:lang w:eastAsia="cs-CZ"/>
              </w:rPr>
              <w:t>pružné pracovní doby.</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4.28.</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Pro nerovnoměrný rozpis hodin na jednotlivé dny v týdnu uvádět v rámci nastavení individuálního kalendáře správné zobrazení hodin na mzdových listech - odpracovaná doba, náhrady mzdy za nemoc, dovolená dle jednotlivých složek mzdy.</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4.29.</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Zavedení stromové organizační struktury v systému.</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3</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4.30.</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Při zadávání nového pracovního poměru (HPP I DPP I DPČ) automatické přednastavení vybraných hodnot např. u sociálního a zdravotního pojištění a daně z příjmu, včetně přenosu do navazujících agend (formulářů).</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7</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4.31.</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Vícesložkové nastavení mzdy- tarifní mzda institucionální, tarifní mzda grantová, osobní příplatek institucionální, osobní příplatek grantový, příplatek za vedení, rizikový příplatek, u všech alespoň 5 složek. Možnost exportu do MS Excel.</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4.32.</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Možnost hromadného importu mzdových složek (dovolená, nemoc...) z docházky a hromadného zadávání mzdových složek vybraným zaměstnancům (odměny, srážky).</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4.33.</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 xml:space="preserve">Rozúčtování mezd na akce (zakázky, granty) dle úvazku/procentuálně/korunově a to pro jednotlivé složky mezd odděleně. </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4.34.</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Evidence a výpočet průměrů pro náhrady a nemocenské pojištění s časovým řezem se zachováním prohlížení historie.</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3</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4.35.</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U DPP hlídání maximálního počtu hodin ročně, automatické upozornění při překročení zákonného limitu.</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5</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4.36.</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Zaměstnání malého rozsahu- dle platné legislativy hlídání odvodů SP a ZP, upozornění po výpočtu mzdy na odvod SP a ZP v případě překročení zákonného limitu a naopak na neodvádění SP a ZP v případě nedosažení limitu.</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3</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4.37.</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Dovolená (možnost zadat dovolenou i do následujícího období, případně zadat dovolenou trvající přes dvě měsíční období).</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4.38.</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Automaticky přepočítávat nároky dovolené při změně kalendáře pracovní doby.</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4.39.</w:t>
            </w:r>
          </w:p>
          <w:p w:rsidR="004B2930" w:rsidRDefault="004E1353">
            <w:pPr>
              <w:spacing w:after="0"/>
            </w:pPr>
            <w:r>
              <w:rPr>
                <w:rFonts w:ascii="Arial" w:eastAsia="Times New Roman" w:hAnsi="Arial" w:cs="Arial"/>
                <w:color w:val="000000"/>
                <w:sz w:val="20"/>
                <w:szCs w:val="20"/>
                <w:lang w:eastAsia="cs-CZ"/>
              </w:rPr>
              <w:t>KNAV</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Evidence a výpočet příplatků (noční, pohotovost, rizikové příplatky, práce o víken</w:t>
            </w:r>
            <w:r w:rsidR="00C069B8">
              <w:rPr>
                <w:rFonts w:ascii="Arial" w:eastAsia="Times New Roman" w:hAnsi="Arial" w:cs="Arial"/>
                <w:color w:val="000000"/>
                <w:sz w:val="20"/>
                <w:szCs w:val="20"/>
                <w:lang w:eastAsia="cs-CZ"/>
              </w:rPr>
              <w:t xml:space="preserve">du, práce ve svátek) z docházky </w:t>
            </w:r>
            <w:r>
              <w:rPr>
                <w:rFonts w:ascii="Arial" w:eastAsia="Times New Roman" w:hAnsi="Arial" w:cs="Arial"/>
                <w:color w:val="000000"/>
                <w:sz w:val="20"/>
                <w:szCs w:val="20"/>
                <w:lang w:eastAsia="cs-CZ"/>
              </w:rPr>
              <w:t>a jejich přenos do mezd.</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4.40.</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Srážky ze mzdy - možnost rozúčtovat na různé analytické účty dle druhu srážky (půjčky, příspěvky jiným organizacím, penzijní připojištění (příspěvek zaměstnavatele), nájemné, dětská skupina, exekuce.</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4.41.</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Evidence a výpočet exekucí (přednostní, nepřednostní).</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4.42.</w:t>
            </w:r>
          </w:p>
        </w:tc>
        <w:tc>
          <w:tcPr>
            <w:tcW w:w="99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Napojení na insolvenční rejstřík.</w:t>
            </w:r>
          </w:p>
        </w:tc>
        <w:tc>
          <w:tcPr>
            <w:tcW w:w="12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jc w:val="center"/>
            </w:pPr>
            <w:r>
              <w:rPr>
                <w:rFonts w:ascii="Arial" w:eastAsia="Times New Roman" w:hAnsi="Arial" w:cs="Arial"/>
                <w:color w:val="000000"/>
                <w:sz w:val="20"/>
                <w:szCs w:val="20"/>
                <w:lang w:eastAsia="cs-CZ"/>
              </w:rPr>
              <w:t>3</w:t>
            </w:r>
          </w:p>
        </w:tc>
        <w:tc>
          <w:tcPr>
            <w:tcW w:w="129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R</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4.43.</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Evidence a výpočet odvodů do sociálního fondu (daňové a nedaňové).</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5</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4.44.</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Evidence plátcovství ZP, SP.</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4.45.</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Hromadné zpracování evidenčních listů důchodového pojištění (elektronicky), přihlášky a odhlášky 5P a ZP (elektronicky), kontrola správnosti vyplnění, úplnost požadovaných údajů.</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4.46.</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Výpočet ročního zúčtování daní a přenos výpočtu do mezd.</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4.47.</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Hlídání termínů konce slev na dani, studenti, děti, aj. – upozornit ve zvoleném časovém předstihu před koncem slevy.</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4.48.</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Možnost zpětných přepočtů včetně modelování zadaných kritérií (opravy pracovní neschopnosti, členění dle různých zdrojů, aj.). Pracovník v průběhu roku má různou výši pracovního úvazku na zdroje financování (akce, granty), vlivem pracovní neschopnosti může dojít k nečerpání předpokládaných mzdových nákladů na zdroj (akci, grant). Systém musí umět zpětně přepočítat / modelovat situaci, kdy dojde ke změně výše úvazku pracovníka na zdroj, resp. plánovaný úvazek na zdroj není z důvodu pracovní neschopnosti naplněn.</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4.49.</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Možnost sledování zadávaných změn (tarif, osobní příplatek, úvazek, atd.) za vybrané období formou reportu.</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4.50.</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Možnost přeúčtovat zakázku, ze které je zaměstnanec vyplácen, včetně odvodů, které se přeúčtovávají automaticky se mzdou.</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4.51.</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 xml:space="preserve">Import složek mezd do vstupů aktuálního měsíce ve formátu strukturovaného </w:t>
            </w:r>
            <w:proofErr w:type="spellStart"/>
            <w:r>
              <w:rPr>
                <w:rFonts w:ascii="Arial" w:eastAsia="Times New Roman" w:hAnsi="Arial" w:cs="Arial"/>
                <w:color w:val="000000"/>
                <w:sz w:val="20"/>
                <w:szCs w:val="20"/>
                <w:lang w:eastAsia="cs-CZ"/>
              </w:rPr>
              <w:t>xls</w:t>
            </w:r>
            <w:proofErr w:type="spellEnd"/>
            <w:r>
              <w:rPr>
                <w:rFonts w:ascii="Arial" w:eastAsia="Times New Roman" w:hAnsi="Arial" w:cs="Arial"/>
                <w:color w:val="000000"/>
                <w:sz w:val="20"/>
                <w:szCs w:val="20"/>
                <w:lang w:eastAsia="cs-CZ"/>
              </w:rPr>
              <w:t xml:space="preserve">, </w:t>
            </w:r>
            <w:proofErr w:type="spellStart"/>
            <w:r>
              <w:rPr>
                <w:rFonts w:ascii="Arial" w:eastAsia="Times New Roman" w:hAnsi="Arial" w:cs="Arial"/>
                <w:color w:val="000000"/>
                <w:sz w:val="20"/>
                <w:szCs w:val="20"/>
                <w:lang w:eastAsia="cs-CZ"/>
              </w:rPr>
              <w:t>xlsx</w:t>
            </w:r>
            <w:proofErr w:type="spellEnd"/>
            <w:r>
              <w:rPr>
                <w:rFonts w:ascii="Arial" w:eastAsia="Times New Roman" w:hAnsi="Arial" w:cs="Arial"/>
                <w:color w:val="000000"/>
                <w:sz w:val="20"/>
                <w:szCs w:val="20"/>
                <w:lang w:eastAsia="cs-CZ"/>
              </w:rPr>
              <w:t xml:space="preserve"> (např. srážka za stravné). </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4.52.</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Podpora pro výpočet mzdy se zadaným zahraničním pojištěním.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4.53.</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 xml:space="preserve">Výpočet pro ztrátu na výdělku (pracovní úraz). </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2</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4.54.</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Výstup údajů ve formátech požadovaných finančními úřady, zdravotními pojišťov</w:t>
            </w:r>
            <w:r w:rsidR="00C069B8">
              <w:rPr>
                <w:rFonts w:ascii="Arial" w:eastAsia="Times New Roman" w:hAnsi="Arial" w:cs="Arial"/>
                <w:color w:val="000000"/>
                <w:sz w:val="20"/>
                <w:szCs w:val="20"/>
                <w:lang w:eastAsia="cs-CZ"/>
              </w:rPr>
              <w:t xml:space="preserve">nami, penzijními fondy a s ČSSZ </w:t>
            </w:r>
            <w:r>
              <w:rPr>
                <w:rFonts w:ascii="Arial" w:eastAsia="Times New Roman" w:hAnsi="Arial" w:cs="Arial"/>
                <w:color w:val="000000"/>
                <w:sz w:val="20"/>
                <w:szCs w:val="20"/>
                <w:lang w:eastAsia="cs-CZ"/>
              </w:rPr>
              <w:t>(veřejné rozhraní pro e-Podání).</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4.55.</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pacing w:val="-2"/>
                <w:sz w:val="20"/>
                <w:szCs w:val="20"/>
                <w:lang w:eastAsia="cs-CZ"/>
              </w:rPr>
              <w:t>Možnost hromadného tisku všech dokumentů pro státní správu na originální formulář.</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4.56.</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Standardní přehledové personální a mzdové sestavy pro kontrolní účely zaměstnavatele vč. kontroly limitu pro zaměstnávání zdravotně postižených. Sestavy za delší období vyčíslit jednotlivě po měsících, ale i sumárně za celé požadované období, a to i včetně přesahu kalendářních let.</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5</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4.57.</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Možnost (hromadného) tisku mzdových listů a mzdových výměrů.</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3</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4.58.</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 xml:space="preserve">Výkazy/formuláře vyžadované státními orgány včetně statistických výkazů </w:t>
            </w:r>
            <w:proofErr w:type="spellStart"/>
            <w:r>
              <w:rPr>
                <w:rFonts w:ascii="Arial" w:eastAsia="Times New Roman" w:hAnsi="Arial" w:cs="Arial"/>
                <w:color w:val="000000"/>
                <w:sz w:val="20"/>
                <w:szCs w:val="20"/>
                <w:lang w:eastAsia="cs-CZ"/>
              </w:rPr>
              <w:t>Trexima</w:t>
            </w:r>
            <w:proofErr w:type="spellEnd"/>
            <w:r>
              <w:rPr>
                <w:rFonts w:ascii="Arial" w:eastAsia="Times New Roman" w:hAnsi="Arial" w:cs="Arial"/>
                <w:color w:val="000000"/>
                <w:sz w:val="20"/>
                <w:szCs w:val="20"/>
                <w:lang w:eastAsia="cs-CZ"/>
              </w:rPr>
              <w:t>, UNP401 atd.</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4.59.</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Výpočet srážky pro odbory, jejich stržení z mezd zaměstnanců a příprava podkladů na jejich odeslání na účet odborů.</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A95B60">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4.60.</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Filtrování mzdových a personálních dat podle věkové struktury, rozdělení podle pohlaví, vzdělání, organizační struktury s možností exportu ve formátu MS Excel.</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A95B60" w:rsidTr="00A95B60">
        <w:trPr>
          <w:cantSplit/>
          <w:trHeight w:val="284"/>
        </w:trPr>
        <w:tc>
          <w:tcPr>
            <w:tcW w:w="732" w:type="dxa"/>
            <w:tcBorders>
              <w:top w:val="single" w:sz="4" w:space="0" w:color="000000"/>
            </w:tcBorders>
            <w:shd w:val="clear" w:color="auto" w:fill="auto"/>
          </w:tcPr>
          <w:p w:rsidR="00A95B60" w:rsidRDefault="00A95B60">
            <w:pPr>
              <w:spacing w:after="0"/>
              <w:rPr>
                <w:rFonts w:ascii="Arial" w:eastAsia="Times New Roman" w:hAnsi="Arial" w:cs="Arial"/>
                <w:color w:val="000000"/>
                <w:sz w:val="20"/>
                <w:szCs w:val="20"/>
                <w:lang w:eastAsia="cs-CZ"/>
              </w:rPr>
            </w:pPr>
          </w:p>
        </w:tc>
        <w:tc>
          <w:tcPr>
            <w:tcW w:w="9901" w:type="dxa"/>
            <w:tcBorders>
              <w:top w:val="single" w:sz="4" w:space="0" w:color="000000"/>
            </w:tcBorders>
            <w:shd w:val="clear" w:color="auto" w:fill="auto"/>
          </w:tcPr>
          <w:p w:rsidR="00A95B60" w:rsidRDefault="00A95B60">
            <w:pPr>
              <w:spacing w:after="0"/>
              <w:rPr>
                <w:rFonts w:ascii="Arial" w:eastAsia="Times New Roman" w:hAnsi="Arial" w:cs="Arial"/>
                <w:color w:val="000000"/>
                <w:sz w:val="20"/>
                <w:szCs w:val="20"/>
                <w:lang w:eastAsia="cs-CZ"/>
              </w:rPr>
            </w:pPr>
          </w:p>
        </w:tc>
        <w:tc>
          <w:tcPr>
            <w:tcW w:w="1280" w:type="dxa"/>
            <w:tcBorders>
              <w:top w:val="single" w:sz="4" w:space="0" w:color="000000"/>
            </w:tcBorders>
            <w:shd w:val="clear" w:color="auto" w:fill="auto"/>
          </w:tcPr>
          <w:p w:rsidR="00A95B60" w:rsidRDefault="00A95B60">
            <w:pPr>
              <w:spacing w:after="0"/>
              <w:jc w:val="center"/>
              <w:rPr>
                <w:rFonts w:ascii="Arial" w:eastAsia="Times New Roman" w:hAnsi="Arial" w:cs="Arial"/>
                <w:color w:val="000000"/>
                <w:sz w:val="20"/>
                <w:szCs w:val="20"/>
                <w:lang w:eastAsia="cs-CZ"/>
              </w:rPr>
            </w:pPr>
          </w:p>
        </w:tc>
        <w:tc>
          <w:tcPr>
            <w:tcW w:w="1292" w:type="dxa"/>
            <w:tcBorders>
              <w:top w:val="single" w:sz="4" w:space="0" w:color="000000"/>
            </w:tcBorders>
            <w:shd w:val="clear" w:color="auto" w:fill="auto"/>
          </w:tcPr>
          <w:p w:rsidR="00A95B60" w:rsidRDefault="00A95B6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tcBorders>
            <w:shd w:val="clear" w:color="auto" w:fill="auto"/>
          </w:tcPr>
          <w:p w:rsidR="00A95B60" w:rsidRDefault="00A95B60">
            <w:pPr>
              <w:numPr>
                <w:ilvl w:val="0"/>
                <w:numId w:val="3"/>
              </w:numPr>
              <w:spacing w:after="0"/>
              <w:jc w:val="center"/>
              <w:rPr>
                <w:rFonts w:ascii="Arial" w:eastAsia="Times New Roman" w:hAnsi="Arial" w:cs="Arial"/>
                <w:i/>
                <w:iCs/>
                <w:color w:val="000000"/>
                <w:sz w:val="20"/>
                <w:szCs w:val="20"/>
                <w:highlight w:val="white"/>
                <w:lang w:eastAsia="cs-CZ"/>
              </w:rPr>
            </w:pPr>
          </w:p>
        </w:tc>
        <w:tc>
          <w:tcPr>
            <w:tcW w:w="1075" w:type="dxa"/>
            <w:tcBorders>
              <w:top w:val="single" w:sz="4" w:space="0" w:color="000000"/>
            </w:tcBorders>
            <w:shd w:val="clear" w:color="auto" w:fill="auto"/>
          </w:tcPr>
          <w:p w:rsidR="00A95B60" w:rsidRDefault="00A95B60">
            <w:pPr>
              <w:spacing w:after="0"/>
              <w:rPr>
                <w:rFonts w:ascii="Arial" w:eastAsia="Times New Roman" w:hAnsi="Arial" w:cs="Arial"/>
                <w:color w:val="000000"/>
                <w:sz w:val="20"/>
                <w:szCs w:val="20"/>
                <w:lang w:eastAsia="cs-CZ"/>
              </w:rPr>
            </w:pPr>
          </w:p>
        </w:tc>
      </w:tr>
      <w:tr w:rsidR="004B2930" w:rsidTr="00A95B60">
        <w:trPr>
          <w:cantSplit/>
          <w:trHeight w:val="340"/>
        </w:trPr>
        <w:tc>
          <w:tcPr>
            <w:tcW w:w="15527" w:type="dxa"/>
            <w:gridSpan w:val="6"/>
            <w:shd w:val="clear" w:color="auto" w:fill="auto"/>
            <w:vAlign w:val="bottom"/>
          </w:tcPr>
          <w:p w:rsidR="004B2930" w:rsidRDefault="004E1353">
            <w:pPr>
              <w:spacing w:before="113" w:after="0"/>
            </w:pPr>
            <w:r>
              <w:rPr>
                <w:rFonts w:ascii="Arial" w:eastAsia="Times New Roman" w:hAnsi="Arial" w:cs="Arial"/>
                <w:b/>
                <w:bCs/>
                <w:color w:val="000000"/>
                <w:sz w:val="20"/>
                <w:szCs w:val="20"/>
                <w:lang w:eastAsia="cs-CZ"/>
              </w:rPr>
              <w:t>Docházkový systém</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4.61.</w:t>
            </w:r>
          </w:p>
        </w:tc>
        <w:tc>
          <w:tcPr>
            <w:tcW w:w="99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Automatické propojení s docházkovým systémem.</w:t>
            </w:r>
          </w:p>
        </w:tc>
        <w:tc>
          <w:tcPr>
            <w:tcW w:w="12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jc w:val="center"/>
            </w:pPr>
            <w:r>
              <w:rPr>
                <w:rFonts w:ascii="Arial" w:eastAsia="Times New Roman" w:hAnsi="Arial" w:cs="Arial"/>
                <w:color w:val="000000"/>
                <w:sz w:val="20"/>
                <w:szCs w:val="20"/>
                <w:lang w:eastAsia="cs-CZ"/>
              </w:rPr>
              <w:t>5</w:t>
            </w:r>
          </w:p>
        </w:tc>
        <w:tc>
          <w:tcPr>
            <w:tcW w:w="129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R</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4.62.</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 xml:space="preserve">Vytváření, schvalování a evidence nepřítomností na pracovišti: </w:t>
            </w:r>
            <w:r>
              <w:rPr>
                <w:rFonts w:ascii="Arial" w:eastAsia="Times New Roman" w:hAnsi="Arial" w:cs="Arial"/>
                <w:color w:val="000000"/>
                <w:sz w:val="20"/>
                <w:szCs w:val="20"/>
                <w:lang w:eastAsia="cs-CZ"/>
              </w:rPr>
              <w:br/>
              <w:t xml:space="preserve">- dovolená, nemoc, </w:t>
            </w:r>
            <w:proofErr w:type="spellStart"/>
            <w:r>
              <w:rPr>
                <w:rFonts w:ascii="Arial" w:eastAsia="Times New Roman" w:hAnsi="Arial" w:cs="Arial"/>
                <w:color w:val="000000"/>
                <w:sz w:val="20"/>
                <w:szCs w:val="20"/>
                <w:lang w:eastAsia="cs-CZ"/>
              </w:rPr>
              <w:t>sick-days</w:t>
            </w:r>
            <w:proofErr w:type="spellEnd"/>
            <w:r>
              <w:rPr>
                <w:rFonts w:ascii="Arial" w:eastAsia="Times New Roman" w:hAnsi="Arial" w:cs="Arial"/>
                <w:color w:val="000000"/>
                <w:sz w:val="20"/>
                <w:szCs w:val="20"/>
                <w:lang w:eastAsia="cs-CZ"/>
              </w:rPr>
              <w:t xml:space="preserve">, vč. plánu dovolených (§ 217 odst. 1 zákoníku práce) </w:t>
            </w:r>
            <w:r>
              <w:rPr>
                <w:rFonts w:ascii="Arial" w:eastAsia="Times New Roman" w:hAnsi="Arial" w:cs="Arial"/>
                <w:color w:val="000000"/>
                <w:sz w:val="20"/>
                <w:szCs w:val="20"/>
                <w:lang w:eastAsia="cs-CZ"/>
              </w:rPr>
              <w:br/>
              <w:t xml:space="preserve">- placené pracovní volno </w:t>
            </w:r>
            <w:r>
              <w:rPr>
                <w:rFonts w:ascii="Arial" w:eastAsia="Times New Roman" w:hAnsi="Arial" w:cs="Arial"/>
                <w:color w:val="000000"/>
                <w:sz w:val="20"/>
                <w:szCs w:val="20"/>
                <w:lang w:eastAsia="cs-CZ"/>
              </w:rPr>
              <w:br/>
              <w:t>- studijní volno</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8</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4.63.</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Systém musí umožnit generování docházky podle kalendáře zaměstnance s tím, že zaměstnanec zadává pouze nepřítomnosti na pracovišti. V docházce musí být možnost nastavení délky přestávky a její automatické generování. Automatické označování dnů státních svátků a dnů volna.</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5</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4.64.</w:t>
            </w:r>
          </w:p>
        </w:tc>
        <w:tc>
          <w:tcPr>
            <w:tcW w:w="99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proofErr w:type="spellStart"/>
            <w:r>
              <w:rPr>
                <w:rFonts w:ascii="Arial" w:eastAsia="Times New Roman" w:hAnsi="Arial" w:cs="Arial"/>
                <w:color w:val="000000"/>
                <w:sz w:val="20"/>
                <w:szCs w:val="20"/>
                <w:lang w:eastAsia="cs-CZ"/>
              </w:rPr>
              <w:t>Workflow</w:t>
            </w:r>
            <w:proofErr w:type="spellEnd"/>
            <w:r>
              <w:rPr>
                <w:rFonts w:ascii="Arial" w:eastAsia="Times New Roman" w:hAnsi="Arial" w:cs="Arial"/>
                <w:color w:val="000000"/>
                <w:sz w:val="20"/>
                <w:szCs w:val="20"/>
                <w:lang w:eastAsia="cs-CZ"/>
              </w:rPr>
              <w:t xml:space="preserve"> schvalování docházky, možnost zástupu / bez zástupu ve schvalovacích procesech.</w:t>
            </w:r>
          </w:p>
        </w:tc>
        <w:tc>
          <w:tcPr>
            <w:tcW w:w="12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jc w:val="center"/>
            </w:pPr>
            <w:r>
              <w:rPr>
                <w:rFonts w:ascii="Arial" w:eastAsia="Times New Roman" w:hAnsi="Arial" w:cs="Arial"/>
                <w:color w:val="000000"/>
                <w:sz w:val="20"/>
                <w:szCs w:val="20"/>
                <w:lang w:eastAsia="cs-CZ"/>
              </w:rPr>
              <w:t>8</w:t>
            </w:r>
          </w:p>
        </w:tc>
        <w:tc>
          <w:tcPr>
            <w:tcW w:w="129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R</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4.65.</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 xml:space="preserve">Zadávání a evidence docházky je prováděna zaměstnancem přes personalizované rozhraní zaměstnance. </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4.66.</w:t>
            </w:r>
          </w:p>
        </w:tc>
        <w:tc>
          <w:tcPr>
            <w:tcW w:w="99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Evidence jednotlivých činností vybíraných z předem definovaného číselníku činností a volné pole pro detailní popis činnosti a jejich přiřazení k docházce.</w:t>
            </w:r>
          </w:p>
        </w:tc>
        <w:tc>
          <w:tcPr>
            <w:tcW w:w="12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jc w:val="center"/>
            </w:pPr>
            <w:r>
              <w:rPr>
                <w:rFonts w:ascii="Arial" w:eastAsia="Times New Roman" w:hAnsi="Arial" w:cs="Arial"/>
                <w:color w:val="000000"/>
                <w:sz w:val="20"/>
                <w:szCs w:val="20"/>
                <w:lang w:eastAsia="cs-CZ"/>
              </w:rPr>
              <w:t>10</w:t>
            </w:r>
          </w:p>
        </w:tc>
        <w:tc>
          <w:tcPr>
            <w:tcW w:w="129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R</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4.67.</w:t>
            </w:r>
          </w:p>
        </w:tc>
        <w:tc>
          <w:tcPr>
            <w:tcW w:w="99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Evidence odpracované pracovní doby na jednotlivé akce v rozlišení minimálně na půl hodiny.</w:t>
            </w:r>
          </w:p>
        </w:tc>
        <w:tc>
          <w:tcPr>
            <w:tcW w:w="12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jc w:val="center"/>
            </w:pPr>
            <w:r>
              <w:rPr>
                <w:rFonts w:ascii="Arial" w:eastAsia="Times New Roman" w:hAnsi="Arial" w:cs="Arial"/>
                <w:color w:val="000000"/>
                <w:sz w:val="20"/>
                <w:szCs w:val="20"/>
                <w:lang w:eastAsia="cs-CZ"/>
              </w:rPr>
              <w:t>10</w:t>
            </w:r>
          </w:p>
        </w:tc>
        <w:tc>
          <w:tcPr>
            <w:tcW w:w="129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R</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4.68.</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Automatické rozdělení pracovního úvazku na jednotlivé akce dle definovaného poměru u každého zaměstnance. Pracovní úvazek na akci nemusí být roven finančnímu úvazku.</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4.69.</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Automatické vyhodnocování docházky pro potřeby vzniku nároku na příspěvek na stravování.</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4.70.</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 xml:space="preserve">Vytváření přehledů a statistik v členění dle organizační struktury, vybraných zaměstnanců, vybrané akce / více akcí (např. </w:t>
            </w:r>
            <w:proofErr w:type="spellStart"/>
            <w:r>
              <w:rPr>
                <w:rFonts w:ascii="Arial" w:eastAsia="Times New Roman" w:hAnsi="Arial" w:cs="Arial"/>
                <w:color w:val="000000"/>
                <w:sz w:val="20"/>
                <w:szCs w:val="20"/>
                <w:lang w:eastAsia="cs-CZ"/>
              </w:rPr>
              <w:t>timesheet</w:t>
            </w:r>
            <w:proofErr w:type="spellEnd"/>
            <w:r>
              <w:rPr>
                <w:rFonts w:ascii="Arial" w:eastAsia="Times New Roman" w:hAnsi="Arial" w:cs="Arial"/>
                <w:color w:val="000000"/>
                <w:sz w:val="20"/>
                <w:szCs w:val="20"/>
                <w:lang w:eastAsia="cs-CZ"/>
              </w:rPr>
              <w:t>, výkaz odpracovaných hodin pro grantovou agenturu).</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RPr="00A650EF" w:rsidTr="004F13B9">
        <w:trPr>
          <w:cantSplit/>
          <w:trHeight w:val="340"/>
        </w:trPr>
        <w:tc>
          <w:tcPr>
            <w:tcW w:w="15527" w:type="dxa"/>
            <w:gridSpan w:val="6"/>
            <w:shd w:val="clear" w:color="auto" w:fill="auto"/>
            <w:vAlign w:val="bottom"/>
          </w:tcPr>
          <w:p w:rsidR="004B2930" w:rsidRPr="00A650EF" w:rsidRDefault="004E1353" w:rsidP="00A650EF">
            <w:pPr>
              <w:spacing w:before="113" w:after="0"/>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Stravenky</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4.71.</w:t>
            </w:r>
          </w:p>
          <w:p w:rsidR="004B2930" w:rsidRDefault="004E1353">
            <w:pPr>
              <w:spacing w:after="0"/>
            </w:pPr>
            <w:r>
              <w:rPr>
                <w:rFonts w:ascii="Arial" w:eastAsia="Times New Roman" w:hAnsi="Arial" w:cs="Arial"/>
                <w:color w:val="000000"/>
                <w:sz w:val="20"/>
                <w:szCs w:val="20"/>
                <w:lang w:eastAsia="cs-CZ"/>
              </w:rPr>
              <w:t>ÚČL</w:t>
            </w:r>
          </w:p>
          <w:p w:rsidR="004B2930" w:rsidRDefault="004E1353">
            <w:pPr>
              <w:spacing w:after="0"/>
            </w:pPr>
            <w:r>
              <w:rPr>
                <w:rFonts w:ascii="Arial" w:eastAsia="Times New Roman" w:hAnsi="Arial" w:cs="Arial"/>
                <w:color w:val="000000"/>
                <w:sz w:val="20"/>
                <w:szCs w:val="20"/>
                <w:lang w:eastAsia="cs-CZ"/>
              </w:rPr>
              <w:t>OÚ</w:t>
            </w:r>
          </w:p>
          <w:p w:rsidR="004B2930" w:rsidRDefault="004E1353">
            <w:pPr>
              <w:spacing w:after="0"/>
            </w:pPr>
            <w:r>
              <w:rPr>
                <w:rFonts w:ascii="Arial" w:eastAsia="Times New Roman" w:hAnsi="Arial" w:cs="Arial"/>
                <w:color w:val="000000"/>
                <w:sz w:val="20"/>
                <w:szCs w:val="20"/>
                <w:lang w:eastAsia="cs-CZ"/>
              </w:rPr>
              <w:t>ÚSP</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Nástroj pro výpočet nároku na stravenky či příspěvku na obědy (i v různých cenových hladinách) za příslušný měsíc.</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4.72.</w:t>
            </w:r>
          </w:p>
          <w:p w:rsidR="004B2930" w:rsidRDefault="004E1353">
            <w:pPr>
              <w:spacing w:after="0"/>
            </w:pPr>
            <w:r>
              <w:rPr>
                <w:rFonts w:ascii="Arial" w:eastAsia="Times New Roman" w:hAnsi="Arial" w:cs="Arial"/>
                <w:color w:val="000000"/>
                <w:sz w:val="20"/>
                <w:szCs w:val="20"/>
                <w:lang w:eastAsia="cs-CZ"/>
              </w:rPr>
              <w:t>ÚČL</w:t>
            </w:r>
          </w:p>
          <w:p w:rsidR="004B2930" w:rsidRDefault="004E1353">
            <w:pPr>
              <w:spacing w:after="0"/>
            </w:pPr>
            <w:r>
              <w:rPr>
                <w:rFonts w:ascii="Arial" w:eastAsia="Times New Roman" w:hAnsi="Arial" w:cs="Arial"/>
                <w:color w:val="000000"/>
                <w:sz w:val="20"/>
                <w:szCs w:val="20"/>
                <w:lang w:eastAsia="cs-CZ"/>
              </w:rPr>
              <w:t>OÚ</w:t>
            </w:r>
          </w:p>
          <w:p w:rsidR="004B2930" w:rsidRDefault="004E1353">
            <w:pPr>
              <w:spacing w:after="0"/>
            </w:pPr>
            <w:r>
              <w:rPr>
                <w:rFonts w:ascii="Arial" w:eastAsia="Times New Roman" w:hAnsi="Arial" w:cs="Arial"/>
                <w:color w:val="000000"/>
                <w:sz w:val="20"/>
                <w:szCs w:val="20"/>
                <w:lang w:eastAsia="cs-CZ"/>
              </w:rPr>
              <w:t>ÚSP</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Automatické promítnutí částky hrazené zaměstnancem do mezd formou srážky ze mzdy.</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4F13B9">
        <w:trPr>
          <w:cantSplit/>
          <w:trHeight w:val="28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4.73.</w:t>
            </w:r>
          </w:p>
          <w:p w:rsidR="004B2930" w:rsidRDefault="004E1353">
            <w:pPr>
              <w:spacing w:after="0"/>
            </w:pPr>
            <w:r>
              <w:rPr>
                <w:rFonts w:ascii="Arial" w:eastAsia="Times New Roman" w:hAnsi="Arial" w:cs="Arial"/>
                <w:color w:val="000000"/>
                <w:sz w:val="20"/>
                <w:szCs w:val="20"/>
                <w:lang w:eastAsia="cs-CZ"/>
              </w:rPr>
              <w:t>ÚČL</w:t>
            </w:r>
          </w:p>
          <w:p w:rsidR="004B2930" w:rsidRDefault="004E1353">
            <w:pPr>
              <w:spacing w:after="0"/>
            </w:pPr>
            <w:r>
              <w:rPr>
                <w:rFonts w:ascii="Arial" w:eastAsia="Times New Roman" w:hAnsi="Arial" w:cs="Arial"/>
                <w:color w:val="000000"/>
                <w:sz w:val="20"/>
                <w:szCs w:val="20"/>
                <w:lang w:eastAsia="cs-CZ"/>
              </w:rPr>
              <w:t>OÚ</w:t>
            </w:r>
          </w:p>
        </w:tc>
        <w:tc>
          <w:tcPr>
            <w:tcW w:w="9901"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Možnost nastavení podílu hrazeného zaměstnancem, podílu hrazeného ze sociálního fondu a provozních nákladů.</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bl>
    <w:p w:rsidR="004B2930" w:rsidRDefault="004E1353">
      <w:pPr>
        <w:rPr>
          <w:rFonts w:ascii="Arial" w:hAnsi="Arial" w:cs="Arial"/>
          <w:b/>
          <w:sz w:val="24"/>
          <w:szCs w:val="24"/>
        </w:rPr>
      </w:pPr>
      <w:r>
        <w:br w:type="page"/>
      </w:r>
    </w:p>
    <w:p w:rsidR="004B2930" w:rsidRDefault="004E1353">
      <w:r>
        <w:rPr>
          <w:rFonts w:ascii="Arial" w:hAnsi="Arial" w:cs="Arial"/>
          <w:b/>
          <w:sz w:val="24"/>
          <w:szCs w:val="24"/>
        </w:rPr>
        <w:t>5. Cestovní příkazy, správa revizí a odborných prohlídek</w:t>
      </w:r>
    </w:p>
    <w:tbl>
      <w:tblPr>
        <w:tblW w:w="15521" w:type="dxa"/>
        <w:tblCellMar>
          <w:left w:w="70" w:type="dxa"/>
          <w:right w:w="70" w:type="dxa"/>
        </w:tblCellMar>
        <w:tblLook w:val="04A0" w:firstRow="1" w:lastRow="0" w:firstColumn="1" w:lastColumn="0" w:noHBand="0" w:noVBand="1"/>
      </w:tblPr>
      <w:tblGrid>
        <w:gridCol w:w="734"/>
        <w:gridCol w:w="9892"/>
        <w:gridCol w:w="1274"/>
        <w:gridCol w:w="1306"/>
        <w:gridCol w:w="1243"/>
        <w:gridCol w:w="1072"/>
      </w:tblGrid>
      <w:tr w:rsidR="004B2930" w:rsidTr="00D523CF">
        <w:trPr>
          <w:trHeight w:val="284"/>
        </w:trPr>
        <w:tc>
          <w:tcPr>
            <w:tcW w:w="734" w:type="dxa"/>
            <w:tcBorders>
              <w:top w:val="single" w:sz="4" w:space="0" w:color="000000"/>
              <w:left w:val="single" w:sz="4" w:space="0" w:color="000000"/>
              <w:bottom w:val="single" w:sz="4" w:space="0" w:color="auto"/>
              <w:right w:val="single" w:sz="4" w:space="0" w:color="000000"/>
            </w:tcBorders>
            <w:shd w:val="clear" w:color="auto" w:fill="E6E6E6"/>
            <w:vAlign w:val="bottom"/>
          </w:tcPr>
          <w:p w:rsidR="004B2930" w:rsidRDefault="004E1353">
            <w:pPr>
              <w:spacing w:after="0"/>
            </w:pPr>
            <w:r>
              <w:rPr>
                <w:rFonts w:ascii="Arial" w:eastAsia="Times New Roman" w:hAnsi="Arial" w:cs="Arial"/>
                <w:b/>
                <w:sz w:val="18"/>
                <w:szCs w:val="18"/>
                <w:lang w:eastAsia="cs-CZ"/>
              </w:rPr>
              <w:t>Číslo</w:t>
            </w:r>
            <w:r>
              <w:rPr>
                <w:rFonts w:ascii="Arial" w:eastAsia="Times New Roman" w:hAnsi="Arial" w:cs="Arial"/>
                <w:b/>
                <w:sz w:val="18"/>
                <w:szCs w:val="18"/>
                <w:vertAlign w:val="superscript"/>
                <w:lang w:eastAsia="cs-CZ"/>
              </w:rPr>
              <w:t>1)</w:t>
            </w:r>
          </w:p>
        </w:tc>
        <w:tc>
          <w:tcPr>
            <w:tcW w:w="9892" w:type="dxa"/>
            <w:tcBorders>
              <w:top w:val="single" w:sz="4" w:space="0" w:color="000000"/>
              <w:left w:val="single" w:sz="4" w:space="0" w:color="000000"/>
              <w:bottom w:val="single" w:sz="4" w:space="0" w:color="auto"/>
              <w:right w:val="single" w:sz="4" w:space="0" w:color="000000"/>
            </w:tcBorders>
            <w:shd w:val="clear" w:color="auto" w:fill="E6E6E6"/>
            <w:vAlign w:val="bottom"/>
          </w:tcPr>
          <w:p w:rsidR="004B2930" w:rsidRDefault="004E1353">
            <w:pPr>
              <w:spacing w:after="0"/>
            </w:pPr>
            <w:r>
              <w:rPr>
                <w:rFonts w:ascii="Arial" w:eastAsia="Times New Roman" w:hAnsi="Arial" w:cs="Arial"/>
                <w:b/>
                <w:color w:val="000000"/>
                <w:sz w:val="18"/>
                <w:szCs w:val="18"/>
                <w:lang w:eastAsia="cs-CZ"/>
              </w:rPr>
              <w:t>Požadavek na funkcionalitu</w:t>
            </w:r>
          </w:p>
        </w:tc>
        <w:tc>
          <w:tcPr>
            <w:tcW w:w="1274" w:type="dxa"/>
            <w:tcBorders>
              <w:top w:val="single" w:sz="4" w:space="0" w:color="000000"/>
              <w:left w:val="single" w:sz="4" w:space="0" w:color="000000"/>
              <w:bottom w:val="single" w:sz="4" w:space="0" w:color="auto"/>
              <w:right w:val="single" w:sz="4" w:space="0" w:color="000000"/>
            </w:tcBorders>
            <w:shd w:val="clear" w:color="auto" w:fill="E6E6E6"/>
            <w:vAlign w:val="bottom"/>
          </w:tcPr>
          <w:p w:rsidR="004B2930" w:rsidRDefault="004E1353">
            <w:pPr>
              <w:spacing w:after="0"/>
            </w:pPr>
            <w:r>
              <w:rPr>
                <w:rFonts w:ascii="Arial" w:hAnsi="Arial" w:cs="Arial"/>
                <w:b/>
                <w:sz w:val="18"/>
                <w:szCs w:val="18"/>
              </w:rPr>
              <w:t>Body významnosti</w:t>
            </w:r>
            <w:r>
              <w:rPr>
                <w:rFonts w:ascii="Arial" w:hAnsi="Arial" w:cs="Arial"/>
                <w:sz w:val="18"/>
                <w:szCs w:val="18"/>
              </w:rPr>
              <w:br/>
            </w:r>
            <w:r>
              <w:rPr>
                <w:rFonts w:ascii="Arial" w:hAnsi="Arial" w:cs="Arial"/>
                <w:b/>
                <w:sz w:val="18"/>
                <w:szCs w:val="18"/>
              </w:rPr>
              <w:t>funkcionality</w:t>
            </w:r>
          </w:p>
        </w:tc>
        <w:tc>
          <w:tcPr>
            <w:tcW w:w="1306" w:type="dxa"/>
            <w:tcBorders>
              <w:top w:val="single" w:sz="4" w:space="0" w:color="000000"/>
              <w:left w:val="single" w:sz="4" w:space="0" w:color="000000"/>
              <w:bottom w:val="single" w:sz="4" w:space="0" w:color="auto"/>
              <w:right w:val="single" w:sz="4" w:space="0" w:color="000000"/>
            </w:tcBorders>
            <w:shd w:val="clear" w:color="auto" w:fill="E6E6E6"/>
            <w:vAlign w:val="bottom"/>
          </w:tcPr>
          <w:p w:rsidR="004B2930" w:rsidRDefault="004E1353">
            <w:pPr>
              <w:spacing w:after="0"/>
            </w:pPr>
            <w:r>
              <w:rPr>
                <w:rFonts w:ascii="Arial" w:hAnsi="Arial" w:cs="Arial"/>
                <w:b/>
                <w:sz w:val="18"/>
                <w:szCs w:val="18"/>
              </w:rPr>
              <w:t>Standardní</w:t>
            </w:r>
            <w:r>
              <w:rPr>
                <w:rFonts w:ascii="Arial" w:hAnsi="Arial" w:cs="Arial"/>
                <w:sz w:val="18"/>
                <w:szCs w:val="18"/>
              </w:rPr>
              <w:br/>
            </w:r>
            <w:r>
              <w:rPr>
                <w:rFonts w:ascii="Arial" w:hAnsi="Arial" w:cs="Arial"/>
                <w:b/>
                <w:sz w:val="18"/>
                <w:szCs w:val="18"/>
              </w:rPr>
              <w:t>funkcionalita</w:t>
            </w:r>
          </w:p>
        </w:tc>
        <w:tc>
          <w:tcPr>
            <w:tcW w:w="1243" w:type="dxa"/>
            <w:tcBorders>
              <w:top w:val="single" w:sz="4" w:space="0" w:color="000000"/>
              <w:left w:val="single" w:sz="4" w:space="0" w:color="000000"/>
              <w:bottom w:val="single" w:sz="4" w:space="0" w:color="auto"/>
              <w:right w:val="single" w:sz="4" w:space="0" w:color="000000"/>
            </w:tcBorders>
            <w:shd w:val="clear" w:color="auto" w:fill="E6E6E6"/>
            <w:vAlign w:val="bottom"/>
          </w:tcPr>
          <w:p w:rsidR="004B2930" w:rsidRDefault="004E1353">
            <w:pPr>
              <w:spacing w:after="0"/>
            </w:pPr>
            <w:r>
              <w:rPr>
                <w:rFonts w:ascii="Arial" w:hAnsi="Arial" w:cs="Arial"/>
                <w:b/>
                <w:sz w:val="18"/>
                <w:szCs w:val="18"/>
              </w:rPr>
              <w:t>Bude doplněno /</w:t>
            </w:r>
            <w:r>
              <w:rPr>
                <w:rFonts w:ascii="Arial" w:hAnsi="Arial" w:cs="Arial"/>
                <w:sz w:val="18"/>
                <w:szCs w:val="18"/>
              </w:rPr>
              <w:br/>
            </w:r>
            <w:r>
              <w:rPr>
                <w:rFonts w:ascii="Arial" w:hAnsi="Arial" w:cs="Arial"/>
                <w:b/>
                <w:sz w:val="18"/>
                <w:szCs w:val="18"/>
              </w:rPr>
              <w:t>doprogra</w:t>
            </w:r>
            <w:r>
              <w:rPr>
                <w:rFonts w:ascii="Arial" w:hAnsi="Arial" w:cs="Arial"/>
                <w:b/>
                <w:sz w:val="18"/>
                <w:szCs w:val="18"/>
              </w:rPr>
              <w:softHyphen/>
              <w:t>mováno</w:t>
            </w:r>
          </w:p>
        </w:tc>
        <w:tc>
          <w:tcPr>
            <w:tcW w:w="1072" w:type="dxa"/>
            <w:tcBorders>
              <w:top w:val="single" w:sz="4" w:space="0" w:color="000000"/>
              <w:left w:val="single" w:sz="4" w:space="0" w:color="000000"/>
              <w:bottom w:val="single" w:sz="4" w:space="0" w:color="auto"/>
              <w:right w:val="single" w:sz="4" w:space="0" w:color="000000"/>
            </w:tcBorders>
            <w:shd w:val="clear" w:color="auto" w:fill="E6E6E6"/>
            <w:vAlign w:val="bottom"/>
          </w:tcPr>
          <w:p w:rsidR="004B2930" w:rsidRDefault="004E1353">
            <w:pPr>
              <w:spacing w:after="0"/>
            </w:pPr>
            <w:r>
              <w:rPr>
                <w:rFonts w:ascii="Arial" w:eastAsia="Times New Roman" w:hAnsi="Arial" w:cs="Arial"/>
                <w:b/>
                <w:color w:val="000000"/>
                <w:sz w:val="18"/>
                <w:szCs w:val="18"/>
                <w:lang w:eastAsia="cs-CZ"/>
              </w:rPr>
              <w:t>Povinný/ rozšiřující</w:t>
            </w:r>
          </w:p>
        </w:tc>
      </w:tr>
      <w:tr w:rsidR="004B2930" w:rsidRPr="00A650EF" w:rsidTr="00D523CF">
        <w:trPr>
          <w:trHeight w:val="284"/>
        </w:trPr>
        <w:tc>
          <w:tcPr>
            <w:tcW w:w="15521" w:type="dxa"/>
            <w:gridSpan w:val="6"/>
            <w:tcBorders>
              <w:top w:val="single" w:sz="4" w:space="0" w:color="auto"/>
              <w:bottom w:val="single" w:sz="4" w:space="0" w:color="auto"/>
            </w:tcBorders>
            <w:shd w:val="clear" w:color="auto" w:fill="auto"/>
          </w:tcPr>
          <w:p w:rsidR="004B2930" w:rsidRPr="00A650EF" w:rsidRDefault="004E1353" w:rsidP="00A650EF">
            <w:pPr>
              <w:spacing w:before="113" w:after="0"/>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Cestovní příkazy </w:t>
            </w:r>
          </w:p>
        </w:tc>
      </w:tr>
      <w:tr w:rsidR="004B2930" w:rsidTr="00D523CF">
        <w:trPr>
          <w:trHeight w:val="284"/>
        </w:trPr>
        <w:tc>
          <w:tcPr>
            <w:tcW w:w="734" w:type="dxa"/>
            <w:tcBorders>
              <w:top w:val="single" w:sz="4" w:space="0" w:color="auto"/>
              <w:left w:val="single" w:sz="4" w:space="0" w:color="000000"/>
              <w:bottom w:val="single" w:sz="4" w:space="0" w:color="000000"/>
              <w:right w:val="single" w:sz="4" w:space="0" w:color="000000"/>
            </w:tcBorders>
            <w:shd w:val="clear" w:color="auto" w:fill="auto"/>
          </w:tcPr>
          <w:p w:rsidR="004B2930" w:rsidRPr="00A650EF" w:rsidRDefault="004E1353" w:rsidP="00A650EF">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5.1.</w:t>
            </w:r>
          </w:p>
        </w:tc>
        <w:tc>
          <w:tcPr>
            <w:tcW w:w="9892" w:type="dxa"/>
            <w:tcBorders>
              <w:top w:val="single" w:sz="4" w:space="0" w:color="auto"/>
              <w:left w:val="single" w:sz="4" w:space="0" w:color="000000"/>
              <w:bottom w:val="single" w:sz="4" w:space="0" w:color="000000"/>
              <w:right w:val="single" w:sz="4" w:space="0" w:color="000000"/>
            </w:tcBorders>
            <w:shd w:val="clear" w:color="auto" w:fill="auto"/>
          </w:tcPr>
          <w:p w:rsidR="004B2930" w:rsidRDefault="004E1353">
            <w:pPr>
              <w:keepLines/>
              <w:spacing w:after="0"/>
            </w:pPr>
            <w:r>
              <w:rPr>
                <w:rFonts w:ascii="Arial" w:eastAsia="Times New Roman" w:hAnsi="Arial" w:cs="Arial"/>
                <w:color w:val="000000"/>
                <w:sz w:val="20"/>
                <w:szCs w:val="20"/>
                <w:lang w:eastAsia="cs-CZ"/>
              </w:rPr>
              <w:t xml:space="preserve">Vytváření, evidence a vícestupňové schvalováni tuzemských i zahraničních pracovních cest ve </w:t>
            </w:r>
            <w:proofErr w:type="spellStart"/>
            <w:proofErr w:type="gramStart"/>
            <w:r>
              <w:rPr>
                <w:rFonts w:ascii="Arial" w:eastAsia="Times New Roman" w:hAnsi="Arial" w:cs="Arial"/>
                <w:color w:val="000000"/>
                <w:sz w:val="20"/>
                <w:szCs w:val="20"/>
                <w:lang w:eastAsia="cs-CZ"/>
              </w:rPr>
              <w:t>workflow</w:t>
            </w:r>
            <w:proofErr w:type="spellEnd"/>
            <w:proofErr w:type="gramEnd"/>
            <w:r>
              <w:rPr>
                <w:rFonts w:ascii="Arial" w:eastAsia="Times New Roman" w:hAnsi="Arial" w:cs="Arial"/>
                <w:color w:val="000000"/>
                <w:sz w:val="20"/>
                <w:szCs w:val="20"/>
                <w:lang w:eastAsia="cs-CZ"/>
              </w:rPr>
              <w:t>.</w:t>
            </w:r>
          </w:p>
        </w:tc>
        <w:tc>
          <w:tcPr>
            <w:tcW w:w="1274" w:type="dxa"/>
            <w:tcBorders>
              <w:top w:val="single" w:sz="4" w:space="0" w:color="auto"/>
              <w:left w:val="single" w:sz="4" w:space="0" w:color="000000"/>
              <w:bottom w:val="single" w:sz="4" w:space="0" w:color="000000"/>
              <w:right w:val="single" w:sz="4" w:space="0" w:color="000000"/>
            </w:tcBorders>
            <w:shd w:val="clear" w:color="auto" w:fill="auto"/>
          </w:tcPr>
          <w:p w:rsidR="004B2930" w:rsidRDefault="004E1353">
            <w:pPr>
              <w:keepLines/>
              <w:spacing w:after="0"/>
              <w:jc w:val="center"/>
            </w:pPr>
            <w:r>
              <w:rPr>
                <w:rFonts w:ascii="Arial" w:eastAsia="Times New Roman" w:hAnsi="Arial" w:cs="Arial"/>
                <w:color w:val="000000"/>
                <w:sz w:val="20"/>
                <w:szCs w:val="20"/>
                <w:lang w:eastAsia="cs-CZ"/>
              </w:rPr>
              <w:t>10</w:t>
            </w:r>
          </w:p>
        </w:tc>
        <w:tc>
          <w:tcPr>
            <w:tcW w:w="1306" w:type="dxa"/>
            <w:tcBorders>
              <w:top w:val="single" w:sz="4" w:space="0" w:color="auto"/>
              <w:left w:val="single" w:sz="4" w:space="0" w:color="000000"/>
              <w:bottom w:val="single" w:sz="4" w:space="0" w:color="000000"/>
              <w:right w:val="single" w:sz="4" w:space="0" w:color="000000"/>
            </w:tcBorders>
            <w:shd w:val="clear" w:color="auto" w:fill="auto"/>
          </w:tcPr>
          <w:p w:rsidR="004B2930" w:rsidRDefault="004B2930">
            <w:pPr>
              <w:keepLines/>
              <w:spacing w:after="0"/>
              <w:jc w:val="center"/>
              <w:rPr>
                <w:rFonts w:ascii="Arial" w:eastAsia="Times New Roman" w:hAnsi="Arial" w:cs="Arial"/>
                <w:i/>
                <w:iCs/>
                <w:color w:val="000000"/>
                <w:sz w:val="20"/>
                <w:szCs w:val="20"/>
                <w:lang w:eastAsia="cs-CZ"/>
              </w:rPr>
            </w:pPr>
          </w:p>
        </w:tc>
        <w:tc>
          <w:tcPr>
            <w:tcW w:w="1243" w:type="dxa"/>
            <w:tcBorders>
              <w:top w:val="single" w:sz="4" w:space="0" w:color="auto"/>
              <w:left w:val="single" w:sz="4" w:space="0" w:color="000000"/>
              <w:bottom w:val="single" w:sz="4" w:space="0" w:color="000000"/>
              <w:right w:val="single" w:sz="4" w:space="0" w:color="000000"/>
            </w:tcBorders>
            <w:shd w:val="clear" w:color="auto" w:fill="auto"/>
          </w:tcPr>
          <w:p w:rsidR="004B2930" w:rsidRDefault="004B2930">
            <w:pPr>
              <w:keepLines/>
              <w:numPr>
                <w:ilvl w:val="0"/>
                <w:numId w:val="3"/>
              </w:numPr>
              <w:spacing w:after="0"/>
              <w:jc w:val="center"/>
              <w:rPr>
                <w:rFonts w:ascii="Arial" w:eastAsia="Times New Roman" w:hAnsi="Arial" w:cs="Arial"/>
                <w:color w:val="000000"/>
                <w:sz w:val="20"/>
                <w:szCs w:val="20"/>
                <w:lang w:eastAsia="cs-CZ"/>
              </w:rPr>
            </w:pPr>
          </w:p>
        </w:tc>
        <w:tc>
          <w:tcPr>
            <w:tcW w:w="1072" w:type="dxa"/>
            <w:tcBorders>
              <w:top w:val="single" w:sz="4" w:space="0" w:color="auto"/>
              <w:left w:val="single" w:sz="4" w:space="0" w:color="000000"/>
              <w:bottom w:val="single" w:sz="4" w:space="0" w:color="000000"/>
              <w:right w:val="single" w:sz="4" w:space="0" w:color="000000"/>
            </w:tcBorders>
            <w:shd w:val="clear" w:color="auto" w:fill="auto"/>
          </w:tcPr>
          <w:p w:rsidR="004B2930" w:rsidRDefault="004E1353">
            <w:pPr>
              <w:keepLines/>
              <w:spacing w:after="0"/>
            </w:pPr>
            <w:r>
              <w:rPr>
                <w:rFonts w:ascii="Arial" w:eastAsia="Times New Roman" w:hAnsi="Arial" w:cs="Arial"/>
                <w:color w:val="000000"/>
                <w:sz w:val="20"/>
                <w:szCs w:val="20"/>
                <w:lang w:eastAsia="cs-CZ"/>
              </w:rPr>
              <w:t>P</w:t>
            </w:r>
          </w:p>
        </w:tc>
      </w:tr>
      <w:tr w:rsidR="004B2930" w:rsidTr="00D523CF">
        <w:trPr>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Pr="00A650EF" w:rsidRDefault="004E1353" w:rsidP="00A650EF">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5.2.</w:t>
            </w:r>
          </w:p>
        </w:tc>
        <w:tc>
          <w:tcPr>
            <w:tcW w:w="98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keepLines/>
              <w:spacing w:after="0"/>
            </w:pPr>
            <w:r>
              <w:rPr>
                <w:rFonts w:ascii="Arial" w:eastAsia="Times New Roman" w:hAnsi="Arial" w:cs="Arial"/>
                <w:color w:val="000000"/>
                <w:sz w:val="20"/>
                <w:szCs w:val="20"/>
                <w:lang w:eastAsia="cs-CZ"/>
              </w:rPr>
              <w:t>Možnost volby více finančních zdrojů na pracovní cestu. Přiřazení cestovního příkazu k akci a řádku rozpočtu (pro blokování finančních prostředků) včetně kontroly dostupných prostředků.</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keepLines/>
              <w:spacing w:after="0"/>
              <w:jc w:val="center"/>
            </w:pPr>
            <w:r>
              <w:rPr>
                <w:rFonts w:ascii="Arial" w:eastAsia="Times New Roman" w:hAnsi="Arial" w:cs="Arial"/>
                <w:color w:val="000000"/>
                <w:sz w:val="20"/>
                <w:szCs w:val="20"/>
                <w:lang w:eastAsia="cs-CZ"/>
              </w:rPr>
              <w:t>10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keepLines/>
              <w:spacing w:after="0"/>
              <w:jc w:val="center"/>
              <w:rPr>
                <w:rFonts w:ascii="Arial" w:eastAsia="Times New Roman" w:hAnsi="Arial" w:cs="Arial"/>
                <w:i/>
                <w:iCs/>
                <w:color w:val="000000"/>
                <w:sz w:val="20"/>
                <w:szCs w:val="20"/>
                <w:lang w:eastAsia="cs-CZ"/>
              </w:rPr>
            </w:pP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keepLines/>
              <w:numPr>
                <w:ilvl w:val="0"/>
                <w:numId w:val="3"/>
              </w:numPr>
              <w:spacing w:after="0"/>
              <w:jc w:val="center"/>
              <w:rPr>
                <w:rFonts w:ascii="Arial" w:eastAsia="Times New Roman" w:hAnsi="Arial" w:cs="Arial"/>
                <w:color w:val="000000"/>
                <w:sz w:val="20"/>
                <w:szCs w:val="20"/>
                <w:lang w:eastAsia="cs-CZ"/>
              </w:rPr>
            </w:pP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keepLines/>
              <w:spacing w:after="0"/>
            </w:pPr>
            <w:r>
              <w:rPr>
                <w:rFonts w:ascii="Arial" w:eastAsia="Times New Roman" w:hAnsi="Arial" w:cs="Arial"/>
                <w:color w:val="000000"/>
                <w:sz w:val="20"/>
                <w:szCs w:val="20"/>
                <w:lang w:eastAsia="cs-CZ"/>
              </w:rPr>
              <w:t>P</w:t>
            </w:r>
          </w:p>
        </w:tc>
      </w:tr>
      <w:tr w:rsidR="004B2930" w:rsidTr="00D523CF">
        <w:trPr>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Pr="00A650EF" w:rsidRDefault="004E1353" w:rsidP="00A650EF">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5.3.</w:t>
            </w:r>
          </w:p>
        </w:tc>
        <w:tc>
          <w:tcPr>
            <w:tcW w:w="98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keepLines/>
              <w:spacing w:after="0"/>
            </w:pPr>
            <w:r>
              <w:rPr>
                <w:rFonts w:ascii="Arial" w:eastAsia="Times New Roman" w:hAnsi="Arial" w:cs="Arial"/>
                <w:color w:val="000000"/>
                <w:sz w:val="20"/>
                <w:szCs w:val="20"/>
                <w:lang w:eastAsia="cs-CZ"/>
              </w:rPr>
              <w:t>Podpora výpočtu nákladů/náhrad cesty včetně možnosti výplaty zálohy v hotovosti z pokladny případně bezhotovostně převodem na účet zaměstnance. Při poskytnuti zálohy vytvoření závazku vůči zaměstnanci do účetnictví.</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keepLines/>
              <w:spacing w:after="0"/>
              <w:jc w:val="center"/>
            </w:pPr>
            <w:r>
              <w:rPr>
                <w:rFonts w:ascii="Arial" w:eastAsia="Times New Roman" w:hAnsi="Arial" w:cs="Arial"/>
                <w:color w:val="000000"/>
                <w:sz w:val="20"/>
                <w:szCs w:val="20"/>
                <w:lang w:eastAsia="cs-CZ"/>
              </w:rPr>
              <w:t>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keepLines/>
              <w:spacing w:after="0"/>
              <w:jc w:val="center"/>
              <w:rPr>
                <w:rFonts w:ascii="Arial" w:eastAsia="Times New Roman" w:hAnsi="Arial" w:cs="Arial"/>
                <w:i/>
                <w:iCs/>
                <w:color w:val="000000"/>
                <w:sz w:val="20"/>
                <w:szCs w:val="20"/>
                <w:lang w:eastAsia="cs-CZ"/>
              </w:rPr>
            </w:pP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keepLines/>
              <w:numPr>
                <w:ilvl w:val="0"/>
                <w:numId w:val="3"/>
              </w:numPr>
              <w:spacing w:after="0"/>
              <w:jc w:val="center"/>
              <w:rPr>
                <w:rFonts w:ascii="Arial" w:eastAsia="Times New Roman" w:hAnsi="Arial" w:cs="Arial"/>
                <w:color w:val="000000"/>
                <w:sz w:val="20"/>
                <w:szCs w:val="20"/>
                <w:lang w:eastAsia="cs-CZ"/>
              </w:rPr>
            </w:pP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keepLines/>
              <w:spacing w:after="0"/>
            </w:pPr>
            <w:r>
              <w:rPr>
                <w:rFonts w:ascii="Arial" w:eastAsia="Times New Roman" w:hAnsi="Arial" w:cs="Arial"/>
                <w:color w:val="000000"/>
                <w:sz w:val="20"/>
                <w:szCs w:val="20"/>
                <w:lang w:eastAsia="cs-CZ"/>
              </w:rPr>
              <w:t>P</w:t>
            </w:r>
          </w:p>
        </w:tc>
      </w:tr>
      <w:tr w:rsidR="004B2930" w:rsidTr="00D523CF">
        <w:trPr>
          <w:cantSplit/>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Pr="00A650EF" w:rsidRDefault="004E1353">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5.4.</w:t>
            </w:r>
          </w:p>
        </w:tc>
        <w:tc>
          <w:tcPr>
            <w:tcW w:w="98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 xml:space="preserve">Pokrytí celého životního cyklu cestovního příkazu </w:t>
            </w:r>
            <w:proofErr w:type="spellStart"/>
            <w:r>
              <w:rPr>
                <w:rFonts w:ascii="Arial" w:eastAsia="Times New Roman" w:hAnsi="Arial" w:cs="Arial"/>
                <w:color w:val="000000"/>
                <w:sz w:val="20"/>
                <w:szCs w:val="20"/>
                <w:lang w:eastAsia="cs-CZ"/>
              </w:rPr>
              <w:t>workflow</w:t>
            </w:r>
            <w:proofErr w:type="spellEnd"/>
            <w:r>
              <w:rPr>
                <w:rFonts w:ascii="Arial" w:eastAsia="Times New Roman" w:hAnsi="Arial" w:cs="Arial"/>
                <w:color w:val="000000"/>
                <w:sz w:val="20"/>
                <w:szCs w:val="20"/>
                <w:lang w:eastAsia="cs-CZ"/>
              </w:rPr>
              <w:t xml:space="preserve">: </w:t>
            </w:r>
            <w:r>
              <w:rPr>
                <w:rFonts w:ascii="Arial" w:eastAsia="Times New Roman" w:hAnsi="Arial" w:cs="Arial"/>
                <w:color w:val="000000"/>
                <w:sz w:val="20"/>
                <w:szCs w:val="20"/>
                <w:lang w:eastAsia="cs-CZ"/>
              </w:rPr>
              <w:br/>
              <w:t xml:space="preserve">- vytvoření </w:t>
            </w:r>
            <w:r>
              <w:rPr>
                <w:rFonts w:ascii="Arial" w:eastAsia="Times New Roman" w:hAnsi="Arial" w:cs="Arial"/>
                <w:color w:val="000000"/>
                <w:sz w:val="20"/>
                <w:szCs w:val="20"/>
                <w:lang w:eastAsia="cs-CZ"/>
              </w:rPr>
              <w:br/>
              <w:t xml:space="preserve">- schválení </w:t>
            </w:r>
            <w:r>
              <w:rPr>
                <w:rFonts w:ascii="Arial" w:eastAsia="Times New Roman" w:hAnsi="Arial" w:cs="Arial"/>
                <w:color w:val="000000"/>
                <w:sz w:val="20"/>
                <w:szCs w:val="20"/>
                <w:lang w:eastAsia="cs-CZ"/>
              </w:rPr>
              <w:br/>
              <w:t xml:space="preserve">- vyúčtování včetně evidence zprávy o vykonané cestě </w:t>
            </w:r>
            <w:r>
              <w:rPr>
                <w:rFonts w:ascii="Arial" w:eastAsia="Times New Roman" w:hAnsi="Arial" w:cs="Arial"/>
                <w:color w:val="000000"/>
                <w:sz w:val="20"/>
                <w:szCs w:val="20"/>
                <w:lang w:eastAsia="cs-CZ"/>
              </w:rPr>
              <w:br/>
              <w:t>- vytvoření závazku či pohledávky vůči zaměstnanci z vyúčtování pracovní cesty do účetnictví</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D523CF">
        <w:trPr>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Pr="00A650EF" w:rsidRDefault="004E1353">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5.5.</w:t>
            </w:r>
          </w:p>
        </w:tc>
        <w:tc>
          <w:tcPr>
            <w:tcW w:w="98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 xml:space="preserve">Možnost, aby zaměstnanec při vyúčtování pracovní cesty přiložil </w:t>
            </w:r>
            <w:proofErr w:type="spellStart"/>
            <w:r>
              <w:rPr>
                <w:rFonts w:ascii="Arial" w:eastAsia="Times New Roman" w:hAnsi="Arial" w:cs="Arial"/>
                <w:color w:val="000000"/>
                <w:sz w:val="20"/>
                <w:szCs w:val="20"/>
                <w:lang w:eastAsia="cs-CZ"/>
              </w:rPr>
              <w:t>sken</w:t>
            </w:r>
            <w:proofErr w:type="spellEnd"/>
            <w:r>
              <w:rPr>
                <w:rFonts w:ascii="Arial" w:eastAsia="Times New Roman" w:hAnsi="Arial" w:cs="Arial"/>
                <w:color w:val="000000"/>
                <w:sz w:val="20"/>
                <w:szCs w:val="20"/>
                <w:lang w:eastAsia="cs-CZ"/>
              </w:rPr>
              <w:t xml:space="preserve"> dokladů, kterými prokazuje výdaje a zprávu o vykonané cestě.</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4</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D523CF">
        <w:trPr>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Pr="00A650EF" w:rsidRDefault="004E1353">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5.6.</w:t>
            </w:r>
          </w:p>
        </w:tc>
        <w:tc>
          <w:tcPr>
            <w:tcW w:w="98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 xml:space="preserve">Zaměstnanec má umožněn přístup jen ke svým cestovním příkazům. Vedoucí má umožněn přistup k cestovním příkazům svých podřízených. Specifické role (např. sekretářka, nositel grantu) a schvalovatelé ve </w:t>
            </w:r>
            <w:proofErr w:type="spellStart"/>
            <w:proofErr w:type="gramStart"/>
            <w:r>
              <w:rPr>
                <w:rFonts w:ascii="Arial" w:eastAsia="Times New Roman" w:hAnsi="Arial" w:cs="Arial"/>
                <w:color w:val="000000"/>
                <w:sz w:val="20"/>
                <w:szCs w:val="20"/>
                <w:lang w:eastAsia="cs-CZ"/>
              </w:rPr>
              <w:t>workflow</w:t>
            </w:r>
            <w:proofErr w:type="spellEnd"/>
            <w:proofErr w:type="gramEnd"/>
            <w:r>
              <w:rPr>
                <w:rFonts w:ascii="Arial" w:eastAsia="Times New Roman" w:hAnsi="Arial" w:cs="Arial"/>
                <w:color w:val="000000"/>
                <w:sz w:val="20"/>
                <w:szCs w:val="20"/>
                <w:lang w:eastAsia="cs-CZ"/>
              </w:rPr>
              <w:t xml:space="preserve"> mají přístup k cestovním příkazům podle zadaných oprávnění.</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D523CF">
        <w:trPr>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Pr="00A650EF" w:rsidRDefault="004E1353">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5.7.</w:t>
            </w:r>
          </w:p>
        </w:tc>
        <w:tc>
          <w:tcPr>
            <w:tcW w:w="98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Vytváření tiskových sestav cestovních příkazů s filtrací podle položek ve formuláři cestovního příkazu a stavů cesty (plánovaná, schválená, stornovaná, vyúčtovaná, ukončená, vrácená k dopracování).</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D523CF">
        <w:trPr>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Pr="00A650EF" w:rsidRDefault="004E1353">
            <w:pPr>
              <w:spacing w:after="0"/>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5.8.</w:t>
            </w:r>
          </w:p>
        </w:tc>
        <w:tc>
          <w:tcPr>
            <w:tcW w:w="989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Podpora vyplacení záloh a vyúčtování cestovního příkazu v různých měnách s možností změny.</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D523CF">
        <w:trPr>
          <w:trHeight w:val="340"/>
        </w:trPr>
        <w:tc>
          <w:tcPr>
            <w:tcW w:w="15521" w:type="dxa"/>
            <w:gridSpan w:val="6"/>
            <w:shd w:val="clear" w:color="auto" w:fill="auto"/>
            <w:vAlign w:val="bottom"/>
          </w:tcPr>
          <w:p w:rsidR="004B2930" w:rsidRDefault="004E1353">
            <w:pPr>
              <w:spacing w:before="113" w:after="0"/>
            </w:pPr>
            <w:r>
              <w:rPr>
                <w:rFonts w:ascii="Arial" w:eastAsia="Times New Roman" w:hAnsi="Arial" w:cs="Arial"/>
                <w:b/>
                <w:bCs/>
                <w:color w:val="000000"/>
                <w:sz w:val="20"/>
                <w:szCs w:val="20"/>
                <w:lang w:eastAsia="cs-CZ"/>
              </w:rPr>
              <w:t>Správa revizí a odborných prohlídek</w:t>
            </w:r>
          </w:p>
        </w:tc>
      </w:tr>
      <w:tr w:rsidR="004B2930" w:rsidTr="00D523CF">
        <w:trPr>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5.9.</w:t>
            </w:r>
          </w:p>
        </w:tc>
        <w:tc>
          <w:tcPr>
            <w:tcW w:w="989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Evidence a historie jednotlivých servisních prohlídek, revizí, včetně možnosti připojovat dokumenty v nástroji pro správu revizí, prohlídek a kontrol.</w:t>
            </w:r>
          </w:p>
        </w:tc>
        <w:tc>
          <w:tcPr>
            <w:tcW w:w="127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jc w:val="center"/>
            </w:pPr>
            <w:r>
              <w:rPr>
                <w:rFonts w:ascii="Arial" w:eastAsia="Times New Roman" w:hAnsi="Arial" w:cs="Arial"/>
                <w:color w:val="000000"/>
                <w:sz w:val="20"/>
                <w:szCs w:val="20"/>
                <w:lang w:eastAsia="cs-CZ"/>
              </w:rPr>
              <w:t>6</w:t>
            </w:r>
          </w:p>
        </w:tc>
        <w:tc>
          <w:tcPr>
            <w:tcW w:w="130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jc w:val="center"/>
              <w:rPr>
                <w:rFonts w:ascii="Arial" w:eastAsia="Times New Roman" w:hAnsi="Arial" w:cs="Arial"/>
                <w:i/>
                <w:iCs/>
                <w:color w:val="000000"/>
                <w:sz w:val="20"/>
                <w:szCs w:val="20"/>
                <w:lang w:eastAsia="cs-CZ"/>
              </w:rPr>
            </w:pPr>
          </w:p>
        </w:tc>
        <w:tc>
          <w:tcPr>
            <w:tcW w:w="124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rPr>
                <w:rFonts w:ascii="Arial" w:eastAsia="Times New Roman" w:hAnsi="Arial" w:cs="Arial"/>
                <w:color w:val="000000"/>
                <w:sz w:val="20"/>
                <w:szCs w:val="20"/>
                <w:lang w:eastAsia="cs-CZ"/>
              </w:rPr>
            </w:pPr>
          </w:p>
        </w:tc>
        <w:tc>
          <w:tcPr>
            <w:tcW w:w="107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R</w:t>
            </w:r>
          </w:p>
        </w:tc>
      </w:tr>
      <w:tr w:rsidR="004B2930" w:rsidTr="00D523CF">
        <w:trPr>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5.10.</w:t>
            </w:r>
          </w:p>
        </w:tc>
        <w:tc>
          <w:tcPr>
            <w:tcW w:w="989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Tvorba plánů pro údržbu, revize, prohlídky, kontroly (zákonné revize, pravidelný servis).</w:t>
            </w:r>
          </w:p>
        </w:tc>
        <w:tc>
          <w:tcPr>
            <w:tcW w:w="127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jc w:val="center"/>
            </w:pPr>
            <w:r>
              <w:rPr>
                <w:rFonts w:ascii="Arial" w:eastAsia="Times New Roman" w:hAnsi="Arial" w:cs="Arial"/>
                <w:color w:val="000000"/>
                <w:sz w:val="20"/>
                <w:szCs w:val="20"/>
                <w:lang w:eastAsia="cs-CZ"/>
              </w:rPr>
              <w:t>8</w:t>
            </w:r>
          </w:p>
        </w:tc>
        <w:tc>
          <w:tcPr>
            <w:tcW w:w="130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jc w:val="center"/>
              <w:rPr>
                <w:rFonts w:ascii="Arial" w:eastAsia="Times New Roman" w:hAnsi="Arial" w:cs="Arial"/>
                <w:i/>
                <w:iCs/>
                <w:color w:val="000000"/>
                <w:sz w:val="20"/>
                <w:szCs w:val="20"/>
                <w:lang w:eastAsia="cs-CZ"/>
              </w:rPr>
            </w:pPr>
          </w:p>
        </w:tc>
        <w:tc>
          <w:tcPr>
            <w:tcW w:w="124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rPr>
                <w:rFonts w:ascii="Arial" w:eastAsia="Times New Roman" w:hAnsi="Arial" w:cs="Arial"/>
                <w:color w:val="000000"/>
                <w:sz w:val="20"/>
                <w:szCs w:val="20"/>
                <w:lang w:eastAsia="cs-CZ"/>
              </w:rPr>
            </w:pPr>
          </w:p>
        </w:tc>
        <w:tc>
          <w:tcPr>
            <w:tcW w:w="107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R</w:t>
            </w:r>
          </w:p>
        </w:tc>
      </w:tr>
      <w:tr w:rsidR="004B2930" w:rsidTr="00D523CF">
        <w:trPr>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5.11.</w:t>
            </w:r>
          </w:p>
        </w:tc>
        <w:tc>
          <w:tcPr>
            <w:tcW w:w="989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Vazba na další části systému (evidence majetku).</w:t>
            </w:r>
          </w:p>
        </w:tc>
        <w:tc>
          <w:tcPr>
            <w:tcW w:w="127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jc w:val="center"/>
            </w:pPr>
            <w:r>
              <w:rPr>
                <w:rFonts w:ascii="Arial" w:eastAsia="Times New Roman" w:hAnsi="Arial" w:cs="Arial"/>
                <w:color w:val="000000"/>
                <w:sz w:val="20"/>
                <w:szCs w:val="20"/>
                <w:lang w:eastAsia="cs-CZ"/>
              </w:rPr>
              <w:t>8</w:t>
            </w:r>
          </w:p>
        </w:tc>
        <w:tc>
          <w:tcPr>
            <w:tcW w:w="130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jc w:val="center"/>
              <w:rPr>
                <w:rFonts w:ascii="Arial" w:eastAsia="Times New Roman" w:hAnsi="Arial" w:cs="Arial"/>
                <w:i/>
                <w:iCs/>
                <w:color w:val="000000"/>
                <w:sz w:val="20"/>
                <w:szCs w:val="20"/>
                <w:lang w:eastAsia="cs-CZ"/>
              </w:rPr>
            </w:pPr>
          </w:p>
        </w:tc>
        <w:tc>
          <w:tcPr>
            <w:tcW w:w="124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rPr>
                <w:rFonts w:ascii="Arial" w:eastAsia="Times New Roman" w:hAnsi="Arial" w:cs="Arial"/>
                <w:color w:val="000000"/>
                <w:sz w:val="20"/>
                <w:szCs w:val="20"/>
                <w:lang w:eastAsia="cs-CZ"/>
              </w:rPr>
            </w:pPr>
          </w:p>
        </w:tc>
        <w:tc>
          <w:tcPr>
            <w:tcW w:w="107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R</w:t>
            </w:r>
          </w:p>
        </w:tc>
      </w:tr>
      <w:tr w:rsidR="004B2930" w:rsidTr="00D523CF">
        <w:trPr>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5.12.</w:t>
            </w:r>
          </w:p>
        </w:tc>
        <w:tc>
          <w:tcPr>
            <w:tcW w:w="989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Připomínáni termínů (servisních prohlídek, revizí, kalibrací), notifikace e-mailem.</w:t>
            </w:r>
          </w:p>
        </w:tc>
        <w:tc>
          <w:tcPr>
            <w:tcW w:w="127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jc w:val="center"/>
            </w:pPr>
            <w:r>
              <w:rPr>
                <w:rFonts w:ascii="Arial" w:eastAsia="Times New Roman" w:hAnsi="Arial" w:cs="Arial"/>
                <w:color w:val="000000"/>
                <w:sz w:val="20"/>
                <w:szCs w:val="20"/>
                <w:lang w:eastAsia="cs-CZ"/>
              </w:rPr>
              <w:t>10</w:t>
            </w:r>
          </w:p>
        </w:tc>
        <w:tc>
          <w:tcPr>
            <w:tcW w:w="130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jc w:val="center"/>
              <w:rPr>
                <w:rFonts w:ascii="Arial" w:eastAsia="Times New Roman" w:hAnsi="Arial" w:cs="Arial"/>
                <w:i/>
                <w:iCs/>
                <w:color w:val="000000"/>
                <w:sz w:val="20"/>
                <w:szCs w:val="20"/>
                <w:lang w:eastAsia="cs-CZ"/>
              </w:rPr>
            </w:pPr>
          </w:p>
        </w:tc>
        <w:tc>
          <w:tcPr>
            <w:tcW w:w="124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rPr>
                <w:rFonts w:ascii="Arial" w:eastAsia="Times New Roman" w:hAnsi="Arial" w:cs="Arial"/>
                <w:color w:val="000000"/>
                <w:sz w:val="20"/>
                <w:szCs w:val="20"/>
                <w:lang w:eastAsia="cs-CZ"/>
              </w:rPr>
            </w:pPr>
          </w:p>
        </w:tc>
        <w:tc>
          <w:tcPr>
            <w:tcW w:w="107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R</w:t>
            </w:r>
          </w:p>
        </w:tc>
      </w:tr>
      <w:tr w:rsidR="004B2930" w:rsidTr="00D523CF">
        <w:trPr>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5.13.</w:t>
            </w:r>
          </w:p>
        </w:tc>
        <w:tc>
          <w:tcPr>
            <w:tcW w:w="989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Číselník servisních organizací s kontakty.</w:t>
            </w:r>
          </w:p>
        </w:tc>
        <w:tc>
          <w:tcPr>
            <w:tcW w:w="127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jc w:val="center"/>
            </w:pPr>
            <w:r>
              <w:rPr>
                <w:rFonts w:ascii="Arial" w:eastAsia="Times New Roman" w:hAnsi="Arial" w:cs="Arial"/>
                <w:color w:val="000000"/>
                <w:sz w:val="20"/>
                <w:szCs w:val="20"/>
                <w:lang w:eastAsia="cs-CZ"/>
              </w:rPr>
              <w:t>8</w:t>
            </w:r>
          </w:p>
        </w:tc>
        <w:tc>
          <w:tcPr>
            <w:tcW w:w="130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jc w:val="center"/>
              <w:rPr>
                <w:rFonts w:ascii="Arial" w:eastAsia="Times New Roman" w:hAnsi="Arial" w:cs="Arial"/>
                <w:i/>
                <w:iCs/>
                <w:color w:val="000000"/>
                <w:sz w:val="20"/>
                <w:szCs w:val="20"/>
                <w:lang w:eastAsia="cs-CZ"/>
              </w:rPr>
            </w:pPr>
          </w:p>
        </w:tc>
        <w:tc>
          <w:tcPr>
            <w:tcW w:w="124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rPr>
                <w:rFonts w:ascii="Arial" w:eastAsia="Times New Roman" w:hAnsi="Arial" w:cs="Arial"/>
                <w:color w:val="000000"/>
                <w:sz w:val="20"/>
                <w:szCs w:val="20"/>
                <w:lang w:eastAsia="cs-CZ"/>
              </w:rPr>
            </w:pPr>
          </w:p>
        </w:tc>
        <w:tc>
          <w:tcPr>
            <w:tcW w:w="107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R</w:t>
            </w:r>
          </w:p>
        </w:tc>
      </w:tr>
    </w:tbl>
    <w:p w:rsidR="004B2930" w:rsidRDefault="004E1353">
      <w:pPr>
        <w:pStyle w:val="Zkladntext"/>
      </w:pPr>
      <w:r>
        <w:br w:type="page"/>
      </w:r>
    </w:p>
    <w:p w:rsidR="004B2930" w:rsidRDefault="004E1353">
      <w:r>
        <w:rPr>
          <w:rFonts w:ascii="Arial" w:hAnsi="Arial" w:cs="Arial"/>
          <w:b/>
          <w:sz w:val="24"/>
          <w:szCs w:val="24"/>
        </w:rPr>
        <w:t>6. Manažerská nadstavba – manažerské sestavy, plánování zakázek a projektů</w:t>
      </w:r>
    </w:p>
    <w:tbl>
      <w:tblPr>
        <w:tblW w:w="15521" w:type="dxa"/>
        <w:tblCellMar>
          <w:left w:w="70" w:type="dxa"/>
          <w:right w:w="70" w:type="dxa"/>
        </w:tblCellMar>
        <w:tblLook w:val="04A0" w:firstRow="1" w:lastRow="0" w:firstColumn="1" w:lastColumn="0" w:noHBand="0" w:noVBand="1"/>
      </w:tblPr>
      <w:tblGrid>
        <w:gridCol w:w="734"/>
        <w:gridCol w:w="9893"/>
        <w:gridCol w:w="1273"/>
        <w:gridCol w:w="1306"/>
        <w:gridCol w:w="1245"/>
        <w:gridCol w:w="1070"/>
      </w:tblGrid>
      <w:tr w:rsidR="004B2930" w:rsidTr="00D523CF">
        <w:trPr>
          <w:trHeight w:val="284"/>
          <w:tblHeader/>
        </w:trPr>
        <w:tc>
          <w:tcPr>
            <w:tcW w:w="7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4B2930" w:rsidRDefault="004E1353">
            <w:pPr>
              <w:spacing w:after="0"/>
            </w:pPr>
            <w:r>
              <w:rPr>
                <w:rFonts w:ascii="Arial" w:eastAsia="Times New Roman" w:hAnsi="Arial" w:cs="Arial"/>
                <w:b/>
                <w:sz w:val="18"/>
                <w:szCs w:val="18"/>
                <w:lang w:eastAsia="cs-CZ"/>
              </w:rPr>
              <w:t>Číslo</w:t>
            </w:r>
            <w:r>
              <w:rPr>
                <w:rFonts w:ascii="Arial" w:eastAsia="Times New Roman" w:hAnsi="Arial" w:cs="Arial"/>
                <w:b/>
                <w:sz w:val="18"/>
                <w:szCs w:val="18"/>
                <w:vertAlign w:val="superscript"/>
                <w:lang w:eastAsia="cs-CZ"/>
              </w:rPr>
              <w:t>1)</w:t>
            </w:r>
          </w:p>
        </w:tc>
        <w:tc>
          <w:tcPr>
            <w:tcW w:w="9893"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4B2930" w:rsidRDefault="004E1353">
            <w:pPr>
              <w:spacing w:after="0"/>
            </w:pPr>
            <w:r>
              <w:rPr>
                <w:rFonts w:ascii="Arial" w:eastAsia="Times New Roman" w:hAnsi="Arial" w:cs="Arial"/>
                <w:b/>
                <w:color w:val="000000"/>
                <w:sz w:val="18"/>
                <w:szCs w:val="18"/>
                <w:lang w:eastAsia="cs-CZ"/>
              </w:rPr>
              <w:t>Požadavek na funkcionalitu</w:t>
            </w:r>
          </w:p>
        </w:tc>
        <w:tc>
          <w:tcPr>
            <w:tcW w:w="1273"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4B2930" w:rsidRDefault="004E1353">
            <w:pPr>
              <w:spacing w:after="0"/>
            </w:pPr>
            <w:r>
              <w:rPr>
                <w:rFonts w:ascii="Arial" w:hAnsi="Arial" w:cs="Arial"/>
                <w:b/>
                <w:sz w:val="18"/>
                <w:szCs w:val="18"/>
              </w:rPr>
              <w:t>Body významnosti</w:t>
            </w:r>
            <w:r>
              <w:rPr>
                <w:rFonts w:ascii="Arial" w:hAnsi="Arial" w:cs="Arial"/>
                <w:sz w:val="18"/>
                <w:szCs w:val="18"/>
              </w:rPr>
              <w:br/>
            </w:r>
            <w:r>
              <w:rPr>
                <w:rFonts w:ascii="Arial" w:hAnsi="Arial" w:cs="Arial"/>
                <w:b/>
                <w:sz w:val="18"/>
                <w:szCs w:val="18"/>
              </w:rPr>
              <w:t>funkcionality</w:t>
            </w:r>
          </w:p>
        </w:tc>
        <w:tc>
          <w:tcPr>
            <w:tcW w:w="1306"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4B2930" w:rsidRDefault="004E1353">
            <w:pPr>
              <w:spacing w:after="0"/>
            </w:pPr>
            <w:r>
              <w:rPr>
                <w:rFonts w:ascii="Arial" w:hAnsi="Arial" w:cs="Arial"/>
                <w:b/>
                <w:sz w:val="18"/>
                <w:szCs w:val="18"/>
              </w:rPr>
              <w:t>Standardní</w:t>
            </w:r>
            <w:r>
              <w:rPr>
                <w:rFonts w:ascii="Arial" w:hAnsi="Arial" w:cs="Arial"/>
                <w:sz w:val="18"/>
                <w:szCs w:val="18"/>
              </w:rPr>
              <w:br/>
            </w:r>
            <w:r>
              <w:rPr>
                <w:rFonts w:ascii="Arial" w:hAnsi="Arial" w:cs="Arial"/>
                <w:b/>
                <w:sz w:val="18"/>
                <w:szCs w:val="18"/>
              </w:rPr>
              <w:t>funkcionalita</w:t>
            </w:r>
          </w:p>
        </w:tc>
        <w:tc>
          <w:tcPr>
            <w:tcW w:w="1245"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4B2930" w:rsidRDefault="004E1353">
            <w:pPr>
              <w:spacing w:after="0"/>
            </w:pPr>
            <w:r>
              <w:rPr>
                <w:rFonts w:ascii="Arial" w:hAnsi="Arial" w:cs="Arial"/>
                <w:b/>
                <w:sz w:val="18"/>
                <w:szCs w:val="18"/>
              </w:rPr>
              <w:t>Bude doplněno /</w:t>
            </w:r>
            <w:r>
              <w:rPr>
                <w:rFonts w:ascii="Arial" w:hAnsi="Arial" w:cs="Arial"/>
                <w:sz w:val="18"/>
                <w:szCs w:val="18"/>
              </w:rPr>
              <w:br/>
            </w:r>
            <w:r>
              <w:rPr>
                <w:rFonts w:ascii="Arial" w:hAnsi="Arial" w:cs="Arial"/>
                <w:b/>
                <w:sz w:val="18"/>
                <w:szCs w:val="18"/>
              </w:rPr>
              <w:t>doprogra</w:t>
            </w:r>
            <w:r>
              <w:rPr>
                <w:rFonts w:ascii="Arial" w:hAnsi="Arial" w:cs="Arial"/>
                <w:b/>
                <w:sz w:val="18"/>
                <w:szCs w:val="18"/>
              </w:rPr>
              <w:softHyphen/>
              <w:t>mováno</w:t>
            </w:r>
          </w:p>
        </w:tc>
        <w:tc>
          <w:tcPr>
            <w:tcW w:w="1070"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4B2930" w:rsidRDefault="004E1353">
            <w:pPr>
              <w:spacing w:after="0"/>
            </w:pPr>
            <w:r>
              <w:rPr>
                <w:rFonts w:ascii="Arial" w:eastAsia="Times New Roman" w:hAnsi="Arial" w:cs="Arial"/>
                <w:b/>
                <w:color w:val="000000"/>
                <w:sz w:val="18"/>
                <w:szCs w:val="18"/>
                <w:lang w:eastAsia="cs-CZ"/>
              </w:rPr>
              <w:t>Povinný/ rozšiřující</w:t>
            </w:r>
          </w:p>
        </w:tc>
      </w:tr>
      <w:tr w:rsidR="004B2930" w:rsidTr="00D523CF">
        <w:trPr>
          <w:trHeight w:val="284"/>
        </w:trPr>
        <w:tc>
          <w:tcPr>
            <w:tcW w:w="15521" w:type="dxa"/>
            <w:gridSpan w:val="6"/>
            <w:tcBorders>
              <w:top w:val="single" w:sz="4" w:space="0" w:color="000000"/>
              <w:bottom w:val="single" w:sz="4" w:space="0" w:color="auto"/>
            </w:tcBorders>
            <w:shd w:val="clear" w:color="auto" w:fill="auto"/>
          </w:tcPr>
          <w:p w:rsidR="004B2930" w:rsidRDefault="004E1353">
            <w:pPr>
              <w:spacing w:before="113" w:after="0"/>
            </w:pPr>
            <w:r>
              <w:rPr>
                <w:rFonts w:ascii="Arial" w:eastAsia="Times New Roman" w:hAnsi="Arial" w:cs="Arial"/>
                <w:b/>
                <w:bCs/>
                <w:color w:val="000000"/>
                <w:sz w:val="20"/>
                <w:szCs w:val="20"/>
                <w:lang w:eastAsia="cs-CZ"/>
              </w:rPr>
              <w:t>Manažerské sestavy </w:t>
            </w:r>
          </w:p>
        </w:tc>
      </w:tr>
      <w:tr w:rsidR="004B2930" w:rsidTr="00D523CF">
        <w:trPr>
          <w:trHeight w:val="284"/>
        </w:trPr>
        <w:tc>
          <w:tcPr>
            <w:tcW w:w="734" w:type="dxa"/>
            <w:tcBorders>
              <w:top w:val="single" w:sz="4" w:space="0" w:color="auto"/>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6.1.</w:t>
            </w:r>
          </w:p>
        </w:tc>
        <w:tc>
          <w:tcPr>
            <w:tcW w:w="9893" w:type="dxa"/>
            <w:tcBorders>
              <w:top w:val="single" w:sz="4" w:space="0" w:color="auto"/>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Přístup do manažerské nadstavby je pro všechny zaměstnance přes personalizované rozhraní uživatele.</w:t>
            </w:r>
          </w:p>
        </w:tc>
        <w:tc>
          <w:tcPr>
            <w:tcW w:w="1273" w:type="dxa"/>
            <w:tcBorders>
              <w:top w:val="single" w:sz="4" w:space="0" w:color="auto"/>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6" w:type="dxa"/>
            <w:tcBorders>
              <w:top w:val="single" w:sz="4" w:space="0" w:color="auto"/>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auto"/>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auto"/>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D523CF">
        <w:trPr>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6.2.</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Umožňuje všem zaměstnancům podle oprávnění personalizovanou prezentaci dat z oblasti Ekonomika a účetnictví a Personalistika a mzdy v přehledné formě.</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D523CF">
        <w:trPr>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6.3.</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Sestava pro kontrolu plnění rozpočtu na akci (tzv. vyúčtovací rozpočet) mapující analytické účty na sledování čerpání rozpočtu podle struktury poskytovatele finančních prostředků. Vytvoření sestavy na základě předpřipravené šablony (více typů) respektující požadavky na strukturu od poskytovatele finančních prostředků. Možnost uživatelské modifikace šablon.</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D523CF">
        <w:trPr>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6.4.</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Sledování objednávek, pracovních cest, smluv, závazků, osobních nákladů po zaměstnancích souvisejících s akcí (úkolem/zakázkou/rozpočtem akce).</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D523CF">
        <w:trPr>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6.5.</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Sledování průběžného stavu čerpání (náklady, výnosy, blokace ze smluv, objednávek, osobních nákladů a cestovních příkazů) jednotlivých rozpočtů akcí dle pracovišť (oddělení), nákladových středisek, finančních zdrojů (tzv. komplexních položek), syntetických a analytických účtů dle nadefinované struktury rozpočtu ve vazbě na plán (limit), disponibilní zůstatek s možností mezisoučtů podle struktury rozpočtu.</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D523CF">
        <w:trPr>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6.6.</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Z manažerského systému možnost detailního pohledu na agregované údaje a to až na úroveň všech souvisejících prvotních dokladů, včetně jejich zobrazení. Detailní pohled na agregované údaje musí obsahovat minimálně číslo prvotního dokladu, období, typ akce, akci, nákladové středisko, analytický účet včetně jeho názvu, popis dokladu, částku, dodavatele, číslo objednávky/smlouvy a datum úhrady. Možnost nadefinování filtru na položky pro výstupní sestavy.</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D523CF">
        <w:trPr>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6.7.</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Z manažerského systému sledování čerpání rozpočtů v součtu rozpočtů (nadřízených rozpočtů).</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D523CF">
        <w:trPr>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6.8.</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Manažerská sestava s nastavitelným filtrem parametrů vyhledávání (zejména dle období, finančních zdrojů, analytických účtů, akcí, nákladových středisek, dodavatele) včetně jejich libovolných kombinací pro zobrazení různých čerpání rozpočtu.</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D523CF">
        <w:trPr>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6.9.</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Manažerská sestava pro sledování čerpání mzdových prostředků (minimálně v členění tarifní mzda, osobní příplatek, příplatek za vedení, dovolená, DPP, DPČ, odměny, rizikový příplatek, zákonné odvody, sociální fond, nemocenská, ostatní překážky v práci) zaměstnanců dle jednotlivých zaměstnanců, období, pracovišť (oddělení), nákladových středisek, finančních zdrojů, akce a v jejich kombinaci.</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D523CF">
        <w:trPr>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6.10.</w:t>
            </w:r>
          </w:p>
          <w:p w:rsidR="004B2930" w:rsidRDefault="004E1353">
            <w:pPr>
              <w:spacing w:after="0"/>
            </w:pPr>
            <w:r>
              <w:rPr>
                <w:rFonts w:ascii="Arial" w:eastAsia="Times New Roman" w:hAnsi="Arial" w:cs="Arial"/>
                <w:color w:val="000000"/>
                <w:sz w:val="20"/>
                <w:szCs w:val="20"/>
                <w:lang w:eastAsia="cs-CZ"/>
              </w:rPr>
              <w:t>ÚČL</w:t>
            </w:r>
          </w:p>
        </w:tc>
        <w:tc>
          <w:tcPr>
            <w:tcW w:w="989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Manažerské sestavy pro sledování docházky a pracovních výkazů dle akcí.</w:t>
            </w:r>
          </w:p>
        </w:tc>
        <w:tc>
          <w:tcPr>
            <w:tcW w:w="127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jc w:val="center"/>
            </w:pPr>
            <w:r>
              <w:rPr>
                <w:rFonts w:ascii="Arial" w:eastAsia="Times New Roman" w:hAnsi="Arial" w:cs="Arial"/>
                <w:color w:val="000000"/>
                <w:sz w:val="20"/>
                <w:szCs w:val="20"/>
                <w:lang w:eastAsia="cs-CZ"/>
              </w:rPr>
              <w:t>10</w:t>
            </w:r>
          </w:p>
        </w:tc>
        <w:tc>
          <w:tcPr>
            <w:tcW w:w="130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R</w:t>
            </w:r>
          </w:p>
        </w:tc>
      </w:tr>
      <w:tr w:rsidR="004B2930" w:rsidTr="00D523CF">
        <w:trPr>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6.11.</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Přehledy schválených nepřítomností na pracovišti, kolik jednotliví pracovníci čerpali včetně nevyčerpané dovolené, dle období, nákladových středisek, pracovišť (oddělení).</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D523CF">
        <w:trPr>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6.12.</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Přehledy o majetku dle pracoviště, nákladového střediska, umístění, osoby a dalších parametrů.</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D523CF">
        <w:trPr>
          <w:trHeight w:val="340"/>
        </w:trPr>
        <w:tc>
          <w:tcPr>
            <w:tcW w:w="15521" w:type="dxa"/>
            <w:gridSpan w:val="6"/>
            <w:shd w:val="clear" w:color="auto" w:fill="auto"/>
            <w:vAlign w:val="bottom"/>
          </w:tcPr>
          <w:p w:rsidR="004B2930" w:rsidRDefault="004E1353">
            <w:pPr>
              <w:spacing w:before="113" w:after="0"/>
            </w:pPr>
            <w:r>
              <w:rPr>
                <w:rFonts w:ascii="Arial" w:eastAsia="Times New Roman" w:hAnsi="Arial" w:cs="Arial"/>
                <w:b/>
                <w:bCs/>
                <w:color w:val="000000"/>
                <w:sz w:val="20"/>
                <w:szCs w:val="20"/>
                <w:lang w:eastAsia="cs-CZ"/>
              </w:rPr>
              <w:t>Plánování zakázek a projektů</w:t>
            </w:r>
          </w:p>
        </w:tc>
      </w:tr>
      <w:tr w:rsidR="004B2930" w:rsidTr="00D523CF">
        <w:trPr>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6.13.</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Možnost připojení dokumentů k akci jako podklad k jejímu založení (grantová smlouva, interní sdělení,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D523CF">
        <w:trPr>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6.14.</w:t>
            </w:r>
          </w:p>
        </w:tc>
        <w:tc>
          <w:tcPr>
            <w:tcW w:w="989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Ve vazbě na rozpočet akce nadefinování, které analytické účty nejsou pro akci povoleny.</w:t>
            </w:r>
          </w:p>
        </w:tc>
        <w:tc>
          <w:tcPr>
            <w:tcW w:w="127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jc w:val="center"/>
            </w:pPr>
            <w:r>
              <w:rPr>
                <w:rFonts w:ascii="Arial" w:eastAsia="Times New Roman" w:hAnsi="Arial" w:cs="Arial"/>
                <w:color w:val="000000"/>
                <w:sz w:val="20"/>
                <w:szCs w:val="20"/>
                <w:lang w:eastAsia="cs-CZ"/>
              </w:rPr>
              <w:t>10</w:t>
            </w:r>
          </w:p>
        </w:tc>
        <w:tc>
          <w:tcPr>
            <w:tcW w:w="130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B2930">
            <w:pPr>
              <w:spacing w:after="0"/>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B2930" w:rsidRDefault="004E1353">
            <w:pPr>
              <w:spacing w:after="0"/>
            </w:pPr>
            <w:r>
              <w:rPr>
                <w:rFonts w:ascii="Arial" w:eastAsia="Times New Roman" w:hAnsi="Arial" w:cs="Arial"/>
                <w:color w:val="000000"/>
                <w:sz w:val="20"/>
                <w:szCs w:val="20"/>
                <w:lang w:eastAsia="cs-CZ"/>
              </w:rPr>
              <w:t>R</w:t>
            </w:r>
          </w:p>
        </w:tc>
      </w:tr>
      <w:tr w:rsidR="004B2930" w:rsidTr="00D523CF">
        <w:trPr>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6.15.</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 xml:space="preserve">Všechny výstupy spojené s akcí nebo skupinou akcí musí být filtrovatelné podle jednoho nebo kombinace více parametrů akce. Výstupy musí mít zaveden export do MS Excel, případně do MS Wordu a Adobe </w:t>
            </w:r>
            <w:proofErr w:type="spellStart"/>
            <w:r>
              <w:rPr>
                <w:rFonts w:ascii="Arial" w:eastAsia="Times New Roman" w:hAnsi="Arial" w:cs="Arial"/>
                <w:color w:val="000000"/>
                <w:sz w:val="20"/>
                <w:szCs w:val="20"/>
                <w:lang w:eastAsia="cs-CZ"/>
              </w:rPr>
              <w:t>Acrobatu</w:t>
            </w:r>
            <w:proofErr w:type="spellEnd"/>
            <w:r>
              <w:rPr>
                <w:rFonts w:ascii="Arial" w:eastAsia="Times New Roman" w:hAnsi="Arial" w:cs="Arial"/>
                <w:color w:val="000000"/>
                <w:sz w:val="20"/>
                <w:szCs w:val="20"/>
                <w:lang w:eastAsia="cs-CZ"/>
              </w:rPr>
              <w:t xml:space="preserve"> (PDF).</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bookmarkStart w:id="0" w:name="_GoBack"/>
            <w:bookmarkEnd w:id="0"/>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r w:rsidR="004B2930" w:rsidTr="00D523CF">
        <w:trPr>
          <w:trHeight w:val="284"/>
        </w:trPr>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6.16.</w:t>
            </w:r>
          </w:p>
        </w:tc>
        <w:tc>
          <w:tcPr>
            <w:tcW w:w="989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Uživatelské založení a správa číselníku typu akcí a komplexních položek (typ poskytovatele).</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jc w:val="center"/>
            </w:pPr>
            <w:r>
              <w:rPr>
                <w:rFonts w:ascii="Arial" w:eastAsia="Times New Roman" w:hAnsi="Arial" w:cs="Arial"/>
                <w:color w:val="000000"/>
                <w:sz w:val="20"/>
                <w:szCs w:val="20"/>
                <w:lang w:eastAsia="cs-CZ"/>
              </w:rPr>
              <w:t>10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spacing w:after="0"/>
              <w:jc w:val="center"/>
              <w:rPr>
                <w:rFonts w:ascii="Arial" w:eastAsia="Times New Roman" w:hAnsi="Arial" w:cs="Arial"/>
                <w:i/>
                <w:iCs/>
                <w:color w:val="000000"/>
                <w:sz w:val="20"/>
                <w:szCs w:val="20"/>
                <w:lang w:eastAsia="cs-CZ"/>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B2930">
            <w:pPr>
              <w:numPr>
                <w:ilvl w:val="0"/>
                <w:numId w:val="3"/>
              </w:numPr>
              <w:spacing w:after="0"/>
              <w:jc w:val="center"/>
              <w:rPr>
                <w:rFonts w:ascii="Arial" w:eastAsia="Times New Roman" w:hAnsi="Arial" w:cs="Arial"/>
                <w:color w:val="000000"/>
                <w:sz w:val="20"/>
                <w:szCs w:val="20"/>
                <w:lang w:eastAsia="cs-CZ"/>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B2930" w:rsidRDefault="004E1353">
            <w:pPr>
              <w:spacing w:after="0"/>
            </w:pPr>
            <w:r>
              <w:rPr>
                <w:rFonts w:ascii="Arial" w:eastAsia="Times New Roman" w:hAnsi="Arial" w:cs="Arial"/>
                <w:color w:val="000000"/>
                <w:sz w:val="20"/>
                <w:szCs w:val="20"/>
                <w:lang w:eastAsia="cs-CZ"/>
              </w:rPr>
              <w:t>P</w:t>
            </w:r>
          </w:p>
        </w:tc>
      </w:tr>
    </w:tbl>
    <w:p w:rsidR="004B2930" w:rsidRDefault="004B2930"/>
    <w:p w:rsidR="004B2930" w:rsidRDefault="004E1353">
      <w:pPr>
        <w:pStyle w:val="Nadpis3"/>
        <w:numPr>
          <w:ilvl w:val="0"/>
          <w:numId w:val="0"/>
        </w:numPr>
      </w:pPr>
      <w:r>
        <w:br w:type="page"/>
      </w:r>
    </w:p>
    <w:p w:rsidR="004B2930" w:rsidRDefault="004E1353">
      <w:pPr>
        <w:pStyle w:val="Nadpis2"/>
        <w:numPr>
          <w:ilvl w:val="1"/>
          <w:numId w:val="2"/>
        </w:numPr>
      </w:pPr>
      <w:proofErr w:type="spellStart"/>
      <w:r>
        <w:t>Workflow</w:t>
      </w:r>
      <w:proofErr w:type="spellEnd"/>
    </w:p>
    <w:p w:rsidR="004B2930" w:rsidRDefault="004E1353">
      <w:pPr>
        <w:pStyle w:val="Nadpis3"/>
        <w:numPr>
          <w:ilvl w:val="2"/>
          <w:numId w:val="2"/>
        </w:numPr>
      </w:pPr>
      <w:r>
        <w:t>Cestovní příkazy tuzemské a zahraniční</w:t>
      </w:r>
    </w:p>
    <w:tbl>
      <w:tblPr>
        <w:tblW w:w="15541" w:type="dxa"/>
        <w:tblInd w:w="-46" w:type="dxa"/>
        <w:tblCellMar>
          <w:top w:w="57" w:type="dxa"/>
          <w:left w:w="44" w:type="dxa"/>
          <w:bottom w:w="57" w:type="dxa"/>
          <w:right w:w="57" w:type="dxa"/>
        </w:tblCellMar>
        <w:tblLook w:val="04A0" w:firstRow="1" w:lastRow="0" w:firstColumn="1" w:lastColumn="0" w:noHBand="0" w:noVBand="1"/>
      </w:tblPr>
      <w:tblGrid>
        <w:gridCol w:w="1650"/>
        <w:gridCol w:w="1559"/>
        <w:gridCol w:w="9355"/>
        <w:gridCol w:w="1686"/>
        <w:gridCol w:w="1291"/>
      </w:tblGrid>
      <w:tr w:rsidR="004B2930" w:rsidRPr="00170367" w:rsidTr="000F2453">
        <w:trPr>
          <w:trHeight w:val="449"/>
          <w:tblHeader/>
        </w:trPr>
        <w:tc>
          <w:tcPr>
            <w:tcW w:w="1650" w:type="dxa"/>
            <w:tcBorders>
              <w:top w:val="single" w:sz="2" w:space="0" w:color="000001"/>
              <w:left w:val="single" w:sz="2" w:space="0" w:color="000001"/>
              <w:bottom w:val="single" w:sz="2" w:space="0" w:color="000001"/>
            </w:tcBorders>
            <w:shd w:val="clear" w:color="auto" w:fill="E6E6E6"/>
            <w:vAlign w:val="center"/>
          </w:tcPr>
          <w:p w:rsidR="004B2930" w:rsidRPr="00170367" w:rsidRDefault="004E1353">
            <w:pPr>
              <w:spacing w:before="40" w:after="0"/>
              <w:rPr>
                <w:rFonts w:ascii="Arial" w:hAnsi="Arial" w:cs="Arial"/>
                <w:b/>
                <w:sz w:val="20"/>
                <w:szCs w:val="20"/>
              </w:rPr>
            </w:pPr>
            <w:r w:rsidRPr="00170367">
              <w:rPr>
                <w:rFonts w:ascii="Arial" w:hAnsi="Arial" w:cs="Arial"/>
                <w:b/>
                <w:sz w:val="20"/>
                <w:szCs w:val="20"/>
              </w:rPr>
              <w:t>Činnost</w:t>
            </w:r>
          </w:p>
        </w:tc>
        <w:tc>
          <w:tcPr>
            <w:tcW w:w="1559" w:type="dxa"/>
            <w:tcBorders>
              <w:top w:val="single" w:sz="2" w:space="0" w:color="000001"/>
              <w:left w:val="single" w:sz="2" w:space="0" w:color="000001"/>
              <w:bottom w:val="single" w:sz="2" w:space="0" w:color="000001"/>
            </w:tcBorders>
            <w:shd w:val="clear" w:color="auto" w:fill="E6E6E6"/>
            <w:vAlign w:val="center"/>
          </w:tcPr>
          <w:p w:rsidR="004B2930" w:rsidRPr="00170367" w:rsidRDefault="004E1353">
            <w:pPr>
              <w:spacing w:before="40" w:after="0"/>
              <w:rPr>
                <w:rFonts w:ascii="Arial" w:hAnsi="Arial" w:cs="Arial"/>
                <w:b/>
                <w:sz w:val="20"/>
                <w:szCs w:val="20"/>
              </w:rPr>
            </w:pPr>
            <w:r w:rsidRPr="00170367">
              <w:rPr>
                <w:rFonts w:ascii="Arial" w:hAnsi="Arial" w:cs="Arial"/>
                <w:b/>
                <w:sz w:val="20"/>
                <w:szCs w:val="20"/>
              </w:rPr>
              <w:t>Vstup</w:t>
            </w:r>
          </w:p>
        </w:tc>
        <w:tc>
          <w:tcPr>
            <w:tcW w:w="9355" w:type="dxa"/>
            <w:tcBorders>
              <w:top w:val="single" w:sz="2" w:space="0" w:color="000001"/>
              <w:left w:val="single" w:sz="2" w:space="0" w:color="000001"/>
              <w:bottom w:val="single" w:sz="2" w:space="0" w:color="000001"/>
            </w:tcBorders>
            <w:shd w:val="clear" w:color="auto" w:fill="E6E6E6"/>
            <w:vAlign w:val="center"/>
          </w:tcPr>
          <w:p w:rsidR="004B2930" w:rsidRPr="00170367" w:rsidRDefault="004E1353">
            <w:pPr>
              <w:spacing w:before="40" w:after="0"/>
              <w:rPr>
                <w:rFonts w:ascii="Arial" w:hAnsi="Arial" w:cs="Arial"/>
                <w:b/>
                <w:sz w:val="20"/>
                <w:szCs w:val="20"/>
              </w:rPr>
            </w:pPr>
            <w:r w:rsidRPr="00170367">
              <w:rPr>
                <w:rFonts w:ascii="Arial" w:hAnsi="Arial" w:cs="Arial"/>
                <w:b/>
                <w:sz w:val="20"/>
                <w:szCs w:val="20"/>
              </w:rPr>
              <w:t>Popis činnosti</w:t>
            </w:r>
          </w:p>
        </w:tc>
        <w:tc>
          <w:tcPr>
            <w:tcW w:w="1686" w:type="dxa"/>
            <w:tcBorders>
              <w:top w:val="single" w:sz="2" w:space="0" w:color="000001"/>
              <w:left w:val="single" w:sz="2" w:space="0" w:color="000001"/>
              <w:bottom w:val="single" w:sz="2" w:space="0" w:color="000001"/>
            </w:tcBorders>
            <w:shd w:val="clear" w:color="auto" w:fill="E6E6E6"/>
            <w:vAlign w:val="center"/>
          </w:tcPr>
          <w:p w:rsidR="004B2930" w:rsidRPr="00170367" w:rsidRDefault="004E1353">
            <w:pPr>
              <w:spacing w:before="40" w:after="0"/>
              <w:rPr>
                <w:rFonts w:ascii="Arial" w:hAnsi="Arial" w:cs="Arial"/>
                <w:b/>
                <w:sz w:val="20"/>
                <w:szCs w:val="20"/>
              </w:rPr>
            </w:pPr>
            <w:r w:rsidRPr="00170367">
              <w:rPr>
                <w:rFonts w:ascii="Arial" w:hAnsi="Arial" w:cs="Arial"/>
                <w:b/>
                <w:sz w:val="20"/>
                <w:szCs w:val="20"/>
              </w:rPr>
              <w:t>Výstup (</w:t>
            </w:r>
            <w:proofErr w:type="spellStart"/>
            <w:r w:rsidRPr="00170367">
              <w:rPr>
                <w:rFonts w:ascii="Arial" w:hAnsi="Arial" w:cs="Arial"/>
                <w:b/>
                <w:sz w:val="20"/>
                <w:szCs w:val="20"/>
              </w:rPr>
              <w:t>mezivýstup</w:t>
            </w:r>
            <w:proofErr w:type="spellEnd"/>
            <w:r w:rsidRPr="00170367">
              <w:rPr>
                <w:rFonts w:ascii="Arial" w:hAnsi="Arial" w:cs="Arial"/>
                <w:b/>
                <w:sz w:val="20"/>
                <w:szCs w:val="20"/>
              </w:rPr>
              <w:t>)</w:t>
            </w:r>
          </w:p>
        </w:tc>
        <w:tc>
          <w:tcPr>
            <w:tcW w:w="1291" w:type="dxa"/>
            <w:tcBorders>
              <w:top w:val="single" w:sz="2" w:space="0" w:color="000001"/>
              <w:left w:val="single" w:sz="2" w:space="0" w:color="000001"/>
              <w:bottom w:val="single" w:sz="2" w:space="0" w:color="000001"/>
              <w:right w:val="single" w:sz="2" w:space="0" w:color="000001"/>
            </w:tcBorders>
            <w:shd w:val="clear" w:color="auto" w:fill="E6E6E6"/>
            <w:vAlign w:val="center"/>
          </w:tcPr>
          <w:p w:rsidR="004B2930" w:rsidRPr="00170367" w:rsidRDefault="004E1353">
            <w:pPr>
              <w:spacing w:before="40" w:after="0"/>
              <w:rPr>
                <w:rFonts w:ascii="Arial" w:hAnsi="Arial" w:cs="Arial"/>
                <w:b/>
                <w:sz w:val="20"/>
                <w:szCs w:val="20"/>
              </w:rPr>
            </w:pPr>
            <w:r w:rsidRPr="00170367">
              <w:rPr>
                <w:rFonts w:ascii="Arial" w:hAnsi="Arial" w:cs="Arial"/>
                <w:b/>
                <w:sz w:val="20"/>
                <w:szCs w:val="20"/>
              </w:rPr>
              <w:t>Provádí</w:t>
            </w:r>
          </w:p>
        </w:tc>
      </w:tr>
      <w:tr w:rsidR="004B2930" w:rsidRPr="00170367" w:rsidTr="000F2453">
        <w:tc>
          <w:tcPr>
            <w:tcW w:w="1650"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1. Zažádán</w:t>
            </w:r>
            <w:r w:rsidR="000F2453">
              <w:rPr>
                <w:rFonts w:ascii="Arial" w:hAnsi="Arial" w:cs="Arial"/>
                <w:sz w:val="20"/>
                <w:szCs w:val="20"/>
              </w:rPr>
              <w:t>í o </w:t>
            </w:r>
            <w:r w:rsidRPr="00170367">
              <w:rPr>
                <w:rFonts w:ascii="Arial" w:hAnsi="Arial" w:cs="Arial"/>
                <w:sz w:val="20"/>
                <w:szCs w:val="20"/>
              </w:rPr>
              <w:t xml:space="preserve">cestu </w:t>
            </w:r>
          </w:p>
        </w:tc>
        <w:tc>
          <w:tcPr>
            <w:tcW w:w="1559"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záměr vycestovat</w:t>
            </w:r>
          </w:p>
        </w:tc>
        <w:tc>
          <w:tcPr>
            <w:tcW w:w="9355"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Zaměstnanec, který je vyslán na pracovní cestu, provede v aplikaci zápis cestovního příkazu, do kterého zaznamená údaje známé před vycestováním a potřebné pro schválení pracovní cesty. Údaje zahrnují:</w:t>
            </w:r>
          </w:p>
          <w:p w:rsidR="004B2930" w:rsidRPr="00170367" w:rsidRDefault="004E1353">
            <w:pPr>
              <w:numPr>
                <w:ilvl w:val="0"/>
                <w:numId w:val="4"/>
              </w:numPr>
              <w:tabs>
                <w:tab w:val="clear" w:pos="720"/>
                <w:tab w:val="left" w:pos="351"/>
              </w:tabs>
              <w:spacing w:after="0"/>
              <w:ind w:left="351" w:hanging="221"/>
              <w:rPr>
                <w:rFonts w:ascii="Arial" w:hAnsi="Arial" w:cs="Arial"/>
              </w:rPr>
            </w:pPr>
            <w:r w:rsidRPr="00170367">
              <w:rPr>
                <w:rFonts w:ascii="Arial" w:hAnsi="Arial" w:cs="Arial"/>
                <w:sz w:val="20"/>
                <w:szCs w:val="20"/>
              </w:rPr>
              <w:t>místo výkonu pracovní cesty;</w:t>
            </w:r>
          </w:p>
          <w:p w:rsidR="004B2930" w:rsidRPr="00170367" w:rsidRDefault="004E1353">
            <w:pPr>
              <w:numPr>
                <w:ilvl w:val="0"/>
                <w:numId w:val="4"/>
              </w:numPr>
              <w:tabs>
                <w:tab w:val="clear" w:pos="720"/>
                <w:tab w:val="left" w:pos="351"/>
              </w:tabs>
              <w:spacing w:after="0"/>
              <w:ind w:left="351" w:hanging="221"/>
              <w:rPr>
                <w:rFonts w:ascii="Arial" w:hAnsi="Arial" w:cs="Arial"/>
              </w:rPr>
            </w:pPr>
            <w:r w:rsidRPr="00170367">
              <w:rPr>
                <w:rFonts w:ascii="Arial" w:hAnsi="Arial" w:cs="Arial"/>
                <w:sz w:val="20"/>
                <w:szCs w:val="20"/>
              </w:rPr>
              <w:t>dobu a místo nástupu pracovní cesty;</w:t>
            </w:r>
          </w:p>
          <w:p w:rsidR="004B2930" w:rsidRPr="00170367" w:rsidRDefault="004E1353">
            <w:pPr>
              <w:numPr>
                <w:ilvl w:val="0"/>
                <w:numId w:val="4"/>
              </w:numPr>
              <w:tabs>
                <w:tab w:val="clear" w:pos="720"/>
                <w:tab w:val="left" w:pos="351"/>
              </w:tabs>
              <w:spacing w:after="0"/>
              <w:ind w:left="351" w:hanging="221"/>
              <w:rPr>
                <w:rFonts w:ascii="Arial" w:hAnsi="Arial" w:cs="Arial"/>
              </w:rPr>
            </w:pPr>
            <w:r w:rsidRPr="00170367">
              <w:rPr>
                <w:rFonts w:ascii="Arial" w:hAnsi="Arial" w:cs="Arial"/>
                <w:sz w:val="20"/>
                <w:szCs w:val="20"/>
              </w:rPr>
              <w:t>dobu a místo ukončení pracovní cesty;</w:t>
            </w:r>
          </w:p>
          <w:p w:rsidR="004B2930" w:rsidRPr="00170367" w:rsidRDefault="004E1353">
            <w:pPr>
              <w:numPr>
                <w:ilvl w:val="0"/>
                <w:numId w:val="4"/>
              </w:numPr>
              <w:tabs>
                <w:tab w:val="clear" w:pos="720"/>
                <w:tab w:val="left" w:pos="351"/>
              </w:tabs>
              <w:spacing w:after="0"/>
              <w:ind w:left="351" w:hanging="221"/>
              <w:rPr>
                <w:rFonts w:ascii="Arial" w:hAnsi="Arial" w:cs="Arial"/>
              </w:rPr>
            </w:pPr>
            <w:r w:rsidRPr="00170367">
              <w:rPr>
                <w:rFonts w:ascii="Arial" w:hAnsi="Arial" w:cs="Arial"/>
                <w:sz w:val="20"/>
                <w:szCs w:val="20"/>
              </w:rPr>
              <w:t>způsob dopravy;</w:t>
            </w:r>
          </w:p>
          <w:p w:rsidR="004B2930" w:rsidRPr="00170367" w:rsidRDefault="004E1353">
            <w:pPr>
              <w:numPr>
                <w:ilvl w:val="0"/>
                <w:numId w:val="4"/>
              </w:numPr>
              <w:tabs>
                <w:tab w:val="clear" w:pos="720"/>
                <w:tab w:val="left" w:pos="351"/>
              </w:tabs>
              <w:spacing w:after="0"/>
              <w:ind w:left="351" w:hanging="221"/>
              <w:rPr>
                <w:rFonts w:ascii="Arial" w:hAnsi="Arial" w:cs="Arial"/>
              </w:rPr>
            </w:pPr>
            <w:r w:rsidRPr="00170367">
              <w:rPr>
                <w:rFonts w:ascii="Arial" w:hAnsi="Arial" w:cs="Arial"/>
                <w:sz w:val="20"/>
                <w:szCs w:val="20"/>
              </w:rPr>
              <w:t>způsob ubytování;</w:t>
            </w:r>
          </w:p>
          <w:p w:rsidR="004B2930" w:rsidRPr="00170367" w:rsidRDefault="004E1353">
            <w:pPr>
              <w:numPr>
                <w:ilvl w:val="0"/>
                <w:numId w:val="4"/>
              </w:numPr>
              <w:tabs>
                <w:tab w:val="clear" w:pos="720"/>
                <w:tab w:val="left" w:pos="351"/>
              </w:tabs>
              <w:spacing w:after="0"/>
              <w:ind w:left="351" w:hanging="221"/>
              <w:rPr>
                <w:rFonts w:ascii="Arial" w:hAnsi="Arial" w:cs="Arial"/>
              </w:rPr>
            </w:pPr>
            <w:r w:rsidRPr="00170367">
              <w:rPr>
                <w:rFonts w:ascii="Arial" w:hAnsi="Arial" w:cs="Arial"/>
                <w:sz w:val="20"/>
                <w:szCs w:val="20"/>
              </w:rPr>
              <w:t>žádost o poskytnutí zálohy, její výši a měnu/měny;</w:t>
            </w:r>
          </w:p>
          <w:p w:rsidR="004B2930" w:rsidRPr="00170367" w:rsidRDefault="004E1353">
            <w:pPr>
              <w:numPr>
                <w:ilvl w:val="0"/>
                <w:numId w:val="4"/>
              </w:numPr>
              <w:tabs>
                <w:tab w:val="clear" w:pos="720"/>
                <w:tab w:val="left" w:pos="351"/>
              </w:tabs>
              <w:spacing w:after="0"/>
              <w:ind w:left="351" w:hanging="221"/>
              <w:rPr>
                <w:rFonts w:ascii="Arial" w:hAnsi="Arial" w:cs="Arial"/>
              </w:rPr>
            </w:pPr>
            <w:r w:rsidRPr="00170367">
              <w:rPr>
                <w:rFonts w:ascii="Arial" w:hAnsi="Arial" w:cs="Arial"/>
                <w:sz w:val="20"/>
                <w:szCs w:val="20"/>
              </w:rPr>
              <w:t>žádost o poskytnutí kapesného a jeho výši;</w:t>
            </w:r>
          </w:p>
          <w:p w:rsidR="004B2930" w:rsidRPr="00170367" w:rsidRDefault="004E1353">
            <w:pPr>
              <w:numPr>
                <w:ilvl w:val="0"/>
                <w:numId w:val="4"/>
              </w:numPr>
              <w:tabs>
                <w:tab w:val="clear" w:pos="720"/>
                <w:tab w:val="left" w:pos="351"/>
              </w:tabs>
              <w:spacing w:after="0"/>
              <w:ind w:left="351" w:hanging="221"/>
              <w:rPr>
                <w:rFonts w:ascii="Arial" w:hAnsi="Arial" w:cs="Arial"/>
              </w:rPr>
            </w:pPr>
            <w:r w:rsidRPr="00170367">
              <w:rPr>
                <w:rFonts w:ascii="Arial" w:hAnsi="Arial" w:cs="Arial"/>
                <w:sz w:val="20"/>
                <w:szCs w:val="20"/>
              </w:rPr>
              <w:t>zdroje krytí cesty a podíly, v jakých se na úhradě nákladů budou podílet.</w:t>
            </w:r>
          </w:p>
          <w:p w:rsidR="004B2930" w:rsidRPr="00170367" w:rsidRDefault="004E1353">
            <w:pPr>
              <w:spacing w:before="40" w:after="0"/>
              <w:rPr>
                <w:rFonts w:ascii="Arial" w:hAnsi="Arial" w:cs="Arial"/>
              </w:rPr>
            </w:pPr>
            <w:r w:rsidRPr="00170367">
              <w:rPr>
                <w:rFonts w:ascii="Arial" w:hAnsi="Arial" w:cs="Arial"/>
                <w:sz w:val="20"/>
                <w:szCs w:val="20"/>
              </w:rPr>
              <w:t xml:space="preserve">Zaměstnanec postoupí vyplněný cestovní příkaz ke schválení </w:t>
            </w:r>
            <w:r w:rsidRPr="00170367">
              <w:rPr>
                <w:rFonts w:ascii="Arial" w:hAnsi="Arial" w:cs="Arial"/>
                <w:b/>
                <w:sz w:val="20"/>
                <w:szCs w:val="20"/>
              </w:rPr>
              <w:t>příkazci</w:t>
            </w:r>
            <w:r w:rsidRPr="00170367">
              <w:rPr>
                <w:rFonts w:ascii="Arial" w:hAnsi="Arial" w:cs="Arial"/>
                <w:sz w:val="20"/>
                <w:szCs w:val="20"/>
              </w:rPr>
              <w:t xml:space="preserve"> </w:t>
            </w:r>
            <w:r w:rsidRPr="00170367">
              <w:rPr>
                <w:rFonts w:ascii="Arial" w:hAnsi="Arial" w:cs="Arial"/>
                <w:b/>
                <w:bCs/>
                <w:sz w:val="20"/>
                <w:szCs w:val="20"/>
              </w:rPr>
              <w:t>podle zdroje krytí</w:t>
            </w:r>
            <w:r w:rsidRPr="00170367">
              <w:rPr>
                <w:rFonts w:ascii="Arial" w:hAnsi="Arial" w:cs="Arial"/>
                <w:sz w:val="20"/>
                <w:szCs w:val="20"/>
              </w:rPr>
              <w:t xml:space="preserve">. </w:t>
            </w:r>
          </w:p>
          <w:p w:rsidR="004B2930" w:rsidRPr="00170367" w:rsidRDefault="004E1353">
            <w:pPr>
              <w:spacing w:before="40" w:after="0"/>
              <w:rPr>
                <w:rFonts w:ascii="Arial" w:hAnsi="Arial" w:cs="Arial"/>
              </w:rPr>
            </w:pPr>
            <w:r w:rsidRPr="00170367">
              <w:rPr>
                <w:rFonts w:ascii="Arial" w:hAnsi="Arial" w:cs="Arial"/>
                <w:sz w:val="20"/>
                <w:szCs w:val="20"/>
              </w:rPr>
              <w:t xml:space="preserve">Pozn.: Schvalování příkazcem je ve všech případech určeno podle zdroje krytí. </w:t>
            </w:r>
          </w:p>
        </w:tc>
        <w:tc>
          <w:tcPr>
            <w:tcW w:w="1686"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cestovní příkaz (ke schválení)</w:t>
            </w:r>
          </w:p>
        </w:tc>
        <w:tc>
          <w:tcPr>
            <w:tcW w:w="1291" w:type="dxa"/>
            <w:tcBorders>
              <w:top w:val="single" w:sz="2" w:space="0" w:color="000001"/>
              <w:left w:val="single" w:sz="2" w:space="0" w:color="000001"/>
              <w:bottom w:val="single" w:sz="2" w:space="0" w:color="000001"/>
              <w:right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zaměstnanec</w:t>
            </w:r>
          </w:p>
        </w:tc>
      </w:tr>
      <w:tr w:rsidR="004B2930" w:rsidRPr="00170367" w:rsidTr="000F2453">
        <w:tc>
          <w:tcPr>
            <w:tcW w:w="1650"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2. Schválení cesty příkazcem</w:t>
            </w:r>
          </w:p>
        </w:tc>
        <w:tc>
          <w:tcPr>
            <w:tcW w:w="1559"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cestovní příkaz (ke schválení)</w:t>
            </w:r>
          </w:p>
        </w:tc>
        <w:tc>
          <w:tcPr>
            <w:tcW w:w="9355"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Příkazce (nadřízený zaměstnance / řešitel grantu) posoudí konkrétní pracovní cestu a s přihlédnutím k</w:t>
            </w:r>
            <w:r w:rsidR="000F2453">
              <w:rPr>
                <w:rFonts w:ascii="Arial" w:hAnsi="Arial" w:cs="Arial"/>
                <w:sz w:val="20"/>
                <w:szCs w:val="20"/>
              </w:rPr>
              <w:t> </w:t>
            </w:r>
            <w:r w:rsidRPr="00170367">
              <w:rPr>
                <w:rFonts w:ascii="Arial" w:hAnsi="Arial" w:cs="Arial"/>
                <w:sz w:val="20"/>
                <w:szCs w:val="20"/>
              </w:rPr>
              <w:t xml:space="preserve">oprávněným zájmům zaměstnance cestovní příkaz schválí. </w:t>
            </w:r>
          </w:p>
          <w:p w:rsidR="004B2930" w:rsidRPr="00170367" w:rsidRDefault="004E1353">
            <w:pPr>
              <w:numPr>
                <w:ilvl w:val="0"/>
                <w:numId w:val="5"/>
              </w:numPr>
              <w:tabs>
                <w:tab w:val="clear" w:pos="720"/>
                <w:tab w:val="left" w:pos="351"/>
              </w:tabs>
              <w:spacing w:after="0"/>
              <w:ind w:left="351" w:hanging="221"/>
              <w:rPr>
                <w:rFonts w:ascii="Arial" w:hAnsi="Arial" w:cs="Arial"/>
              </w:rPr>
            </w:pPr>
            <w:r w:rsidRPr="00170367">
              <w:rPr>
                <w:rFonts w:ascii="Arial" w:hAnsi="Arial" w:cs="Arial"/>
                <w:sz w:val="20"/>
                <w:szCs w:val="20"/>
              </w:rPr>
              <w:t>Nadřízený zaměstnance (popř. ředitel nebo jeho zástupce – dle individuálního nastavení v daném ústavu) schvaluje tuzemské i zahraniční pracovní cesty v případě, že náklady nebo jejich část mají být hrazeny z režie ústavu a vysílaný pracovník není ředitel.</w:t>
            </w:r>
          </w:p>
          <w:p w:rsidR="004B2930" w:rsidRPr="00170367" w:rsidRDefault="004E1353">
            <w:pPr>
              <w:numPr>
                <w:ilvl w:val="0"/>
                <w:numId w:val="5"/>
              </w:numPr>
              <w:tabs>
                <w:tab w:val="clear" w:pos="720"/>
                <w:tab w:val="left" w:pos="351"/>
              </w:tabs>
              <w:spacing w:after="0"/>
              <w:ind w:left="351" w:hanging="221"/>
              <w:rPr>
                <w:rFonts w:ascii="Arial" w:hAnsi="Arial" w:cs="Arial"/>
              </w:rPr>
            </w:pPr>
            <w:r w:rsidRPr="00170367">
              <w:rPr>
                <w:rFonts w:ascii="Arial" w:hAnsi="Arial" w:cs="Arial"/>
                <w:sz w:val="20"/>
                <w:szCs w:val="20"/>
              </w:rPr>
              <w:t>Řešitel grantu schvaluje tuzemské i zahraniční pracovní cesty v případě, že náklady nebo jejich část mají být hrazeny z grantu.</w:t>
            </w:r>
          </w:p>
          <w:p w:rsidR="004B2930" w:rsidRPr="00170367" w:rsidRDefault="004E1353">
            <w:pPr>
              <w:numPr>
                <w:ilvl w:val="0"/>
                <w:numId w:val="5"/>
              </w:numPr>
              <w:tabs>
                <w:tab w:val="clear" w:pos="720"/>
                <w:tab w:val="left" w:pos="351"/>
              </w:tabs>
              <w:spacing w:after="0"/>
              <w:ind w:left="351" w:hanging="221"/>
              <w:rPr>
                <w:rFonts w:ascii="Arial" w:hAnsi="Arial" w:cs="Arial"/>
              </w:rPr>
            </w:pPr>
            <w:r w:rsidRPr="00170367">
              <w:rPr>
                <w:rFonts w:ascii="Arial" w:hAnsi="Arial" w:cs="Arial"/>
                <w:sz w:val="20"/>
                <w:szCs w:val="20"/>
              </w:rPr>
              <w:t>Žádá-li o pracovní cestu ředitel a náklady nebo jejich část mají být hrazeny z režie ústavu, schvaluje stanovená osoba (vědecký tajemník, zástupce ředitele).</w:t>
            </w:r>
          </w:p>
          <w:p w:rsidR="004B2930" w:rsidRPr="00170367" w:rsidRDefault="004E1353">
            <w:pPr>
              <w:numPr>
                <w:ilvl w:val="0"/>
                <w:numId w:val="5"/>
              </w:numPr>
              <w:tabs>
                <w:tab w:val="clear" w:pos="720"/>
                <w:tab w:val="left" w:pos="351"/>
              </w:tabs>
              <w:spacing w:after="0"/>
              <w:ind w:left="351" w:hanging="221"/>
              <w:rPr>
                <w:rFonts w:ascii="Arial" w:hAnsi="Arial" w:cs="Arial"/>
              </w:rPr>
            </w:pPr>
            <w:r w:rsidRPr="00170367">
              <w:rPr>
                <w:rFonts w:ascii="Arial" w:hAnsi="Arial" w:cs="Arial"/>
                <w:sz w:val="20"/>
                <w:szCs w:val="20"/>
              </w:rPr>
              <w:t>V případě nepřítomnosti schvalovatele uvedeného v předchozích třech odrážkách schvaluje pracovní cestu jeho zástupce, případně ředitel nebo jeho zástupce.</w:t>
            </w:r>
          </w:p>
          <w:p w:rsidR="004B2930" w:rsidRPr="00170367" w:rsidRDefault="004E1353">
            <w:pPr>
              <w:numPr>
                <w:ilvl w:val="0"/>
                <w:numId w:val="5"/>
              </w:numPr>
              <w:tabs>
                <w:tab w:val="clear" w:pos="720"/>
                <w:tab w:val="left" w:pos="351"/>
              </w:tabs>
              <w:spacing w:after="0"/>
              <w:ind w:left="351" w:hanging="221"/>
              <w:rPr>
                <w:rFonts w:ascii="Arial" w:hAnsi="Arial" w:cs="Arial"/>
              </w:rPr>
            </w:pPr>
            <w:r w:rsidRPr="00170367">
              <w:rPr>
                <w:rFonts w:ascii="Arial" w:hAnsi="Arial" w:cs="Arial"/>
                <w:sz w:val="20"/>
                <w:szCs w:val="20"/>
              </w:rPr>
              <w:t>Příkazců může být víc podle toho, jaké zdroje se budou podílet na úhradě cestovních nákladů.</w:t>
            </w:r>
          </w:p>
          <w:p w:rsidR="004B2930" w:rsidRPr="00170367" w:rsidRDefault="004E1353">
            <w:pPr>
              <w:spacing w:before="40" w:after="0"/>
              <w:rPr>
                <w:rFonts w:ascii="Arial" w:hAnsi="Arial" w:cs="Arial"/>
              </w:rPr>
            </w:pPr>
            <w:r w:rsidRPr="00170367">
              <w:rPr>
                <w:rFonts w:ascii="Arial" w:hAnsi="Arial" w:cs="Arial"/>
                <w:sz w:val="20"/>
                <w:szCs w:val="20"/>
              </w:rPr>
              <w:t xml:space="preserve">V případě, že některý z příslušných příkazců cestovní příkaz neschválí, je cesta zaměstnanci zamítnuta. </w:t>
            </w:r>
          </w:p>
          <w:p w:rsidR="004B2930" w:rsidRPr="00170367" w:rsidRDefault="004E1353">
            <w:pPr>
              <w:spacing w:before="40" w:after="0"/>
              <w:rPr>
                <w:rFonts w:ascii="Arial" w:hAnsi="Arial" w:cs="Arial"/>
              </w:rPr>
            </w:pPr>
            <w:r w:rsidRPr="00170367">
              <w:rPr>
                <w:rFonts w:ascii="Arial" w:hAnsi="Arial" w:cs="Arial"/>
                <w:i/>
                <w:sz w:val="20"/>
                <w:szCs w:val="20"/>
              </w:rPr>
              <w:t>Notifikace: V případě zamítnutí cesty zaslání notifikace zaměstnanci a všem příkazcům.</w:t>
            </w:r>
          </w:p>
        </w:tc>
        <w:tc>
          <w:tcPr>
            <w:tcW w:w="1686"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cestovní příkaz (schválený příkazcem)</w:t>
            </w:r>
          </w:p>
        </w:tc>
        <w:tc>
          <w:tcPr>
            <w:tcW w:w="1291" w:type="dxa"/>
            <w:tcBorders>
              <w:top w:val="single" w:sz="2" w:space="0" w:color="000001"/>
              <w:left w:val="single" w:sz="2" w:space="0" w:color="000001"/>
              <w:bottom w:val="single" w:sz="2" w:space="0" w:color="000001"/>
              <w:right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příkazce</w:t>
            </w:r>
          </w:p>
        </w:tc>
      </w:tr>
      <w:tr w:rsidR="004B2930" w:rsidRPr="00170367" w:rsidTr="000F2453">
        <w:tc>
          <w:tcPr>
            <w:tcW w:w="1650"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3. Schválení cesty správcem</w:t>
            </w:r>
          </w:p>
        </w:tc>
        <w:tc>
          <w:tcPr>
            <w:tcW w:w="1559"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cestovní příkaz (schválený příkazcem)</w:t>
            </w:r>
          </w:p>
        </w:tc>
        <w:tc>
          <w:tcPr>
            <w:tcW w:w="9355"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Správce rozpočtu provede schválení cestovního příkazu z hlediska oprávněnosti čerpání finančních prostředků na cestu ze zdrojů uvedených zaměstnancem.</w:t>
            </w:r>
          </w:p>
          <w:p w:rsidR="004B2930" w:rsidRPr="00170367" w:rsidRDefault="004E1353">
            <w:pPr>
              <w:spacing w:before="40" w:after="0"/>
              <w:rPr>
                <w:rFonts w:ascii="Arial" w:hAnsi="Arial" w:cs="Arial"/>
              </w:rPr>
            </w:pPr>
            <w:r w:rsidRPr="00170367">
              <w:rPr>
                <w:rFonts w:ascii="Arial" w:hAnsi="Arial" w:cs="Arial"/>
                <w:i/>
                <w:sz w:val="20"/>
                <w:szCs w:val="20"/>
              </w:rPr>
              <w:t>Notifikace: Zaměstnanci o možnosti vycestovat.</w:t>
            </w:r>
          </w:p>
          <w:p w:rsidR="004B2930" w:rsidRPr="00170367" w:rsidRDefault="004E1353">
            <w:pPr>
              <w:spacing w:before="40" w:after="0"/>
              <w:rPr>
                <w:rFonts w:ascii="Arial" w:hAnsi="Arial" w:cs="Arial"/>
              </w:rPr>
            </w:pPr>
            <w:r w:rsidRPr="00170367">
              <w:rPr>
                <w:rFonts w:ascii="Arial" w:hAnsi="Arial" w:cs="Arial"/>
                <w:sz w:val="20"/>
                <w:szCs w:val="20"/>
              </w:rPr>
              <w:t>V případě, že správce cestovní příkaz neschválí, je vrácen cestovní přík</w:t>
            </w:r>
            <w:r w:rsidR="000F2453">
              <w:rPr>
                <w:rFonts w:ascii="Arial" w:hAnsi="Arial" w:cs="Arial"/>
                <w:sz w:val="20"/>
                <w:szCs w:val="20"/>
              </w:rPr>
              <w:t>az zpět na příkazce do kroku 2. </w:t>
            </w:r>
            <w:r w:rsidRPr="00170367">
              <w:rPr>
                <w:rFonts w:ascii="Arial" w:hAnsi="Arial" w:cs="Arial"/>
                <w:i/>
                <w:iCs/>
                <w:sz w:val="20"/>
                <w:szCs w:val="20"/>
              </w:rPr>
              <w:t>Schválení cesty příkazcem</w:t>
            </w:r>
            <w:r w:rsidRPr="00170367">
              <w:rPr>
                <w:rFonts w:ascii="Arial" w:hAnsi="Arial" w:cs="Arial"/>
                <w:sz w:val="20"/>
                <w:szCs w:val="20"/>
              </w:rPr>
              <w:t>.</w:t>
            </w:r>
          </w:p>
        </w:tc>
        <w:tc>
          <w:tcPr>
            <w:tcW w:w="1686"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cestovní příkaz (schválený správcem)</w:t>
            </w:r>
          </w:p>
        </w:tc>
        <w:tc>
          <w:tcPr>
            <w:tcW w:w="1291" w:type="dxa"/>
            <w:tcBorders>
              <w:top w:val="single" w:sz="2" w:space="0" w:color="000001"/>
              <w:left w:val="single" w:sz="2" w:space="0" w:color="000001"/>
              <w:bottom w:val="single" w:sz="2" w:space="0" w:color="000001"/>
              <w:right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správce</w:t>
            </w:r>
          </w:p>
        </w:tc>
      </w:tr>
      <w:tr w:rsidR="004B2930" w:rsidRPr="00170367" w:rsidTr="000F2453">
        <w:tc>
          <w:tcPr>
            <w:tcW w:w="1650"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4. Vyplacení zálohy</w:t>
            </w:r>
          </w:p>
        </w:tc>
        <w:tc>
          <w:tcPr>
            <w:tcW w:w="1559"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žádost o poskytnutí zálohy (součást cestovního příkazu)</w:t>
            </w:r>
          </w:p>
          <w:p w:rsidR="004B2930" w:rsidRPr="00170367" w:rsidRDefault="004E1353">
            <w:pPr>
              <w:spacing w:before="40" w:after="0"/>
              <w:rPr>
                <w:rFonts w:ascii="Arial" w:hAnsi="Arial" w:cs="Arial"/>
              </w:rPr>
            </w:pPr>
            <w:r w:rsidRPr="00170367">
              <w:rPr>
                <w:rFonts w:ascii="Arial" w:hAnsi="Arial" w:cs="Arial"/>
                <w:sz w:val="20"/>
              </w:rPr>
              <w:t>cestovní příkaz (schválený správcem)</w:t>
            </w:r>
          </w:p>
        </w:tc>
        <w:tc>
          <w:tcPr>
            <w:tcW w:w="9355"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V případě schválené žádosti o poskytnutí zálohy na zahraniční cestu se vygeneruje zálohový list a pokladní v ekonomickém oddělení vyplatí zaměstnanci zálohu ve schválené výši a měně.</w:t>
            </w:r>
          </w:p>
          <w:p w:rsidR="004B2930" w:rsidRPr="00170367" w:rsidRDefault="004E1353">
            <w:pPr>
              <w:spacing w:before="40" w:after="0"/>
              <w:rPr>
                <w:rFonts w:ascii="Arial" w:hAnsi="Arial" w:cs="Arial"/>
              </w:rPr>
            </w:pPr>
            <w:r w:rsidRPr="00170367">
              <w:rPr>
                <w:rFonts w:ascii="Arial" w:hAnsi="Arial" w:cs="Arial"/>
                <w:i/>
                <w:sz w:val="20"/>
                <w:szCs w:val="20"/>
              </w:rPr>
              <w:t>Notifikace: Zaměstnanec je vyzván pokladním k vyzvednutí zálohy.</w:t>
            </w:r>
          </w:p>
        </w:tc>
        <w:tc>
          <w:tcPr>
            <w:tcW w:w="1686"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vyplacená záloha</w:t>
            </w:r>
          </w:p>
        </w:tc>
        <w:tc>
          <w:tcPr>
            <w:tcW w:w="1291" w:type="dxa"/>
            <w:tcBorders>
              <w:top w:val="single" w:sz="2" w:space="0" w:color="000001"/>
              <w:left w:val="single" w:sz="2" w:space="0" w:color="000001"/>
              <w:bottom w:val="single" w:sz="2" w:space="0" w:color="000001"/>
              <w:right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pokladní</w:t>
            </w:r>
          </w:p>
        </w:tc>
      </w:tr>
      <w:tr w:rsidR="004B2930" w:rsidRPr="00170367" w:rsidTr="000F2453">
        <w:tc>
          <w:tcPr>
            <w:tcW w:w="1650" w:type="dxa"/>
            <w:tcBorders>
              <w:top w:val="single" w:sz="2" w:space="0" w:color="000001"/>
              <w:left w:val="single" w:sz="2" w:space="0" w:color="000001"/>
              <w:bottom w:val="single" w:sz="2" w:space="0" w:color="000001"/>
            </w:tcBorders>
            <w:shd w:val="clear" w:color="auto" w:fill="E6E6FF"/>
          </w:tcPr>
          <w:p w:rsidR="004B2930" w:rsidRPr="00170367" w:rsidRDefault="004E1353">
            <w:pPr>
              <w:spacing w:before="40" w:after="0"/>
              <w:rPr>
                <w:rFonts w:ascii="Arial" w:hAnsi="Arial" w:cs="Arial"/>
              </w:rPr>
            </w:pPr>
            <w:r w:rsidRPr="00170367">
              <w:rPr>
                <w:rFonts w:ascii="Arial" w:hAnsi="Arial" w:cs="Arial"/>
                <w:sz w:val="20"/>
                <w:szCs w:val="20"/>
              </w:rPr>
              <w:t>Uskutečnění / zrušení cesty</w:t>
            </w:r>
          </w:p>
        </w:tc>
        <w:tc>
          <w:tcPr>
            <w:tcW w:w="1559" w:type="dxa"/>
            <w:tcBorders>
              <w:top w:val="single" w:sz="2" w:space="0" w:color="000001"/>
              <w:left w:val="single" w:sz="2" w:space="0" w:color="000001"/>
              <w:bottom w:val="single" w:sz="2" w:space="0" w:color="000001"/>
            </w:tcBorders>
            <w:shd w:val="clear" w:color="auto" w:fill="E6E6FF"/>
          </w:tcPr>
          <w:p w:rsidR="004B2930" w:rsidRPr="00170367" w:rsidRDefault="004E1353">
            <w:pPr>
              <w:spacing w:before="40" w:after="0"/>
              <w:rPr>
                <w:rFonts w:ascii="Arial" w:hAnsi="Arial" w:cs="Arial"/>
              </w:rPr>
            </w:pPr>
            <w:r w:rsidRPr="00170367">
              <w:rPr>
                <w:rFonts w:ascii="Arial" w:hAnsi="Arial" w:cs="Arial"/>
                <w:sz w:val="20"/>
                <w:szCs w:val="20"/>
              </w:rPr>
              <w:t>cestovní příkaz (schválený správcem)</w:t>
            </w:r>
          </w:p>
        </w:tc>
        <w:tc>
          <w:tcPr>
            <w:tcW w:w="9355" w:type="dxa"/>
            <w:tcBorders>
              <w:top w:val="single" w:sz="2" w:space="0" w:color="000001"/>
              <w:left w:val="single" w:sz="2" w:space="0" w:color="000001"/>
              <w:bottom w:val="single" w:sz="2" w:space="0" w:color="000001"/>
            </w:tcBorders>
            <w:shd w:val="clear" w:color="auto" w:fill="E6E6FF"/>
          </w:tcPr>
          <w:p w:rsidR="004B2930" w:rsidRPr="00170367" w:rsidRDefault="004E1353">
            <w:pPr>
              <w:spacing w:before="40" w:after="0"/>
              <w:rPr>
                <w:rFonts w:ascii="Arial" w:hAnsi="Arial" w:cs="Arial"/>
              </w:rPr>
            </w:pPr>
            <w:r w:rsidRPr="00170367">
              <w:rPr>
                <w:rFonts w:ascii="Arial" w:hAnsi="Arial" w:cs="Arial"/>
                <w:sz w:val="20"/>
                <w:szCs w:val="20"/>
              </w:rPr>
              <w:t>Na základě schváleného cestovního příkazu zaměstnanec uskuteční pracovní cestu.</w:t>
            </w:r>
          </w:p>
          <w:p w:rsidR="004B2930" w:rsidRPr="00170367" w:rsidRDefault="004E1353">
            <w:pPr>
              <w:spacing w:before="40" w:after="0"/>
              <w:rPr>
                <w:rFonts w:ascii="Arial" w:hAnsi="Arial" w:cs="Arial"/>
              </w:rPr>
            </w:pPr>
            <w:r w:rsidRPr="00170367">
              <w:rPr>
                <w:rFonts w:ascii="Arial" w:hAnsi="Arial" w:cs="Arial"/>
                <w:sz w:val="20"/>
                <w:szCs w:val="20"/>
              </w:rPr>
              <w:t xml:space="preserve">V případě, že se cesta neuskuteční, zaznamená to zaměstnanec v cestovním příkazu s uvedením důvodu (v kroku 5. </w:t>
            </w:r>
            <w:r w:rsidRPr="00170367">
              <w:rPr>
                <w:rFonts w:ascii="Arial" w:hAnsi="Arial" w:cs="Arial"/>
                <w:i/>
                <w:iCs/>
                <w:sz w:val="20"/>
                <w:szCs w:val="20"/>
              </w:rPr>
              <w:t>Zadání vyúčtování</w:t>
            </w:r>
            <w:r w:rsidRPr="00170367">
              <w:rPr>
                <w:rFonts w:ascii="Arial" w:hAnsi="Arial" w:cs="Arial"/>
                <w:sz w:val="20"/>
                <w:szCs w:val="20"/>
              </w:rPr>
              <w:t xml:space="preserve">). </w:t>
            </w:r>
          </w:p>
        </w:tc>
        <w:tc>
          <w:tcPr>
            <w:tcW w:w="1686" w:type="dxa"/>
            <w:tcBorders>
              <w:top w:val="single" w:sz="2" w:space="0" w:color="000001"/>
              <w:left w:val="single" w:sz="2" w:space="0" w:color="000001"/>
              <w:bottom w:val="single" w:sz="2" w:space="0" w:color="000001"/>
            </w:tcBorders>
            <w:shd w:val="clear" w:color="auto" w:fill="E6E6FF"/>
          </w:tcPr>
          <w:p w:rsidR="004B2930" w:rsidRPr="00170367" w:rsidRDefault="004E1353">
            <w:pPr>
              <w:spacing w:before="40" w:after="0"/>
              <w:rPr>
                <w:rFonts w:ascii="Arial" w:hAnsi="Arial" w:cs="Arial"/>
              </w:rPr>
            </w:pPr>
            <w:r w:rsidRPr="00170367">
              <w:rPr>
                <w:rFonts w:ascii="Arial" w:hAnsi="Arial" w:cs="Arial"/>
                <w:sz w:val="20"/>
              </w:rPr>
              <w:t>doklady k vyúčtování cesty (listinné)</w:t>
            </w:r>
          </w:p>
        </w:tc>
        <w:tc>
          <w:tcPr>
            <w:tcW w:w="1291" w:type="dxa"/>
            <w:tcBorders>
              <w:top w:val="single" w:sz="2" w:space="0" w:color="000001"/>
              <w:left w:val="single" w:sz="2" w:space="0" w:color="000001"/>
              <w:bottom w:val="single" w:sz="2" w:space="0" w:color="000001"/>
              <w:right w:val="single" w:sz="2" w:space="0" w:color="000001"/>
            </w:tcBorders>
            <w:shd w:val="clear" w:color="auto" w:fill="E6E6FF"/>
          </w:tcPr>
          <w:p w:rsidR="004B2930" w:rsidRPr="00170367" w:rsidRDefault="004E1353">
            <w:pPr>
              <w:spacing w:before="40" w:after="0"/>
              <w:rPr>
                <w:rFonts w:ascii="Arial" w:hAnsi="Arial" w:cs="Arial"/>
              </w:rPr>
            </w:pPr>
            <w:r w:rsidRPr="00170367">
              <w:rPr>
                <w:rFonts w:ascii="Arial" w:hAnsi="Arial" w:cs="Arial"/>
                <w:sz w:val="20"/>
                <w:szCs w:val="20"/>
              </w:rPr>
              <w:t>zaměstnanec</w:t>
            </w:r>
          </w:p>
        </w:tc>
      </w:tr>
      <w:tr w:rsidR="004B2930" w:rsidRPr="00170367" w:rsidTr="000F2453">
        <w:tc>
          <w:tcPr>
            <w:tcW w:w="1650"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5. Zadání vyúčtování</w:t>
            </w:r>
          </w:p>
        </w:tc>
        <w:tc>
          <w:tcPr>
            <w:tcW w:w="1559"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upozornění systémem na podání vyúčtování</w:t>
            </w:r>
          </w:p>
          <w:p w:rsidR="004B2930" w:rsidRPr="00170367" w:rsidRDefault="004E1353">
            <w:pPr>
              <w:spacing w:before="40" w:after="0"/>
              <w:rPr>
                <w:rFonts w:ascii="Arial" w:hAnsi="Arial" w:cs="Arial"/>
              </w:rPr>
            </w:pPr>
            <w:r w:rsidRPr="00170367">
              <w:rPr>
                <w:rFonts w:ascii="Arial" w:hAnsi="Arial" w:cs="Arial"/>
                <w:sz w:val="20"/>
              </w:rPr>
              <w:t>doklady k</w:t>
            </w:r>
            <w:r w:rsidR="00C069B8">
              <w:rPr>
                <w:rFonts w:ascii="Arial" w:hAnsi="Arial" w:cs="Arial"/>
                <w:sz w:val="20"/>
              </w:rPr>
              <w:t> </w:t>
            </w:r>
            <w:r w:rsidRPr="00170367">
              <w:rPr>
                <w:rFonts w:ascii="Arial" w:hAnsi="Arial" w:cs="Arial"/>
                <w:sz w:val="20"/>
              </w:rPr>
              <w:t>vyúčtování cesty (listinné)</w:t>
            </w:r>
          </w:p>
        </w:tc>
        <w:tc>
          <w:tcPr>
            <w:tcW w:w="9355"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Zaměstnanec je povinen do 10 pracovních dnů od ukončení pracovní cesty předložit zaměstnavateli všechny doklady potřebné k vyúčtování cestovních náhrad. Jako součást vyúčtování musí zaměstnanec uvést zejména:</w:t>
            </w:r>
          </w:p>
          <w:p w:rsidR="004B2930" w:rsidRPr="00170367" w:rsidRDefault="004E1353">
            <w:pPr>
              <w:numPr>
                <w:ilvl w:val="0"/>
                <w:numId w:val="6"/>
              </w:numPr>
              <w:tabs>
                <w:tab w:val="clear" w:pos="720"/>
                <w:tab w:val="left" w:pos="351"/>
              </w:tabs>
              <w:spacing w:after="0"/>
              <w:ind w:left="351" w:hanging="221"/>
              <w:rPr>
                <w:rFonts w:ascii="Arial" w:hAnsi="Arial" w:cs="Arial"/>
              </w:rPr>
            </w:pPr>
            <w:r w:rsidRPr="00170367">
              <w:rPr>
                <w:rFonts w:ascii="Arial" w:hAnsi="Arial" w:cs="Arial"/>
                <w:sz w:val="20"/>
                <w:szCs w:val="20"/>
              </w:rPr>
              <w:t>časový průběh pracovní cesty;</w:t>
            </w:r>
          </w:p>
          <w:p w:rsidR="004B2930" w:rsidRPr="00170367" w:rsidRDefault="004E1353">
            <w:pPr>
              <w:numPr>
                <w:ilvl w:val="0"/>
                <w:numId w:val="6"/>
              </w:numPr>
              <w:tabs>
                <w:tab w:val="clear" w:pos="720"/>
                <w:tab w:val="left" w:pos="351"/>
              </w:tabs>
              <w:spacing w:after="0"/>
              <w:ind w:left="351" w:hanging="221"/>
              <w:rPr>
                <w:rFonts w:ascii="Arial" w:hAnsi="Arial" w:cs="Arial"/>
              </w:rPr>
            </w:pPr>
            <w:r w:rsidRPr="00170367">
              <w:rPr>
                <w:rFonts w:ascii="Arial" w:hAnsi="Arial" w:cs="Arial"/>
                <w:sz w:val="20"/>
                <w:szCs w:val="20"/>
              </w:rPr>
              <w:t>u zahraniční pracovní cesty dobu překročení státní hranice příslušných států;</w:t>
            </w:r>
          </w:p>
          <w:p w:rsidR="004B2930" w:rsidRPr="00170367" w:rsidRDefault="004E1353">
            <w:pPr>
              <w:numPr>
                <w:ilvl w:val="0"/>
                <w:numId w:val="6"/>
              </w:numPr>
              <w:tabs>
                <w:tab w:val="clear" w:pos="720"/>
                <w:tab w:val="left" w:pos="351"/>
              </w:tabs>
              <w:spacing w:after="0"/>
              <w:ind w:left="351" w:hanging="221"/>
              <w:rPr>
                <w:rFonts w:ascii="Arial" w:hAnsi="Arial" w:cs="Arial"/>
              </w:rPr>
            </w:pPr>
            <w:r w:rsidRPr="00170367">
              <w:rPr>
                <w:rFonts w:ascii="Arial" w:hAnsi="Arial" w:cs="Arial"/>
                <w:sz w:val="20"/>
                <w:szCs w:val="20"/>
              </w:rPr>
              <w:t>zda a který den mu byla poskytnuta bezplatně strava (snídaně, oběd, večeře);</w:t>
            </w:r>
          </w:p>
          <w:p w:rsidR="004B2930" w:rsidRPr="00170367" w:rsidRDefault="004E1353">
            <w:pPr>
              <w:numPr>
                <w:ilvl w:val="0"/>
                <w:numId w:val="6"/>
              </w:numPr>
              <w:tabs>
                <w:tab w:val="clear" w:pos="720"/>
                <w:tab w:val="left" w:pos="351"/>
              </w:tabs>
              <w:spacing w:after="0"/>
              <w:ind w:left="351" w:hanging="221"/>
              <w:rPr>
                <w:rFonts w:ascii="Arial" w:hAnsi="Arial" w:cs="Arial"/>
              </w:rPr>
            </w:pPr>
            <w:r w:rsidRPr="00170367">
              <w:rPr>
                <w:rFonts w:ascii="Arial" w:hAnsi="Arial" w:cs="Arial"/>
                <w:sz w:val="20"/>
                <w:szCs w:val="20"/>
              </w:rPr>
              <w:t>přiložit doklady o jízdních výdajích, ubytování a nutných vedlejších výda</w:t>
            </w:r>
            <w:r w:rsidR="00D20485">
              <w:rPr>
                <w:rFonts w:ascii="Arial" w:hAnsi="Arial" w:cs="Arial"/>
                <w:sz w:val="20"/>
                <w:szCs w:val="20"/>
              </w:rPr>
              <w:t xml:space="preserve">jích, pokud byly čerpány z jeho </w:t>
            </w:r>
            <w:r w:rsidRPr="00170367">
              <w:rPr>
                <w:rFonts w:ascii="Arial" w:hAnsi="Arial" w:cs="Arial"/>
                <w:sz w:val="20"/>
                <w:szCs w:val="20"/>
              </w:rPr>
              <w:t>vlastních zdrojů (nezahrnuje čerpání uhrazené ústavem před cestou).</w:t>
            </w:r>
          </w:p>
          <w:p w:rsidR="004B2930" w:rsidRPr="00170367" w:rsidRDefault="004E1353">
            <w:pPr>
              <w:spacing w:before="40" w:after="0"/>
              <w:rPr>
                <w:rFonts w:ascii="Arial" w:hAnsi="Arial" w:cs="Arial"/>
              </w:rPr>
            </w:pPr>
            <w:r w:rsidRPr="00170367">
              <w:rPr>
                <w:rFonts w:ascii="Arial" w:hAnsi="Arial" w:cs="Arial"/>
                <w:sz w:val="20"/>
                <w:szCs w:val="20"/>
              </w:rPr>
              <w:t>Součástí vyúčtování cestovních náhrad je stručná cestovní zpráva, kde zaměstnanec uvede zejména:</w:t>
            </w:r>
          </w:p>
          <w:p w:rsidR="004B2930" w:rsidRPr="00170367" w:rsidRDefault="004E1353">
            <w:pPr>
              <w:numPr>
                <w:ilvl w:val="0"/>
                <w:numId w:val="7"/>
              </w:numPr>
              <w:tabs>
                <w:tab w:val="clear" w:pos="720"/>
                <w:tab w:val="left" w:pos="360"/>
              </w:tabs>
              <w:spacing w:after="0"/>
              <w:ind w:left="351" w:hanging="221"/>
              <w:rPr>
                <w:rFonts w:ascii="Arial" w:hAnsi="Arial" w:cs="Arial"/>
              </w:rPr>
            </w:pPr>
            <w:r w:rsidRPr="00170367">
              <w:rPr>
                <w:rFonts w:ascii="Arial" w:hAnsi="Arial" w:cs="Arial"/>
                <w:sz w:val="20"/>
                <w:szCs w:val="20"/>
              </w:rPr>
              <w:t>účel cesty;</w:t>
            </w:r>
          </w:p>
          <w:p w:rsidR="004B2930" w:rsidRPr="00170367" w:rsidRDefault="004E1353">
            <w:pPr>
              <w:numPr>
                <w:ilvl w:val="0"/>
                <w:numId w:val="7"/>
              </w:numPr>
              <w:tabs>
                <w:tab w:val="clear" w:pos="720"/>
                <w:tab w:val="left" w:pos="360"/>
              </w:tabs>
              <w:spacing w:after="0"/>
              <w:ind w:left="351" w:hanging="221"/>
              <w:rPr>
                <w:rFonts w:ascii="Arial" w:hAnsi="Arial" w:cs="Arial"/>
              </w:rPr>
            </w:pPr>
            <w:r w:rsidRPr="00170367">
              <w:rPr>
                <w:rFonts w:ascii="Arial" w:hAnsi="Arial" w:cs="Arial"/>
                <w:sz w:val="20"/>
                <w:szCs w:val="20"/>
              </w:rPr>
              <w:t>popis skutečností ovlivňujících výši cestovních náhrad, např. zpoždění letadla nebo zrušení plánovaného letu;</w:t>
            </w:r>
          </w:p>
          <w:p w:rsidR="004B2930" w:rsidRPr="00170367" w:rsidRDefault="004E1353">
            <w:pPr>
              <w:numPr>
                <w:ilvl w:val="0"/>
                <w:numId w:val="7"/>
              </w:numPr>
              <w:tabs>
                <w:tab w:val="clear" w:pos="720"/>
                <w:tab w:val="left" w:pos="360"/>
              </w:tabs>
              <w:spacing w:after="0"/>
              <w:ind w:left="351" w:hanging="221"/>
              <w:rPr>
                <w:rFonts w:ascii="Arial" w:hAnsi="Arial" w:cs="Arial"/>
              </w:rPr>
            </w:pPr>
            <w:r w:rsidRPr="00170367">
              <w:rPr>
                <w:rFonts w:ascii="Arial" w:hAnsi="Arial" w:cs="Arial"/>
                <w:sz w:val="20"/>
                <w:szCs w:val="20"/>
              </w:rPr>
              <w:t>hlavní poznatky a závěry.</w:t>
            </w:r>
          </w:p>
          <w:p w:rsidR="004B2930" w:rsidRPr="00170367" w:rsidRDefault="004E1353">
            <w:pPr>
              <w:spacing w:before="40" w:after="0"/>
              <w:rPr>
                <w:rFonts w:ascii="Arial" w:hAnsi="Arial" w:cs="Arial"/>
              </w:rPr>
            </w:pPr>
            <w:r w:rsidRPr="00170367">
              <w:rPr>
                <w:rFonts w:ascii="Arial" w:hAnsi="Arial" w:cs="Arial"/>
                <w:sz w:val="20"/>
                <w:szCs w:val="20"/>
              </w:rPr>
              <w:t>Systém na základě údajů vložených zaměstnancem provede výpočet cestovních náhrad včetně určení doplatku/vratky.</w:t>
            </w:r>
          </w:p>
          <w:p w:rsidR="004B2930" w:rsidRPr="00170367" w:rsidRDefault="004E1353">
            <w:pPr>
              <w:spacing w:before="40" w:after="0"/>
              <w:rPr>
                <w:rFonts w:ascii="Arial" w:hAnsi="Arial" w:cs="Arial"/>
              </w:rPr>
            </w:pPr>
            <w:r w:rsidRPr="00170367">
              <w:rPr>
                <w:rFonts w:ascii="Arial" w:hAnsi="Arial" w:cs="Arial"/>
                <w:sz w:val="20"/>
                <w:szCs w:val="20"/>
              </w:rPr>
              <w:t>Veškeré doklady k vyúčtování cesty zaměstnanec naskenuje a vloží do systému jako přílohu k vyúčtování cestovního příkazu. Systém umožní, aby tyto doklady do systému mohl vložit místo zaměstnance účetní.</w:t>
            </w:r>
          </w:p>
          <w:p w:rsidR="004B2930" w:rsidRPr="00170367" w:rsidRDefault="004E1353">
            <w:pPr>
              <w:spacing w:before="40" w:after="0"/>
              <w:rPr>
                <w:rFonts w:ascii="Arial" w:hAnsi="Arial" w:cs="Arial"/>
              </w:rPr>
            </w:pPr>
            <w:r w:rsidRPr="00170367">
              <w:rPr>
                <w:rFonts w:ascii="Arial" w:hAnsi="Arial" w:cs="Arial"/>
                <w:sz w:val="20"/>
                <w:szCs w:val="20"/>
              </w:rPr>
              <w:t>V případě, že se cesta neuskuteční, zaznamená to zaměstnanec v cestovním příkazu s uvedením důvodu. Byla-li zaměstnanci na neuskutečněnou cestu poskytnuta záloha, vygeneruje se vratka do pokladny ve výši poskytnuté zálohy.</w:t>
            </w:r>
          </w:p>
        </w:tc>
        <w:tc>
          <w:tcPr>
            <w:tcW w:w="1686"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doklady k vyúčtování cesty (</w:t>
            </w:r>
            <w:proofErr w:type="spellStart"/>
            <w:r w:rsidRPr="00170367">
              <w:rPr>
                <w:rFonts w:ascii="Arial" w:hAnsi="Arial" w:cs="Arial"/>
                <w:sz w:val="20"/>
                <w:szCs w:val="20"/>
              </w:rPr>
              <w:t>sken</w:t>
            </w:r>
            <w:proofErr w:type="spellEnd"/>
            <w:r w:rsidRPr="00170367">
              <w:rPr>
                <w:rFonts w:ascii="Arial" w:hAnsi="Arial" w:cs="Arial"/>
                <w:sz w:val="20"/>
                <w:szCs w:val="20"/>
              </w:rPr>
              <w:t>)</w:t>
            </w:r>
          </w:p>
          <w:p w:rsidR="004B2930" w:rsidRPr="00170367" w:rsidRDefault="004E1353">
            <w:pPr>
              <w:spacing w:before="40" w:after="0"/>
              <w:rPr>
                <w:rFonts w:ascii="Arial" w:hAnsi="Arial" w:cs="Arial"/>
              </w:rPr>
            </w:pPr>
            <w:r w:rsidRPr="00170367">
              <w:rPr>
                <w:rFonts w:ascii="Arial" w:hAnsi="Arial" w:cs="Arial"/>
                <w:sz w:val="20"/>
                <w:szCs w:val="20"/>
              </w:rPr>
              <w:t>cestovní zpráva</w:t>
            </w:r>
          </w:p>
          <w:p w:rsidR="004B2930" w:rsidRPr="00170367" w:rsidRDefault="004E1353">
            <w:pPr>
              <w:spacing w:before="40" w:after="0"/>
              <w:rPr>
                <w:rFonts w:ascii="Arial" w:hAnsi="Arial" w:cs="Arial"/>
              </w:rPr>
            </w:pPr>
            <w:r w:rsidRPr="00170367">
              <w:rPr>
                <w:rFonts w:ascii="Arial" w:hAnsi="Arial" w:cs="Arial"/>
                <w:sz w:val="20"/>
              </w:rPr>
              <w:t>vyúčtování cesty (zadané)</w:t>
            </w:r>
          </w:p>
          <w:p w:rsidR="004B2930" w:rsidRPr="00170367" w:rsidRDefault="004E1353">
            <w:pPr>
              <w:spacing w:before="40" w:after="0"/>
              <w:rPr>
                <w:rFonts w:ascii="Arial" w:hAnsi="Arial" w:cs="Arial"/>
              </w:rPr>
            </w:pPr>
            <w:r w:rsidRPr="00170367">
              <w:rPr>
                <w:rFonts w:ascii="Arial" w:hAnsi="Arial" w:cs="Arial"/>
                <w:sz w:val="20"/>
              </w:rPr>
              <w:t>doklady k</w:t>
            </w:r>
            <w:r w:rsidR="000F2453">
              <w:rPr>
                <w:rFonts w:ascii="Arial" w:hAnsi="Arial" w:cs="Arial"/>
                <w:sz w:val="20"/>
              </w:rPr>
              <w:t> </w:t>
            </w:r>
            <w:r w:rsidRPr="00170367">
              <w:rPr>
                <w:rFonts w:ascii="Arial" w:hAnsi="Arial" w:cs="Arial"/>
                <w:sz w:val="20"/>
              </w:rPr>
              <w:t>vyúčtování cesty (listinné)</w:t>
            </w:r>
          </w:p>
        </w:tc>
        <w:tc>
          <w:tcPr>
            <w:tcW w:w="1291" w:type="dxa"/>
            <w:tcBorders>
              <w:top w:val="single" w:sz="2" w:space="0" w:color="000001"/>
              <w:left w:val="single" w:sz="2" w:space="0" w:color="000001"/>
              <w:bottom w:val="single" w:sz="2" w:space="0" w:color="000001"/>
              <w:right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zaměstnanec</w:t>
            </w:r>
          </w:p>
        </w:tc>
      </w:tr>
      <w:tr w:rsidR="004B2930" w:rsidRPr="00170367" w:rsidTr="00630F36">
        <w:trPr>
          <w:cantSplit/>
        </w:trPr>
        <w:tc>
          <w:tcPr>
            <w:tcW w:w="1650"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6. Kontrola vyúčtování</w:t>
            </w:r>
          </w:p>
        </w:tc>
        <w:tc>
          <w:tcPr>
            <w:tcW w:w="1559"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doklady k vyúčtování cesty (</w:t>
            </w:r>
            <w:proofErr w:type="spellStart"/>
            <w:r w:rsidRPr="00170367">
              <w:rPr>
                <w:rFonts w:ascii="Arial" w:hAnsi="Arial" w:cs="Arial"/>
                <w:sz w:val="20"/>
                <w:szCs w:val="20"/>
              </w:rPr>
              <w:t>sken</w:t>
            </w:r>
            <w:proofErr w:type="spellEnd"/>
            <w:r w:rsidRPr="00170367">
              <w:rPr>
                <w:rFonts w:ascii="Arial" w:hAnsi="Arial" w:cs="Arial"/>
                <w:sz w:val="20"/>
                <w:szCs w:val="20"/>
              </w:rPr>
              <w:t>)</w:t>
            </w:r>
          </w:p>
          <w:p w:rsidR="004B2930" w:rsidRPr="00170367" w:rsidRDefault="004E1353">
            <w:pPr>
              <w:spacing w:before="40" w:after="0"/>
              <w:rPr>
                <w:rFonts w:ascii="Arial" w:hAnsi="Arial" w:cs="Arial"/>
              </w:rPr>
            </w:pPr>
            <w:r w:rsidRPr="00170367">
              <w:rPr>
                <w:rFonts w:ascii="Arial" w:hAnsi="Arial" w:cs="Arial"/>
                <w:sz w:val="20"/>
                <w:szCs w:val="20"/>
              </w:rPr>
              <w:t>cestovní zpráva</w:t>
            </w:r>
          </w:p>
          <w:p w:rsidR="004B2930" w:rsidRPr="00170367" w:rsidRDefault="004E1353">
            <w:pPr>
              <w:spacing w:before="40" w:after="0"/>
              <w:rPr>
                <w:rFonts w:ascii="Arial" w:hAnsi="Arial" w:cs="Arial"/>
              </w:rPr>
            </w:pPr>
            <w:r w:rsidRPr="00170367">
              <w:rPr>
                <w:rFonts w:ascii="Arial" w:hAnsi="Arial" w:cs="Arial"/>
                <w:sz w:val="20"/>
              </w:rPr>
              <w:t>vyúčtování cesty (zadané)</w:t>
            </w:r>
          </w:p>
          <w:p w:rsidR="004B2930" w:rsidRPr="00170367" w:rsidRDefault="00D20485">
            <w:pPr>
              <w:spacing w:before="40" w:after="0"/>
              <w:rPr>
                <w:rFonts w:ascii="Arial" w:hAnsi="Arial" w:cs="Arial"/>
              </w:rPr>
            </w:pPr>
            <w:r>
              <w:rPr>
                <w:rFonts w:ascii="Arial" w:hAnsi="Arial" w:cs="Arial"/>
                <w:sz w:val="20"/>
              </w:rPr>
              <w:t xml:space="preserve">doklady k vyúčtování </w:t>
            </w:r>
            <w:r w:rsidR="004E1353" w:rsidRPr="00170367">
              <w:rPr>
                <w:rFonts w:ascii="Arial" w:hAnsi="Arial" w:cs="Arial"/>
                <w:sz w:val="20"/>
              </w:rPr>
              <w:t>cesty (listinné)</w:t>
            </w:r>
          </w:p>
        </w:tc>
        <w:tc>
          <w:tcPr>
            <w:tcW w:w="9355"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Účetní provede kontrolu vyúčtování zpracovaného zaměstnancem, soulad naskenovaných a fyzických dokladů a provede opravu zjištěných nedostatků.</w:t>
            </w:r>
          </w:p>
          <w:p w:rsidR="004B2930" w:rsidRPr="00170367" w:rsidRDefault="004E1353">
            <w:pPr>
              <w:spacing w:before="40" w:after="0"/>
              <w:rPr>
                <w:rFonts w:ascii="Arial" w:hAnsi="Arial" w:cs="Arial"/>
              </w:rPr>
            </w:pPr>
            <w:r w:rsidRPr="00170367">
              <w:rPr>
                <w:rFonts w:ascii="Arial" w:hAnsi="Arial" w:cs="Arial"/>
                <w:sz w:val="20"/>
                <w:szCs w:val="20"/>
              </w:rPr>
              <w:t xml:space="preserve">V případě závažnějších nedostatků ve vyúčtování vrátí účetní vyúčtování zaměstnanci k přepracování do kroku 5. </w:t>
            </w:r>
            <w:r w:rsidRPr="00170367">
              <w:rPr>
                <w:rFonts w:ascii="Arial" w:hAnsi="Arial" w:cs="Arial"/>
                <w:i/>
                <w:iCs/>
                <w:sz w:val="20"/>
                <w:szCs w:val="20"/>
              </w:rPr>
              <w:t>Zadání vyúčtování</w:t>
            </w:r>
            <w:r w:rsidRPr="00170367">
              <w:rPr>
                <w:rFonts w:ascii="Arial" w:hAnsi="Arial" w:cs="Arial"/>
                <w:sz w:val="20"/>
                <w:szCs w:val="20"/>
              </w:rPr>
              <w:t>.</w:t>
            </w:r>
          </w:p>
          <w:p w:rsidR="004B2930" w:rsidRPr="00170367" w:rsidRDefault="004E1353">
            <w:pPr>
              <w:spacing w:before="40" w:after="0"/>
              <w:rPr>
                <w:rFonts w:ascii="Arial" w:hAnsi="Arial" w:cs="Arial"/>
              </w:rPr>
            </w:pPr>
            <w:r w:rsidRPr="00170367">
              <w:rPr>
                <w:rFonts w:ascii="Arial" w:hAnsi="Arial" w:cs="Arial"/>
                <w:sz w:val="20"/>
                <w:szCs w:val="20"/>
              </w:rPr>
              <w:t>Pozn.: V případě, že se cesta neuskutečnila, zkontroluje  uvedení důvodu jejího neuskutečnění zaměstnancem.</w:t>
            </w:r>
          </w:p>
        </w:tc>
        <w:tc>
          <w:tcPr>
            <w:tcW w:w="1686"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bookmarkStart w:id="1" w:name="__DdeLink__110456_2109096706"/>
            <w:r w:rsidRPr="00170367">
              <w:rPr>
                <w:rFonts w:ascii="Arial" w:hAnsi="Arial" w:cs="Arial"/>
                <w:sz w:val="20"/>
                <w:szCs w:val="20"/>
              </w:rPr>
              <w:t>vyúčtování cesty (zkontrolované)</w:t>
            </w:r>
            <w:bookmarkEnd w:id="1"/>
          </w:p>
        </w:tc>
        <w:tc>
          <w:tcPr>
            <w:tcW w:w="1291" w:type="dxa"/>
            <w:tcBorders>
              <w:top w:val="single" w:sz="2" w:space="0" w:color="000001"/>
              <w:left w:val="single" w:sz="2" w:space="0" w:color="000001"/>
              <w:bottom w:val="single" w:sz="2" w:space="0" w:color="000001"/>
              <w:right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účetní</w:t>
            </w:r>
          </w:p>
        </w:tc>
      </w:tr>
      <w:tr w:rsidR="004B2930" w:rsidRPr="00170367" w:rsidTr="000F2453">
        <w:tc>
          <w:tcPr>
            <w:tcW w:w="1650"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7. Schválení vyúčtování příkazcem</w:t>
            </w:r>
          </w:p>
        </w:tc>
        <w:tc>
          <w:tcPr>
            <w:tcW w:w="1559"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vyúčtování cesty (zkontrolované</w:t>
            </w:r>
            <w:r w:rsidRPr="00170367">
              <w:rPr>
                <w:rFonts w:ascii="Arial" w:hAnsi="Arial" w:cs="Arial"/>
                <w:sz w:val="20"/>
              </w:rPr>
              <w:t>)</w:t>
            </w:r>
          </w:p>
        </w:tc>
        <w:tc>
          <w:tcPr>
            <w:tcW w:w="9355"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Příkazce, který schvaloval cestovní příkaz, schválí po věcné stránce účelnost vynaložených výdajů včetně cestovní zprávy.</w:t>
            </w:r>
          </w:p>
          <w:p w:rsidR="004B2930" w:rsidRPr="00170367" w:rsidRDefault="004E1353">
            <w:pPr>
              <w:spacing w:before="40" w:after="0"/>
              <w:rPr>
                <w:rFonts w:ascii="Arial" w:hAnsi="Arial" w:cs="Arial"/>
              </w:rPr>
            </w:pPr>
            <w:r w:rsidRPr="00170367">
              <w:rPr>
                <w:rFonts w:ascii="Arial" w:hAnsi="Arial" w:cs="Arial"/>
                <w:sz w:val="20"/>
                <w:szCs w:val="20"/>
              </w:rPr>
              <w:t xml:space="preserve">V případě, že příkazce vyúčtování neschválí, vrátí je zpět zaměstnanci </w:t>
            </w:r>
            <w:r w:rsidR="00630F36">
              <w:rPr>
                <w:rFonts w:ascii="Arial" w:hAnsi="Arial" w:cs="Arial"/>
                <w:sz w:val="20"/>
                <w:szCs w:val="20"/>
              </w:rPr>
              <w:t>k zadání vyúčtování do kroku 5. </w:t>
            </w:r>
            <w:r w:rsidRPr="00170367">
              <w:rPr>
                <w:rFonts w:ascii="Arial" w:hAnsi="Arial" w:cs="Arial"/>
                <w:i/>
                <w:iCs/>
                <w:sz w:val="20"/>
                <w:szCs w:val="20"/>
              </w:rPr>
              <w:t>Zadání vyúčtování</w:t>
            </w:r>
            <w:r w:rsidRPr="00170367">
              <w:rPr>
                <w:rFonts w:ascii="Arial" w:hAnsi="Arial" w:cs="Arial"/>
                <w:sz w:val="20"/>
                <w:szCs w:val="20"/>
              </w:rPr>
              <w:t>.</w:t>
            </w:r>
          </w:p>
        </w:tc>
        <w:tc>
          <w:tcPr>
            <w:tcW w:w="1686"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vyúčtování cesty (schválené příkazcem)</w:t>
            </w:r>
          </w:p>
        </w:tc>
        <w:tc>
          <w:tcPr>
            <w:tcW w:w="1291" w:type="dxa"/>
            <w:tcBorders>
              <w:top w:val="single" w:sz="2" w:space="0" w:color="000001"/>
              <w:left w:val="single" w:sz="2" w:space="0" w:color="000001"/>
              <w:bottom w:val="single" w:sz="2" w:space="0" w:color="000001"/>
              <w:right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příkazce</w:t>
            </w:r>
          </w:p>
        </w:tc>
      </w:tr>
      <w:tr w:rsidR="004B2930" w:rsidRPr="00170367" w:rsidTr="000F2453">
        <w:tc>
          <w:tcPr>
            <w:tcW w:w="1650"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8. Schválení vyúčtování správcem</w:t>
            </w:r>
          </w:p>
        </w:tc>
        <w:tc>
          <w:tcPr>
            <w:tcW w:w="1559"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vyúčtování cesty (schválené příkazcem)</w:t>
            </w:r>
          </w:p>
        </w:tc>
        <w:tc>
          <w:tcPr>
            <w:tcW w:w="9355"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Správce schválí vyúčtování pracovní cesty.</w:t>
            </w:r>
          </w:p>
          <w:p w:rsidR="004B2930" w:rsidRPr="00170367" w:rsidRDefault="004E1353">
            <w:pPr>
              <w:spacing w:before="40" w:after="0"/>
              <w:rPr>
                <w:rFonts w:ascii="Arial" w:hAnsi="Arial" w:cs="Arial"/>
              </w:rPr>
            </w:pPr>
            <w:r w:rsidRPr="00170367">
              <w:rPr>
                <w:rFonts w:ascii="Arial" w:hAnsi="Arial" w:cs="Arial"/>
                <w:sz w:val="20"/>
                <w:szCs w:val="20"/>
              </w:rPr>
              <w:t xml:space="preserve">V případě, že správce vyúčtování neschválí (např. zdroj není v souladu se zdrojem schváleným správcem v kroku 3. </w:t>
            </w:r>
            <w:r w:rsidRPr="00170367">
              <w:rPr>
                <w:rFonts w:ascii="Arial" w:hAnsi="Arial" w:cs="Arial"/>
                <w:i/>
                <w:iCs/>
                <w:sz w:val="20"/>
                <w:szCs w:val="20"/>
              </w:rPr>
              <w:t>Schválení cesty správcem</w:t>
            </w:r>
            <w:r w:rsidRPr="00170367">
              <w:rPr>
                <w:rFonts w:ascii="Arial" w:hAnsi="Arial" w:cs="Arial"/>
                <w:sz w:val="20"/>
                <w:szCs w:val="20"/>
              </w:rPr>
              <w:t xml:space="preserve"> a správce se změnou zdroje nesouhlasí), je vyúčtování vráceno zaměstnanci do kroku 5. </w:t>
            </w:r>
            <w:r w:rsidRPr="00170367">
              <w:rPr>
                <w:rFonts w:ascii="Arial" w:hAnsi="Arial" w:cs="Arial"/>
                <w:i/>
                <w:iCs/>
                <w:sz w:val="20"/>
                <w:szCs w:val="20"/>
              </w:rPr>
              <w:t>Zadání vyúčtování</w:t>
            </w:r>
            <w:r w:rsidRPr="00170367">
              <w:rPr>
                <w:rFonts w:ascii="Arial" w:hAnsi="Arial" w:cs="Arial"/>
                <w:sz w:val="20"/>
                <w:szCs w:val="20"/>
              </w:rPr>
              <w:t xml:space="preserve"> s požadavkem na přepracování zdroje.</w:t>
            </w:r>
          </w:p>
        </w:tc>
        <w:tc>
          <w:tcPr>
            <w:tcW w:w="1686"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vyúčtování cesty (schválené správcem)</w:t>
            </w:r>
          </w:p>
        </w:tc>
        <w:tc>
          <w:tcPr>
            <w:tcW w:w="1291" w:type="dxa"/>
            <w:tcBorders>
              <w:top w:val="single" w:sz="2" w:space="0" w:color="000001"/>
              <w:left w:val="single" w:sz="2" w:space="0" w:color="000001"/>
              <w:bottom w:val="single" w:sz="2" w:space="0" w:color="000001"/>
              <w:right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správce</w:t>
            </w:r>
          </w:p>
        </w:tc>
      </w:tr>
      <w:tr w:rsidR="004B2930" w:rsidRPr="00170367" w:rsidTr="000F2453">
        <w:tc>
          <w:tcPr>
            <w:tcW w:w="1650"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9. Schválení hlavním účetním a zaúčtování cestovních výdajů</w:t>
            </w:r>
          </w:p>
        </w:tc>
        <w:tc>
          <w:tcPr>
            <w:tcW w:w="1559"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vyúčtování schválené správcem</w:t>
            </w:r>
          </w:p>
        </w:tc>
        <w:tc>
          <w:tcPr>
            <w:tcW w:w="9355"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 xml:space="preserve">Hlavní účetní provede kontrolu vyúčtování cestovních náhrad, výše </w:t>
            </w:r>
            <w:bookmarkStart w:id="2" w:name="__DdeLink__110140_2109096706"/>
            <w:r w:rsidRPr="00170367">
              <w:rPr>
                <w:rFonts w:ascii="Arial" w:hAnsi="Arial" w:cs="Arial"/>
                <w:sz w:val="20"/>
                <w:szCs w:val="20"/>
              </w:rPr>
              <w:t>doplatku/vratky cestovního příkazu</w:t>
            </w:r>
            <w:bookmarkEnd w:id="2"/>
            <w:r w:rsidRPr="00170367">
              <w:rPr>
                <w:rFonts w:ascii="Arial" w:hAnsi="Arial" w:cs="Arial"/>
                <w:sz w:val="20"/>
                <w:szCs w:val="20"/>
              </w:rPr>
              <w:t xml:space="preserve"> a schválí vyúčtování pracovní cesty. Zaúčtování může proběhnout dávkově bez přímé vazby na vyplacení cesty. Systém zašle pokyn do pokladny k vypořádání doplatku/vratky cestovního příkazu.</w:t>
            </w:r>
          </w:p>
          <w:p w:rsidR="004B2930" w:rsidRPr="00170367" w:rsidRDefault="004E1353">
            <w:pPr>
              <w:spacing w:before="40" w:after="0"/>
              <w:rPr>
                <w:rFonts w:ascii="Arial" w:hAnsi="Arial" w:cs="Arial"/>
              </w:rPr>
            </w:pPr>
            <w:r w:rsidRPr="00170367">
              <w:rPr>
                <w:rFonts w:ascii="Arial" w:hAnsi="Arial" w:cs="Arial"/>
                <w:sz w:val="20"/>
                <w:szCs w:val="20"/>
              </w:rPr>
              <w:t>V případě, že vyúčtování hlavní účetní neschválí finančně, je vyúčtování vráceno správci na krok 8. </w:t>
            </w:r>
            <w:r w:rsidRPr="00170367">
              <w:rPr>
                <w:rFonts w:ascii="Arial" w:hAnsi="Arial" w:cs="Arial"/>
                <w:i/>
                <w:iCs/>
                <w:sz w:val="20"/>
                <w:szCs w:val="20"/>
              </w:rPr>
              <w:t>Schválení vyúčtování správcem</w:t>
            </w:r>
            <w:r w:rsidRPr="00170367">
              <w:rPr>
                <w:rFonts w:ascii="Arial" w:hAnsi="Arial" w:cs="Arial"/>
                <w:sz w:val="20"/>
                <w:szCs w:val="20"/>
              </w:rPr>
              <w:t>.</w:t>
            </w:r>
          </w:p>
          <w:p w:rsidR="004B2930" w:rsidRPr="00170367" w:rsidRDefault="004E1353">
            <w:pPr>
              <w:spacing w:before="40" w:after="0"/>
              <w:rPr>
                <w:rFonts w:ascii="Arial" w:hAnsi="Arial" w:cs="Arial"/>
              </w:rPr>
            </w:pPr>
            <w:r w:rsidRPr="00170367">
              <w:rPr>
                <w:rFonts w:ascii="Arial" w:hAnsi="Arial" w:cs="Arial"/>
                <w:sz w:val="20"/>
                <w:szCs w:val="20"/>
              </w:rPr>
              <w:t xml:space="preserve">V případě, že hlavní účetní vyúčtování neschválí věcně (např. z důvodu přerušení cesty), vrátí vyúčtování příkazci na krok 7. </w:t>
            </w:r>
            <w:r w:rsidRPr="00170367">
              <w:rPr>
                <w:rFonts w:ascii="Arial" w:hAnsi="Arial" w:cs="Arial"/>
                <w:i/>
                <w:iCs/>
                <w:sz w:val="20"/>
                <w:szCs w:val="20"/>
              </w:rPr>
              <w:t>Schválení vyúčtování příkazcem</w:t>
            </w:r>
            <w:r w:rsidRPr="00170367">
              <w:rPr>
                <w:rFonts w:ascii="Arial" w:hAnsi="Arial" w:cs="Arial"/>
                <w:sz w:val="20"/>
                <w:szCs w:val="20"/>
              </w:rPr>
              <w:t>.</w:t>
            </w:r>
          </w:p>
        </w:tc>
        <w:tc>
          <w:tcPr>
            <w:tcW w:w="1686"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vyúčtování cesty (schválené hl. účetním)</w:t>
            </w:r>
          </w:p>
          <w:p w:rsidR="004B2930" w:rsidRPr="00170367" w:rsidRDefault="004E1353">
            <w:pPr>
              <w:spacing w:before="40" w:after="0"/>
              <w:rPr>
                <w:rFonts w:ascii="Arial" w:hAnsi="Arial" w:cs="Arial"/>
              </w:rPr>
            </w:pPr>
            <w:bookmarkStart w:id="3" w:name="__DdeLink__6225_668556440"/>
            <w:bookmarkStart w:id="4" w:name="__DdeLink__745_4282530165"/>
            <w:r w:rsidRPr="00170367">
              <w:rPr>
                <w:rFonts w:ascii="Arial" w:hAnsi="Arial" w:cs="Arial"/>
                <w:sz w:val="20"/>
                <w:szCs w:val="20"/>
              </w:rPr>
              <w:t>d</w:t>
            </w:r>
            <w:bookmarkEnd w:id="3"/>
            <w:bookmarkEnd w:id="4"/>
            <w:r w:rsidRPr="00170367">
              <w:rPr>
                <w:rFonts w:ascii="Arial" w:hAnsi="Arial" w:cs="Arial"/>
                <w:sz w:val="20"/>
                <w:szCs w:val="20"/>
              </w:rPr>
              <w:t>oplatek/vratka</w:t>
            </w:r>
          </w:p>
        </w:tc>
        <w:tc>
          <w:tcPr>
            <w:tcW w:w="1291" w:type="dxa"/>
            <w:tcBorders>
              <w:top w:val="single" w:sz="2" w:space="0" w:color="000001"/>
              <w:left w:val="single" w:sz="2" w:space="0" w:color="000001"/>
              <w:bottom w:val="single" w:sz="2" w:space="0" w:color="000001"/>
              <w:right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hlavní účetní</w:t>
            </w:r>
          </w:p>
        </w:tc>
      </w:tr>
      <w:tr w:rsidR="004B2930" w:rsidRPr="00170367" w:rsidTr="000F2453">
        <w:tc>
          <w:tcPr>
            <w:tcW w:w="1650"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 xml:space="preserve">10. Vyplacení cesty – doplatek/vratka </w:t>
            </w:r>
          </w:p>
        </w:tc>
        <w:tc>
          <w:tcPr>
            <w:tcW w:w="1559"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doplatek</w:t>
            </w:r>
            <w:r w:rsidRPr="00170367">
              <w:rPr>
                <w:rFonts w:ascii="Arial" w:hAnsi="Arial" w:cs="Arial"/>
                <w:sz w:val="20"/>
              </w:rPr>
              <w:t>/vratka</w:t>
            </w:r>
          </w:p>
        </w:tc>
        <w:tc>
          <w:tcPr>
            <w:tcW w:w="9355"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Pokladní provede vyúčtování cestovního příkazu na základě dokladu / závazku vůči zaměstnanci. Zaměstnanci, který požaduje výplatu na bankovní účet, odešle peníze bankovním převodem. Zaměstnanci, který nepožaduje výplatu na svůj účet, pokladní odešle upozornění o připravenosti pokladny.</w:t>
            </w:r>
          </w:p>
          <w:p w:rsidR="004B2930" w:rsidRPr="00170367" w:rsidRDefault="004E1353">
            <w:pPr>
              <w:spacing w:before="40" w:after="0"/>
              <w:rPr>
                <w:rFonts w:ascii="Arial" w:hAnsi="Arial" w:cs="Arial"/>
              </w:rPr>
            </w:pPr>
            <w:r w:rsidRPr="00170367">
              <w:rPr>
                <w:rFonts w:ascii="Arial" w:hAnsi="Arial" w:cs="Arial"/>
                <w:sz w:val="20"/>
                <w:szCs w:val="20"/>
              </w:rPr>
              <w:t>Vratka jde vždy přes pokladnu. Pokladní provede příslušnou pokladní operaci k příjmu vratky a odešle zaměstnanci upozornění o připravenosti pokladny.</w:t>
            </w:r>
          </w:p>
          <w:p w:rsidR="004B2930" w:rsidRPr="00170367" w:rsidRDefault="004E1353">
            <w:pPr>
              <w:spacing w:before="40" w:after="0"/>
              <w:rPr>
                <w:rFonts w:ascii="Arial" w:hAnsi="Arial" w:cs="Arial"/>
              </w:rPr>
            </w:pPr>
            <w:r w:rsidRPr="00170367">
              <w:rPr>
                <w:rFonts w:ascii="Arial" w:hAnsi="Arial" w:cs="Arial"/>
                <w:i/>
                <w:sz w:val="20"/>
                <w:szCs w:val="20"/>
              </w:rPr>
              <w:t>Notifikace: Zaměstnanec, upozornění o připravenosti pokladny.</w:t>
            </w:r>
          </w:p>
        </w:tc>
        <w:tc>
          <w:tcPr>
            <w:tcW w:w="1686"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odeslání výplaty na účet / výplata hotovosti</w:t>
            </w:r>
            <w:r w:rsidRPr="00170367">
              <w:rPr>
                <w:rFonts w:ascii="Arial" w:hAnsi="Arial" w:cs="Arial"/>
                <w:sz w:val="20"/>
              </w:rPr>
              <w:t xml:space="preserve"> / příjem hotovosti</w:t>
            </w:r>
          </w:p>
        </w:tc>
        <w:tc>
          <w:tcPr>
            <w:tcW w:w="1291" w:type="dxa"/>
            <w:tcBorders>
              <w:top w:val="single" w:sz="2" w:space="0" w:color="000001"/>
              <w:left w:val="single" w:sz="2" w:space="0" w:color="000001"/>
              <w:bottom w:val="single" w:sz="2" w:space="0" w:color="000001"/>
              <w:right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pokladní</w:t>
            </w:r>
          </w:p>
        </w:tc>
      </w:tr>
    </w:tbl>
    <w:p w:rsidR="004B2930" w:rsidRPr="00170367" w:rsidRDefault="004E1353">
      <w:pPr>
        <w:rPr>
          <w:rFonts w:ascii="Arial" w:hAnsi="Arial" w:cs="Arial"/>
        </w:rPr>
      </w:pPr>
      <w:r w:rsidRPr="00170367">
        <w:rPr>
          <w:rFonts w:ascii="Arial" w:hAnsi="Arial" w:cs="Arial"/>
          <w:noProof/>
          <w:lang w:eastAsia="cs-CZ"/>
        </w:rPr>
        <w:drawing>
          <wp:anchor distT="0" distB="0" distL="0" distR="0" simplePos="0" relativeHeight="7" behindDoc="0" locked="0" layoutInCell="1" allowOverlap="1">
            <wp:simplePos x="0" y="0"/>
            <wp:positionH relativeFrom="column">
              <wp:align>center</wp:align>
            </wp:positionH>
            <wp:positionV relativeFrom="paragraph">
              <wp:posOffset>635</wp:posOffset>
            </wp:positionV>
            <wp:extent cx="9719945" cy="5977890"/>
            <wp:effectExtent l="0" t="0" r="0" b="0"/>
            <wp:wrapSquare wrapText="largest"/>
            <wp:docPr id="1" name="Obráze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4"/>
                    <pic:cNvPicPr>
                      <a:picLocks noChangeAspect="1" noChangeArrowheads="1"/>
                    </pic:cNvPicPr>
                  </pic:nvPicPr>
                  <pic:blipFill>
                    <a:blip r:embed="rId8"/>
                    <a:stretch>
                      <a:fillRect/>
                    </a:stretch>
                  </pic:blipFill>
                  <pic:spPr bwMode="auto">
                    <a:xfrm>
                      <a:off x="0" y="0"/>
                      <a:ext cx="9719945" cy="5977890"/>
                    </a:xfrm>
                    <a:prstGeom prst="rect">
                      <a:avLst/>
                    </a:prstGeom>
                  </pic:spPr>
                </pic:pic>
              </a:graphicData>
            </a:graphic>
          </wp:anchor>
        </w:drawing>
      </w:r>
      <w:r w:rsidRPr="00170367">
        <w:rPr>
          <w:rFonts w:ascii="Arial" w:hAnsi="Arial" w:cs="Arial"/>
        </w:rPr>
        <w:br w:type="page"/>
      </w:r>
    </w:p>
    <w:p w:rsidR="004B2930" w:rsidRPr="00170367" w:rsidRDefault="004E1353">
      <w:pPr>
        <w:pStyle w:val="Nadpis3"/>
        <w:numPr>
          <w:ilvl w:val="2"/>
          <w:numId w:val="2"/>
        </w:numPr>
        <w:rPr>
          <w:rFonts w:cs="Arial"/>
        </w:rPr>
      </w:pPr>
      <w:r w:rsidRPr="00170367">
        <w:rPr>
          <w:rFonts w:cs="Arial"/>
        </w:rPr>
        <w:t xml:space="preserve">Žádanky – objednávky </w:t>
      </w:r>
    </w:p>
    <w:tbl>
      <w:tblPr>
        <w:tblW w:w="15541" w:type="dxa"/>
        <w:tblInd w:w="-46" w:type="dxa"/>
        <w:tblCellMar>
          <w:top w:w="57" w:type="dxa"/>
          <w:left w:w="44" w:type="dxa"/>
          <w:bottom w:w="57" w:type="dxa"/>
          <w:right w:w="57" w:type="dxa"/>
        </w:tblCellMar>
        <w:tblLook w:val="04A0" w:firstRow="1" w:lastRow="0" w:firstColumn="1" w:lastColumn="0" w:noHBand="0" w:noVBand="1"/>
      </w:tblPr>
      <w:tblGrid>
        <w:gridCol w:w="1650"/>
        <w:gridCol w:w="1559"/>
        <w:gridCol w:w="9355"/>
        <w:gridCol w:w="1560"/>
        <w:gridCol w:w="1417"/>
      </w:tblGrid>
      <w:tr w:rsidR="00D20485" w:rsidRPr="00170367" w:rsidTr="007B292B">
        <w:trPr>
          <w:cantSplit/>
          <w:tblHeader/>
        </w:trPr>
        <w:tc>
          <w:tcPr>
            <w:tcW w:w="1650" w:type="dxa"/>
            <w:tcBorders>
              <w:top w:val="single" w:sz="2" w:space="0" w:color="000001"/>
              <w:left w:val="single" w:sz="2" w:space="0" w:color="000001"/>
              <w:bottom w:val="single" w:sz="2" w:space="0" w:color="000001"/>
            </w:tcBorders>
            <w:shd w:val="clear" w:color="auto" w:fill="E6E6E6"/>
            <w:vAlign w:val="center"/>
          </w:tcPr>
          <w:p w:rsidR="00D20485" w:rsidRPr="00170367" w:rsidRDefault="00D20485" w:rsidP="00D20485">
            <w:pPr>
              <w:spacing w:before="40" w:after="0"/>
              <w:rPr>
                <w:rFonts w:ascii="Arial" w:hAnsi="Arial" w:cs="Arial"/>
                <w:b/>
                <w:sz w:val="20"/>
                <w:szCs w:val="20"/>
              </w:rPr>
            </w:pPr>
            <w:r w:rsidRPr="00170367">
              <w:rPr>
                <w:rFonts w:ascii="Arial" w:hAnsi="Arial" w:cs="Arial"/>
                <w:b/>
                <w:sz w:val="20"/>
                <w:szCs w:val="20"/>
              </w:rPr>
              <w:t>Činnost</w:t>
            </w:r>
          </w:p>
        </w:tc>
        <w:tc>
          <w:tcPr>
            <w:tcW w:w="1559" w:type="dxa"/>
            <w:tcBorders>
              <w:top w:val="single" w:sz="2" w:space="0" w:color="000001"/>
              <w:left w:val="single" w:sz="2" w:space="0" w:color="000001"/>
              <w:bottom w:val="single" w:sz="2" w:space="0" w:color="000001"/>
            </w:tcBorders>
            <w:shd w:val="clear" w:color="auto" w:fill="E6E6E6"/>
            <w:vAlign w:val="center"/>
          </w:tcPr>
          <w:p w:rsidR="00D20485" w:rsidRPr="00170367" w:rsidRDefault="00D20485" w:rsidP="00D20485">
            <w:pPr>
              <w:spacing w:before="40" w:after="0"/>
              <w:rPr>
                <w:rFonts w:ascii="Arial" w:hAnsi="Arial" w:cs="Arial"/>
                <w:b/>
                <w:sz w:val="20"/>
                <w:szCs w:val="20"/>
              </w:rPr>
            </w:pPr>
            <w:r w:rsidRPr="00170367">
              <w:rPr>
                <w:rFonts w:ascii="Arial" w:hAnsi="Arial" w:cs="Arial"/>
                <w:b/>
                <w:sz w:val="20"/>
                <w:szCs w:val="20"/>
              </w:rPr>
              <w:t>Vstup</w:t>
            </w:r>
          </w:p>
        </w:tc>
        <w:tc>
          <w:tcPr>
            <w:tcW w:w="9355" w:type="dxa"/>
            <w:tcBorders>
              <w:top w:val="single" w:sz="2" w:space="0" w:color="000001"/>
              <w:left w:val="single" w:sz="2" w:space="0" w:color="000001"/>
              <w:bottom w:val="single" w:sz="2" w:space="0" w:color="000001"/>
            </w:tcBorders>
            <w:shd w:val="clear" w:color="auto" w:fill="E6E6E6"/>
            <w:vAlign w:val="center"/>
          </w:tcPr>
          <w:p w:rsidR="00D20485" w:rsidRPr="00170367" w:rsidRDefault="00D20485" w:rsidP="00D20485">
            <w:pPr>
              <w:spacing w:before="40" w:after="0"/>
              <w:rPr>
                <w:rFonts w:ascii="Arial" w:hAnsi="Arial" w:cs="Arial"/>
                <w:b/>
                <w:sz w:val="20"/>
                <w:szCs w:val="20"/>
              </w:rPr>
            </w:pPr>
            <w:r w:rsidRPr="00170367">
              <w:rPr>
                <w:rFonts w:ascii="Arial" w:hAnsi="Arial" w:cs="Arial"/>
                <w:b/>
                <w:sz w:val="20"/>
                <w:szCs w:val="20"/>
              </w:rPr>
              <w:t>Popis činnosti</w:t>
            </w:r>
          </w:p>
        </w:tc>
        <w:tc>
          <w:tcPr>
            <w:tcW w:w="1560" w:type="dxa"/>
            <w:tcBorders>
              <w:top w:val="single" w:sz="2" w:space="0" w:color="000001"/>
              <w:left w:val="single" w:sz="2" w:space="0" w:color="000001"/>
              <w:bottom w:val="single" w:sz="2" w:space="0" w:color="000001"/>
            </w:tcBorders>
            <w:shd w:val="clear" w:color="auto" w:fill="E6E6E6"/>
            <w:vAlign w:val="center"/>
          </w:tcPr>
          <w:p w:rsidR="00D20485" w:rsidRPr="00170367" w:rsidRDefault="00D20485" w:rsidP="00D20485">
            <w:pPr>
              <w:spacing w:before="40" w:after="0"/>
              <w:rPr>
                <w:rFonts w:ascii="Arial" w:hAnsi="Arial" w:cs="Arial"/>
                <w:b/>
                <w:sz w:val="20"/>
                <w:szCs w:val="20"/>
              </w:rPr>
            </w:pPr>
            <w:r w:rsidRPr="00170367">
              <w:rPr>
                <w:rFonts w:ascii="Arial" w:hAnsi="Arial" w:cs="Arial"/>
                <w:b/>
                <w:sz w:val="20"/>
                <w:szCs w:val="20"/>
              </w:rPr>
              <w:t>Výstup (</w:t>
            </w:r>
            <w:proofErr w:type="spellStart"/>
            <w:r w:rsidRPr="00170367">
              <w:rPr>
                <w:rFonts w:ascii="Arial" w:hAnsi="Arial" w:cs="Arial"/>
                <w:b/>
                <w:sz w:val="20"/>
                <w:szCs w:val="20"/>
              </w:rPr>
              <w:t>mezivýstup</w:t>
            </w:r>
            <w:proofErr w:type="spellEnd"/>
            <w:r w:rsidRPr="00170367">
              <w:rPr>
                <w:rFonts w:ascii="Arial" w:hAnsi="Arial" w:cs="Arial"/>
                <w:b/>
                <w:sz w:val="20"/>
                <w:szCs w:val="20"/>
              </w:rPr>
              <w:t>)</w:t>
            </w:r>
          </w:p>
        </w:tc>
        <w:tc>
          <w:tcPr>
            <w:tcW w:w="1417" w:type="dxa"/>
            <w:tcBorders>
              <w:top w:val="single" w:sz="2" w:space="0" w:color="000001"/>
              <w:left w:val="single" w:sz="2" w:space="0" w:color="000001"/>
              <w:bottom w:val="single" w:sz="2" w:space="0" w:color="000001"/>
              <w:right w:val="single" w:sz="2" w:space="0" w:color="000001"/>
            </w:tcBorders>
            <w:shd w:val="clear" w:color="auto" w:fill="E6E6E6"/>
            <w:vAlign w:val="center"/>
          </w:tcPr>
          <w:p w:rsidR="00D20485" w:rsidRPr="00170367" w:rsidRDefault="00D20485" w:rsidP="00D20485">
            <w:pPr>
              <w:spacing w:before="40" w:after="0"/>
              <w:rPr>
                <w:rFonts w:ascii="Arial" w:hAnsi="Arial" w:cs="Arial"/>
                <w:b/>
                <w:sz w:val="20"/>
                <w:szCs w:val="20"/>
              </w:rPr>
            </w:pPr>
            <w:r w:rsidRPr="00170367">
              <w:rPr>
                <w:rFonts w:ascii="Arial" w:hAnsi="Arial" w:cs="Arial"/>
                <w:b/>
                <w:sz w:val="20"/>
                <w:szCs w:val="20"/>
              </w:rPr>
              <w:t>Provádí</w:t>
            </w:r>
          </w:p>
        </w:tc>
      </w:tr>
      <w:tr w:rsidR="004B2930" w:rsidRPr="00170367" w:rsidTr="007B292B">
        <w:trPr>
          <w:cantSplit/>
        </w:trPr>
        <w:tc>
          <w:tcPr>
            <w:tcW w:w="1650"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1. Podání žádanky</w:t>
            </w:r>
          </w:p>
        </w:tc>
        <w:tc>
          <w:tcPr>
            <w:tcW w:w="1559"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záměr nákupu</w:t>
            </w:r>
          </w:p>
        </w:tc>
        <w:tc>
          <w:tcPr>
            <w:tcW w:w="9355"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Pracovník, který žádá o schválení nákupu / vystavení objednávky, vyplní žádanku, ve které zaznamená údaje potřebné pro schválení. Údaje zahrnují:</w:t>
            </w:r>
          </w:p>
          <w:p w:rsidR="004B2930" w:rsidRPr="00170367" w:rsidRDefault="004E1353">
            <w:pPr>
              <w:numPr>
                <w:ilvl w:val="0"/>
                <w:numId w:val="4"/>
              </w:numPr>
              <w:tabs>
                <w:tab w:val="clear" w:pos="720"/>
                <w:tab w:val="left" w:pos="351"/>
              </w:tabs>
              <w:spacing w:after="0"/>
              <w:ind w:left="351" w:hanging="221"/>
              <w:rPr>
                <w:rFonts w:ascii="Arial" w:hAnsi="Arial" w:cs="Arial"/>
              </w:rPr>
            </w:pPr>
            <w:r w:rsidRPr="00170367">
              <w:rPr>
                <w:rFonts w:ascii="Arial" w:hAnsi="Arial" w:cs="Arial"/>
                <w:sz w:val="20"/>
                <w:szCs w:val="20"/>
              </w:rPr>
              <w:t>účel;</w:t>
            </w:r>
          </w:p>
          <w:p w:rsidR="004B2930" w:rsidRPr="00170367" w:rsidRDefault="004E1353">
            <w:pPr>
              <w:numPr>
                <w:ilvl w:val="0"/>
                <w:numId w:val="4"/>
              </w:numPr>
              <w:tabs>
                <w:tab w:val="clear" w:pos="720"/>
                <w:tab w:val="left" w:pos="351"/>
              </w:tabs>
              <w:spacing w:after="0"/>
              <w:ind w:left="351" w:hanging="221"/>
              <w:rPr>
                <w:rFonts w:ascii="Arial" w:hAnsi="Arial" w:cs="Arial"/>
              </w:rPr>
            </w:pPr>
            <w:r w:rsidRPr="00170367">
              <w:rPr>
                <w:rFonts w:ascii="Arial" w:hAnsi="Arial" w:cs="Arial"/>
                <w:sz w:val="20"/>
                <w:szCs w:val="20"/>
              </w:rPr>
              <w:t>předpokládanou cenu;</w:t>
            </w:r>
          </w:p>
          <w:p w:rsidR="004B2930" w:rsidRPr="00170367" w:rsidRDefault="004E1353">
            <w:pPr>
              <w:numPr>
                <w:ilvl w:val="0"/>
                <w:numId w:val="4"/>
              </w:numPr>
              <w:tabs>
                <w:tab w:val="clear" w:pos="720"/>
                <w:tab w:val="left" w:pos="351"/>
              </w:tabs>
              <w:spacing w:after="0"/>
              <w:ind w:left="351" w:hanging="221"/>
              <w:rPr>
                <w:rFonts w:ascii="Arial" w:hAnsi="Arial" w:cs="Arial"/>
              </w:rPr>
            </w:pPr>
            <w:r w:rsidRPr="00170367">
              <w:rPr>
                <w:rFonts w:ascii="Arial" w:hAnsi="Arial" w:cs="Arial"/>
                <w:sz w:val="20"/>
                <w:szCs w:val="20"/>
              </w:rPr>
              <w:t>zdroje krytí a podíly, v jakých se na úhradě nákladů budou podílet;</w:t>
            </w:r>
          </w:p>
          <w:p w:rsidR="004B2930" w:rsidRPr="00170367" w:rsidRDefault="004E1353">
            <w:pPr>
              <w:numPr>
                <w:ilvl w:val="0"/>
                <w:numId w:val="4"/>
              </w:numPr>
              <w:tabs>
                <w:tab w:val="clear" w:pos="720"/>
                <w:tab w:val="left" w:pos="351"/>
              </w:tabs>
              <w:spacing w:after="0"/>
              <w:ind w:left="351" w:hanging="221"/>
              <w:rPr>
                <w:rFonts w:ascii="Arial" w:hAnsi="Arial" w:cs="Arial"/>
              </w:rPr>
            </w:pPr>
            <w:r w:rsidRPr="00170367">
              <w:rPr>
                <w:rFonts w:ascii="Arial" w:hAnsi="Arial" w:cs="Arial"/>
                <w:sz w:val="20"/>
                <w:szCs w:val="20"/>
              </w:rPr>
              <w:t>žádost o poskytnutí zálohy, její výši.</w:t>
            </w:r>
          </w:p>
          <w:p w:rsidR="004B2930" w:rsidRPr="00170367" w:rsidRDefault="004E1353">
            <w:pPr>
              <w:spacing w:before="40" w:after="0"/>
              <w:rPr>
                <w:rFonts w:ascii="Arial" w:hAnsi="Arial" w:cs="Arial"/>
              </w:rPr>
            </w:pPr>
            <w:r w:rsidRPr="00170367">
              <w:rPr>
                <w:rFonts w:ascii="Arial" w:hAnsi="Arial" w:cs="Arial"/>
                <w:sz w:val="20"/>
                <w:szCs w:val="20"/>
              </w:rPr>
              <w:t xml:space="preserve">Zaměstnanec vyplněnou žádanku postoupí ke schválení příkazci </w:t>
            </w:r>
            <w:r w:rsidRPr="00170367">
              <w:rPr>
                <w:rFonts w:ascii="Arial" w:hAnsi="Arial" w:cs="Arial"/>
                <w:b/>
                <w:bCs/>
                <w:sz w:val="20"/>
                <w:szCs w:val="20"/>
              </w:rPr>
              <w:t>podle zdroje krytí</w:t>
            </w:r>
            <w:r w:rsidRPr="00170367">
              <w:rPr>
                <w:rFonts w:ascii="Arial" w:hAnsi="Arial" w:cs="Arial"/>
                <w:sz w:val="20"/>
                <w:szCs w:val="20"/>
              </w:rPr>
              <w:t xml:space="preserve">. </w:t>
            </w:r>
          </w:p>
          <w:p w:rsidR="004B2930" w:rsidRPr="00170367" w:rsidRDefault="004E1353">
            <w:pPr>
              <w:spacing w:before="40" w:after="0"/>
              <w:rPr>
                <w:rFonts w:ascii="Arial" w:hAnsi="Arial" w:cs="Arial"/>
              </w:rPr>
            </w:pPr>
            <w:r w:rsidRPr="00170367">
              <w:rPr>
                <w:rFonts w:ascii="Arial" w:hAnsi="Arial" w:cs="Arial"/>
                <w:sz w:val="20"/>
                <w:szCs w:val="20"/>
              </w:rPr>
              <w:t xml:space="preserve">Pozn.: Podle zdrojů krytí jsou nastaveny interní limity, od kterých se podávají žádanky. Nákupy do stanovených limitů se realizují mimo </w:t>
            </w:r>
            <w:proofErr w:type="spellStart"/>
            <w:r w:rsidRPr="00170367">
              <w:rPr>
                <w:rFonts w:ascii="Arial" w:hAnsi="Arial" w:cs="Arial"/>
                <w:sz w:val="20"/>
                <w:szCs w:val="20"/>
              </w:rPr>
              <w:t>workflow</w:t>
            </w:r>
            <w:proofErr w:type="spellEnd"/>
            <w:r w:rsidRPr="00170367">
              <w:rPr>
                <w:rFonts w:ascii="Arial" w:hAnsi="Arial" w:cs="Arial"/>
                <w:sz w:val="20"/>
                <w:szCs w:val="20"/>
              </w:rPr>
              <w:t xml:space="preserve">. </w:t>
            </w:r>
          </w:p>
        </w:tc>
        <w:tc>
          <w:tcPr>
            <w:tcW w:w="1560"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žádanka (ke schválení)</w:t>
            </w:r>
          </w:p>
        </w:tc>
        <w:tc>
          <w:tcPr>
            <w:tcW w:w="1417" w:type="dxa"/>
            <w:tcBorders>
              <w:top w:val="single" w:sz="2" w:space="0" w:color="000001"/>
              <w:left w:val="single" w:sz="2" w:space="0" w:color="000001"/>
              <w:bottom w:val="single" w:sz="2" w:space="0" w:color="000001"/>
              <w:right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zaměstnanec</w:t>
            </w:r>
          </w:p>
        </w:tc>
      </w:tr>
      <w:tr w:rsidR="004B2930" w:rsidRPr="00170367" w:rsidTr="007B292B">
        <w:trPr>
          <w:cantSplit/>
        </w:trPr>
        <w:tc>
          <w:tcPr>
            <w:tcW w:w="1650"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2. Schválení žádanky příkazcem</w:t>
            </w:r>
          </w:p>
        </w:tc>
        <w:tc>
          <w:tcPr>
            <w:tcW w:w="1559"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žádanka (ke schválení)</w:t>
            </w:r>
          </w:p>
        </w:tc>
        <w:tc>
          <w:tcPr>
            <w:tcW w:w="9355"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Příkazce (nadřízený zaměstnance, řešitel grantu) posoudí žádanku a s přihlédnutím a schválí ji.</w:t>
            </w:r>
          </w:p>
          <w:p w:rsidR="004B2930" w:rsidRPr="00170367" w:rsidRDefault="004E1353">
            <w:pPr>
              <w:numPr>
                <w:ilvl w:val="0"/>
                <w:numId w:val="5"/>
              </w:numPr>
              <w:tabs>
                <w:tab w:val="clear" w:pos="720"/>
                <w:tab w:val="left" w:pos="351"/>
              </w:tabs>
              <w:spacing w:after="0"/>
              <w:ind w:left="351" w:hanging="221"/>
              <w:rPr>
                <w:rFonts w:ascii="Arial" w:hAnsi="Arial" w:cs="Arial"/>
              </w:rPr>
            </w:pPr>
            <w:r w:rsidRPr="00170367">
              <w:rPr>
                <w:rFonts w:ascii="Arial" w:hAnsi="Arial" w:cs="Arial"/>
                <w:sz w:val="20"/>
                <w:szCs w:val="20"/>
              </w:rPr>
              <w:t>Ředitel nebo jeho zástupce schvaluje žádanku v případě, že náklady nebo jejich část mají být hrazeny z režie ústavu a v případě, že náklady nebo jejich část mají být hrazeny z grantu a překračují limit stanovený pro tento případ.</w:t>
            </w:r>
          </w:p>
          <w:p w:rsidR="004B2930" w:rsidRPr="00170367" w:rsidRDefault="004E1353">
            <w:pPr>
              <w:numPr>
                <w:ilvl w:val="0"/>
                <w:numId w:val="5"/>
              </w:numPr>
              <w:tabs>
                <w:tab w:val="clear" w:pos="720"/>
                <w:tab w:val="left" w:pos="351"/>
              </w:tabs>
              <w:spacing w:after="0"/>
              <w:ind w:left="351" w:hanging="221"/>
              <w:rPr>
                <w:rFonts w:ascii="Arial" w:hAnsi="Arial" w:cs="Arial"/>
              </w:rPr>
            </w:pPr>
            <w:r w:rsidRPr="00170367">
              <w:rPr>
                <w:rFonts w:ascii="Arial" w:hAnsi="Arial" w:cs="Arial"/>
                <w:sz w:val="20"/>
                <w:szCs w:val="20"/>
              </w:rPr>
              <w:t>Řešitel grantu schvaluje žádanku v případě, že náklady nebo jejich část mají být hrazeny z grantu.</w:t>
            </w:r>
          </w:p>
          <w:p w:rsidR="004B2930" w:rsidRPr="00170367" w:rsidRDefault="004E1353">
            <w:pPr>
              <w:numPr>
                <w:ilvl w:val="0"/>
                <w:numId w:val="5"/>
              </w:numPr>
              <w:tabs>
                <w:tab w:val="clear" w:pos="720"/>
                <w:tab w:val="left" w:pos="351"/>
              </w:tabs>
              <w:spacing w:after="0"/>
              <w:ind w:left="351" w:hanging="221"/>
              <w:rPr>
                <w:rFonts w:ascii="Arial" w:hAnsi="Arial" w:cs="Arial"/>
              </w:rPr>
            </w:pPr>
            <w:r w:rsidRPr="00170367">
              <w:rPr>
                <w:rFonts w:ascii="Arial" w:hAnsi="Arial" w:cs="Arial"/>
                <w:sz w:val="20"/>
                <w:szCs w:val="20"/>
              </w:rPr>
              <w:t>V případě nepřítomnosti schvalovatele uvedeného v předchozích dvou odrážkách schvaluje žádanku jeho zástupce, případně ředitel nebo jeho zástupce.</w:t>
            </w:r>
          </w:p>
          <w:p w:rsidR="004B2930" w:rsidRPr="00170367" w:rsidRDefault="004E1353">
            <w:pPr>
              <w:spacing w:before="40" w:after="0"/>
              <w:rPr>
                <w:rFonts w:ascii="Arial" w:hAnsi="Arial" w:cs="Arial"/>
              </w:rPr>
            </w:pPr>
            <w:r w:rsidRPr="00170367">
              <w:rPr>
                <w:rFonts w:ascii="Arial" w:hAnsi="Arial" w:cs="Arial"/>
                <w:sz w:val="20"/>
                <w:szCs w:val="20"/>
              </w:rPr>
              <w:t>V případě, že některý z příslušných příkazců žádanku neschválí, je zamítnuta.</w:t>
            </w:r>
          </w:p>
          <w:p w:rsidR="004B2930" w:rsidRPr="00170367" w:rsidRDefault="004E1353">
            <w:pPr>
              <w:spacing w:before="40" w:after="0"/>
              <w:rPr>
                <w:rFonts w:ascii="Arial" w:hAnsi="Arial" w:cs="Arial"/>
              </w:rPr>
            </w:pPr>
            <w:r w:rsidRPr="00170367">
              <w:rPr>
                <w:rFonts w:ascii="Arial" w:hAnsi="Arial" w:cs="Arial"/>
                <w:i/>
                <w:sz w:val="20"/>
                <w:szCs w:val="20"/>
              </w:rPr>
              <w:t>Notifikace: Zaměstnanec, v případě neschválení též všichni příkazci, kteří žádanku schválili.</w:t>
            </w:r>
          </w:p>
          <w:p w:rsidR="004B2930" w:rsidRPr="00170367" w:rsidRDefault="004E1353">
            <w:pPr>
              <w:spacing w:before="40" w:after="0"/>
              <w:rPr>
                <w:rFonts w:ascii="Arial" w:hAnsi="Arial" w:cs="Arial"/>
              </w:rPr>
            </w:pPr>
            <w:r w:rsidRPr="00170367">
              <w:rPr>
                <w:rFonts w:ascii="Arial" w:hAnsi="Arial" w:cs="Arial"/>
                <w:sz w:val="20"/>
                <w:szCs w:val="20"/>
              </w:rPr>
              <w:t>Pozn. Příkazců může být víc podle toho, jaké zdroje se budou podílet na úhradě ceny.</w:t>
            </w:r>
          </w:p>
        </w:tc>
        <w:tc>
          <w:tcPr>
            <w:tcW w:w="1560"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žádanka (schválená příkazcem)</w:t>
            </w:r>
          </w:p>
        </w:tc>
        <w:tc>
          <w:tcPr>
            <w:tcW w:w="1417" w:type="dxa"/>
            <w:tcBorders>
              <w:top w:val="single" w:sz="2" w:space="0" w:color="000001"/>
              <w:left w:val="single" w:sz="2" w:space="0" w:color="000001"/>
              <w:bottom w:val="single" w:sz="2" w:space="0" w:color="000001"/>
              <w:right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příkazce</w:t>
            </w:r>
          </w:p>
        </w:tc>
      </w:tr>
      <w:tr w:rsidR="004B2930" w:rsidRPr="00170367" w:rsidTr="007B292B">
        <w:trPr>
          <w:cantSplit/>
        </w:trPr>
        <w:tc>
          <w:tcPr>
            <w:tcW w:w="1650"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3. Schválení žádanky správcem</w:t>
            </w:r>
          </w:p>
        </w:tc>
        <w:tc>
          <w:tcPr>
            <w:tcW w:w="1559"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žádanka (schválená příkazcem)</w:t>
            </w:r>
          </w:p>
        </w:tc>
        <w:tc>
          <w:tcPr>
            <w:tcW w:w="9355"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Správce rozpočtu provede schválení žádanky z hlediska oprávněnosti čerpání finančních prostředků ze zdrojů uvedených zaměstnancem. V případě, že správce žádanku neschválí, je žádanka vrácena zpět příkazci do kroku 2.</w:t>
            </w:r>
            <w:r w:rsidRPr="00170367">
              <w:rPr>
                <w:rFonts w:ascii="Arial" w:hAnsi="Arial" w:cs="Arial"/>
                <w:i/>
                <w:iCs/>
                <w:sz w:val="20"/>
                <w:szCs w:val="20"/>
              </w:rPr>
              <w:t> Schválení žádanky příkazcem</w:t>
            </w:r>
            <w:r w:rsidRPr="00170367">
              <w:rPr>
                <w:rFonts w:ascii="Arial" w:hAnsi="Arial" w:cs="Arial"/>
                <w:sz w:val="20"/>
                <w:szCs w:val="20"/>
              </w:rPr>
              <w:t>.</w:t>
            </w:r>
          </w:p>
          <w:p w:rsidR="004B2930" w:rsidRPr="00170367" w:rsidRDefault="004E1353">
            <w:pPr>
              <w:spacing w:before="40" w:after="0"/>
              <w:rPr>
                <w:rFonts w:ascii="Arial" w:hAnsi="Arial" w:cs="Arial"/>
              </w:rPr>
            </w:pPr>
            <w:r w:rsidRPr="00170367">
              <w:rPr>
                <w:rFonts w:ascii="Arial" w:hAnsi="Arial" w:cs="Arial"/>
                <w:i/>
                <w:sz w:val="20"/>
                <w:szCs w:val="20"/>
              </w:rPr>
              <w:t>Notifikace: Zaměstnanec.</w:t>
            </w:r>
          </w:p>
        </w:tc>
        <w:tc>
          <w:tcPr>
            <w:tcW w:w="1560"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žádanka (schválená správcem)</w:t>
            </w:r>
          </w:p>
        </w:tc>
        <w:tc>
          <w:tcPr>
            <w:tcW w:w="1417" w:type="dxa"/>
            <w:tcBorders>
              <w:top w:val="single" w:sz="2" w:space="0" w:color="000001"/>
              <w:left w:val="single" w:sz="2" w:space="0" w:color="000001"/>
              <w:bottom w:val="single" w:sz="2" w:space="0" w:color="000001"/>
              <w:right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správce</w:t>
            </w:r>
          </w:p>
        </w:tc>
      </w:tr>
      <w:tr w:rsidR="004B2930" w:rsidRPr="00170367" w:rsidTr="007B292B">
        <w:trPr>
          <w:cantSplit/>
        </w:trPr>
        <w:tc>
          <w:tcPr>
            <w:tcW w:w="1650"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 xml:space="preserve">4. Vytvoření objednávky </w:t>
            </w:r>
          </w:p>
        </w:tc>
        <w:tc>
          <w:tcPr>
            <w:tcW w:w="1559"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žádanka (schválená správcem)</w:t>
            </w:r>
          </w:p>
        </w:tc>
        <w:tc>
          <w:tcPr>
            <w:tcW w:w="9355"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Na základě správcem schválené žádanky je vytvořena (vygenerována systémem) objednávka, kterou lze vyexportovat do tiskové sestavy nebo odeslat dodavateli elektronickou cestou.</w:t>
            </w:r>
          </w:p>
        </w:tc>
        <w:tc>
          <w:tcPr>
            <w:tcW w:w="1560"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objednávka</w:t>
            </w:r>
            <w:r w:rsidRPr="00170367">
              <w:rPr>
                <w:rFonts w:ascii="Arial" w:hAnsi="Arial" w:cs="Arial"/>
                <w:sz w:val="20"/>
              </w:rPr>
              <w:t xml:space="preserve"> (odeslaná)</w:t>
            </w:r>
          </w:p>
        </w:tc>
        <w:tc>
          <w:tcPr>
            <w:tcW w:w="1417" w:type="dxa"/>
            <w:tcBorders>
              <w:top w:val="single" w:sz="2" w:space="0" w:color="000001"/>
              <w:left w:val="single" w:sz="2" w:space="0" w:color="000001"/>
              <w:bottom w:val="single" w:sz="2" w:space="0" w:color="000001"/>
              <w:right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pracovník THS</w:t>
            </w:r>
          </w:p>
        </w:tc>
      </w:tr>
      <w:tr w:rsidR="004B2930" w:rsidRPr="00170367" w:rsidTr="007B292B">
        <w:trPr>
          <w:cantSplit/>
        </w:trPr>
        <w:tc>
          <w:tcPr>
            <w:tcW w:w="1650"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5. Akceptace objednávky</w:t>
            </w:r>
          </w:p>
        </w:tc>
        <w:tc>
          <w:tcPr>
            <w:tcW w:w="1559"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objednávka (potvrzená  dodavatelem)</w:t>
            </w:r>
          </w:p>
        </w:tc>
        <w:tc>
          <w:tcPr>
            <w:tcW w:w="9355"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Naskenované potvrzení o přijetí objednávky je vloženo do systému.</w:t>
            </w:r>
          </w:p>
        </w:tc>
        <w:tc>
          <w:tcPr>
            <w:tcW w:w="1560"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objednávka (přijatá)</w:t>
            </w:r>
          </w:p>
        </w:tc>
        <w:tc>
          <w:tcPr>
            <w:tcW w:w="1417" w:type="dxa"/>
            <w:tcBorders>
              <w:top w:val="single" w:sz="2" w:space="0" w:color="000001"/>
              <w:left w:val="single" w:sz="2" w:space="0" w:color="000001"/>
              <w:bottom w:val="single" w:sz="2" w:space="0" w:color="000001"/>
              <w:right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pracovník THS</w:t>
            </w:r>
          </w:p>
        </w:tc>
      </w:tr>
      <w:tr w:rsidR="004B2930" w:rsidRPr="00170367" w:rsidTr="007B292B">
        <w:trPr>
          <w:cantSplit/>
        </w:trPr>
        <w:tc>
          <w:tcPr>
            <w:tcW w:w="1650"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6. Zadání údajů do Registru smluv</w:t>
            </w:r>
          </w:p>
        </w:tc>
        <w:tc>
          <w:tcPr>
            <w:tcW w:w="1559"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objednávka (přijatá)</w:t>
            </w:r>
          </w:p>
        </w:tc>
        <w:tc>
          <w:tcPr>
            <w:tcW w:w="9355"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Akceptovaná objednávka je uveřejněna v Registru smluv a do systému je o tom uložena informace včetně data uveřejnění.</w:t>
            </w:r>
          </w:p>
        </w:tc>
        <w:tc>
          <w:tcPr>
            <w:tcW w:w="1560"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záznam v Registru smluv</w:t>
            </w:r>
          </w:p>
        </w:tc>
        <w:tc>
          <w:tcPr>
            <w:tcW w:w="1417" w:type="dxa"/>
            <w:tcBorders>
              <w:top w:val="single" w:sz="2" w:space="0" w:color="000001"/>
              <w:left w:val="single" w:sz="2" w:space="0" w:color="000001"/>
              <w:bottom w:val="single" w:sz="2" w:space="0" w:color="000001"/>
              <w:right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pracovník THS</w:t>
            </w:r>
          </w:p>
        </w:tc>
      </w:tr>
    </w:tbl>
    <w:p w:rsidR="004B2930" w:rsidRPr="00170367" w:rsidRDefault="004E1353">
      <w:pPr>
        <w:spacing w:before="40" w:after="0"/>
        <w:rPr>
          <w:rFonts w:ascii="Arial" w:hAnsi="Arial" w:cs="Arial"/>
        </w:rPr>
      </w:pPr>
      <w:r w:rsidRPr="00170367">
        <w:rPr>
          <w:rFonts w:ascii="Arial" w:hAnsi="Arial" w:cs="Arial"/>
          <w:noProof/>
          <w:lang w:eastAsia="cs-CZ"/>
        </w:rPr>
        <w:drawing>
          <wp:anchor distT="0" distB="0" distL="0" distR="0" simplePos="0" relativeHeight="8" behindDoc="0" locked="0" layoutInCell="1" allowOverlap="1">
            <wp:simplePos x="0" y="0"/>
            <wp:positionH relativeFrom="column">
              <wp:posOffset>1348105</wp:posOffset>
            </wp:positionH>
            <wp:positionV relativeFrom="paragraph">
              <wp:posOffset>562610</wp:posOffset>
            </wp:positionV>
            <wp:extent cx="7081520" cy="4708525"/>
            <wp:effectExtent l="0" t="0" r="0" b="0"/>
            <wp:wrapSquare wrapText="largest"/>
            <wp:docPr id="2"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2"/>
                    <pic:cNvPicPr>
                      <a:picLocks noChangeAspect="1" noChangeArrowheads="1"/>
                    </pic:cNvPicPr>
                  </pic:nvPicPr>
                  <pic:blipFill>
                    <a:blip r:embed="rId9"/>
                    <a:stretch>
                      <a:fillRect/>
                    </a:stretch>
                  </pic:blipFill>
                  <pic:spPr bwMode="auto">
                    <a:xfrm>
                      <a:off x="0" y="0"/>
                      <a:ext cx="7081520" cy="4708525"/>
                    </a:xfrm>
                    <a:prstGeom prst="rect">
                      <a:avLst/>
                    </a:prstGeom>
                  </pic:spPr>
                </pic:pic>
              </a:graphicData>
            </a:graphic>
          </wp:anchor>
        </w:drawing>
      </w:r>
      <w:r w:rsidRPr="00170367">
        <w:rPr>
          <w:rFonts w:ascii="Arial" w:hAnsi="Arial" w:cs="Arial"/>
        </w:rPr>
        <w:br w:type="page"/>
      </w:r>
    </w:p>
    <w:p w:rsidR="004B2930" w:rsidRPr="00170367" w:rsidRDefault="004E1353">
      <w:pPr>
        <w:pStyle w:val="Nadpis3"/>
        <w:numPr>
          <w:ilvl w:val="2"/>
          <w:numId w:val="2"/>
        </w:numPr>
        <w:rPr>
          <w:rFonts w:cs="Arial"/>
        </w:rPr>
      </w:pPr>
      <w:r w:rsidRPr="00170367">
        <w:rPr>
          <w:rFonts w:cs="Arial"/>
        </w:rPr>
        <w:t xml:space="preserve">Likvidace závazků </w:t>
      </w:r>
    </w:p>
    <w:tbl>
      <w:tblPr>
        <w:tblW w:w="15541" w:type="dxa"/>
        <w:tblInd w:w="-46" w:type="dxa"/>
        <w:tblCellMar>
          <w:top w:w="57" w:type="dxa"/>
          <w:left w:w="44" w:type="dxa"/>
          <w:bottom w:w="57" w:type="dxa"/>
          <w:right w:w="57" w:type="dxa"/>
        </w:tblCellMar>
        <w:tblLook w:val="04A0" w:firstRow="1" w:lastRow="0" w:firstColumn="1" w:lastColumn="0" w:noHBand="0" w:noVBand="1"/>
      </w:tblPr>
      <w:tblGrid>
        <w:gridCol w:w="1650"/>
        <w:gridCol w:w="1559"/>
        <w:gridCol w:w="9355"/>
        <w:gridCol w:w="1560"/>
        <w:gridCol w:w="1417"/>
      </w:tblGrid>
      <w:tr w:rsidR="007B292B" w:rsidRPr="00170367" w:rsidTr="00630F36">
        <w:trPr>
          <w:tblHeader/>
        </w:trPr>
        <w:tc>
          <w:tcPr>
            <w:tcW w:w="1650" w:type="dxa"/>
            <w:tcBorders>
              <w:top w:val="single" w:sz="2" w:space="0" w:color="000001"/>
              <w:left w:val="single" w:sz="2" w:space="0" w:color="000001"/>
              <w:bottom w:val="single" w:sz="2" w:space="0" w:color="000001"/>
            </w:tcBorders>
            <w:shd w:val="clear" w:color="auto" w:fill="E6E6E6"/>
            <w:vAlign w:val="center"/>
          </w:tcPr>
          <w:p w:rsidR="007B292B" w:rsidRPr="00170367" w:rsidRDefault="007B292B" w:rsidP="007B292B">
            <w:pPr>
              <w:spacing w:before="40" w:after="0"/>
              <w:rPr>
                <w:rFonts w:ascii="Arial" w:hAnsi="Arial" w:cs="Arial"/>
                <w:b/>
                <w:sz w:val="20"/>
                <w:szCs w:val="20"/>
              </w:rPr>
            </w:pPr>
            <w:r w:rsidRPr="00170367">
              <w:rPr>
                <w:rFonts w:ascii="Arial" w:hAnsi="Arial" w:cs="Arial"/>
                <w:b/>
                <w:sz w:val="20"/>
                <w:szCs w:val="20"/>
              </w:rPr>
              <w:t>Činnost</w:t>
            </w:r>
          </w:p>
        </w:tc>
        <w:tc>
          <w:tcPr>
            <w:tcW w:w="1559" w:type="dxa"/>
            <w:tcBorders>
              <w:top w:val="single" w:sz="2" w:space="0" w:color="000001"/>
              <w:left w:val="single" w:sz="2" w:space="0" w:color="000001"/>
              <w:bottom w:val="single" w:sz="2" w:space="0" w:color="000001"/>
            </w:tcBorders>
            <w:shd w:val="clear" w:color="auto" w:fill="E6E6E6"/>
            <w:vAlign w:val="center"/>
          </w:tcPr>
          <w:p w:rsidR="007B292B" w:rsidRPr="00170367" w:rsidRDefault="007B292B" w:rsidP="007B292B">
            <w:pPr>
              <w:spacing w:before="40" w:after="0"/>
              <w:rPr>
                <w:rFonts w:ascii="Arial" w:hAnsi="Arial" w:cs="Arial"/>
                <w:b/>
                <w:sz w:val="20"/>
                <w:szCs w:val="20"/>
              </w:rPr>
            </w:pPr>
            <w:r w:rsidRPr="00170367">
              <w:rPr>
                <w:rFonts w:ascii="Arial" w:hAnsi="Arial" w:cs="Arial"/>
                <w:b/>
                <w:sz w:val="20"/>
                <w:szCs w:val="20"/>
              </w:rPr>
              <w:t>Vstup</w:t>
            </w:r>
          </w:p>
        </w:tc>
        <w:tc>
          <w:tcPr>
            <w:tcW w:w="9355" w:type="dxa"/>
            <w:tcBorders>
              <w:top w:val="single" w:sz="2" w:space="0" w:color="000001"/>
              <w:left w:val="single" w:sz="2" w:space="0" w:color="000001"/>
              <w:bottom w:val="single" w:sz="2" w:space="0" w:color="000001"/>
            </w:tcBorders>
            <w:shd w:val="clear" w:color="auto" w:fill="E6E6E6"/>
            <w:vAlign w:val="center"/>
          </w:tcPr>
          <w:p w:rsidR="007B292B" w:rsidRPr="00170367" w:rsidRDefault="007B292B" w:rsidP="007B292B">
            <w:pPr>
              <w:spacing w:before="40" w:after="0"/>
              <w:rPr>
                <w:rFonts w:ascii="Arial" w:hAnsi="Arial" w:cs="Arial"/>
                <w:b/>
                <w:sz w:val="20"/>
                <w:szCs w:val="20"/>
              </w:rPr>
            </w:pPr>
            <w:r w:rsidRPr="00170367">
              <w:rPr>
                <w:rFonts w:ascii="Arial" w:hAnsi="Arial" w:cs="Arial"/>
                <w:b/>
                <w:sz w:val="20"/>
                <w:szCs w:val="20"/>
              </w:rPr>
              <w:t>Popis činnosti</w:t>
            </w:r>
          </w:p>
        </w:tc>
        <w:tc>
          <w:tcPr>
            <w:tcW w:w="1560" w:type="dxa"/>
            <w:tcBorders>
              <w:top w:val="single" w:sz="2" w:space="0" w:color="000001"/>
              <w:left w:val="single" w:sz="2" w:space="0" w:color="000001"/>
              <w:bottom w:val="single" w:sz="2" w:space="0" w:color="000001"/>
            </w:tcBorders>
            <w:shd w:val="clear" w:color="auto" w:fill="E6E6E6"/>
            <w:vAlign w:val="center"/>
          </w:tcPr>
          <w:p w:rsidR="007B292B" w:rsidRPr="00170367" w:rsidRDefault="007B292B" w:rsidP="007B292B">
            <w:pPr>
              <w:spacing w:before="40" w:after="0"/>
              <w:rPr>
                <w:rFonts w:ascii="Arial" w:hAnsi="Arial" w:cs="Arial"/>
                <w:b/>
                <w:sz w:val="20"/>
                <w:szCs w:val="20"/>
              </w:rPr>
            </w:pPr>
            <w:r w:rsidRPr="00170367">
              <w:rPr>
                <w:rFonts w:ascii="Arial" w:hAnsi="Arial" w:cs="Arial"/>
                <w:b/>
                <w:sz w:val="20"/>
                <w:szCs w:val="20"/>
              </w:rPr>
              <w:t>Výstup (</w:t>
            </w:r>
            <w:proofErr w:type="spellStart"/>
            <w:r w:rsidRPr="00170367">
              <w:rPr>
                <w:rFonts w:ascii="Arial" w:hAnsi="Arial" w:cs="Arial"/>
                <w:b/>
                <w:sz w:val="20"/>
                <w:szCs w:val="20"/>
              </w:rPr>
              <w:t>mezivýstup</w:t>
            </w:r>
            <w:proofErr w:type="spellEnd"/>
            <w:r w:rsidRPr="00170367">
              <w:rPr>
                <w:rFonts w:ascii="Arial" w:hAnsi="Arial" w:cs="Arial"/>
                <w:b/>
                <w:sz w:val="20"/>
                <w:szCs w:val="20"/>
              </w:rPr>
              <w:t>)</w:t>
            </w:r>
          </w:p>
        </w:tc>
        <w:tc>
          <w:tcPr>
            <w:tcW w:w="1417" w:type="dxa"/>
            <w:tcBorders>
              <w:top w:val="single" w:sz="2" w:space="0" w:color="000001"/>
              <w:left w:val="single" w:sz="2" w:space="0" w:color="000001"/>
              <w:bottom w:val="single" w:sz="2" w:space="0" w:color="000001"/>
              <w:right w:val="single" w:sz="2" w:space="0" w:color="000001"/>
            </w:tcBorders>
            <w:shd w:val="clear" w:color="auto" w:fill="E6E6E6"/>
            <w:vAlign w:val="center"/>
          </w:tcPr>
          <w:p w:rsidR="007B292B" w:rsidRPr="00170367" w:rsidRDefault="007B292B" w:rsidP="007B292B">
            <w:pPr>
              <w:spacing w:before="40" w:after="0"/>
              <w:rPr>
                <w:rFonts w:ascii="Arial" w:hAnsi="Arial" w:cs="Arial"/>
                <w:b/>
                <w:sz w:val="20"/>
                <w:szCs w:val="20"/>
              </w:rPr>
            </w:pPr>
            <w:r w:rsidRPr="00170367">
              <w:rPr>
                <w:rFonts w:ascii="Arial" w:hAnsi="Arial" w:cs="Arial"/>
                <w:b/>
                <w:sz w:val="20"/>
                <w:szCs w:val="20"/>
              </w:rPr>
              <w:t>Provádí</w:t>
            </w:r>
          </w:p>
        </w:tc>
      </w:tr>
      <w:tr w:rsidR="004B2930" w:rsidRPr="00170367" w:rsidTr="00630F36">
        <w:tc>
          <w:tcPr>
            <w:tcW w:w="1650"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1. Převzetí daňového dokladu</w:t>
            </w:r>
          </w:p>
        </w:tc>
        <w:tc>
          <w:tcPr>
            <w:tcW w:w="1559"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daňový doklad (přijatý)</w:t>
            </w:r>
          </w:p>
        </w:tc>
        <w:tc>
          <w:tcPr>
            <w:tcW w:w="9355"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Pracovník THS zkontroluje daňový doklad z hlediska formální a věcné správnosti. V případě nedostatků doklad vrátí tomu, kdo jej vydal, s žádostí o opravu.</w:t>
            </w:r>
          </w:p>
          <w:p w:rsidR="004B2930" w:rsidRPr="00170367" w:rsidRDefault="004E1353">
            <w:pPr>
              <w:spacing w:before="40" w:after="0"/>
              <w:rPr>
                <w:rFonts w:ascii="Arial" w:hAnsi="Arial" w:cs="Arial"/>
              </w:rPr>
            </w:pPr>
            <w:r w:rsidRPr="00170367">
              <w:rPr>
                <w:rFonts w:ascii="Arial" w:hAnsi="Arial" w:cs="Arial"/>
                <w:sz w:val="20"/>
                <w:szCs w:val="20"/>
              </w:rPr>
              <w:t>Pracovník THS naskenuje věcně a formálně správný daňový doklad včetně příslušné dokumentace a vloží je do systému.</w:t>
            </w:r>
          </w:p>
          <w:p w:rsidR="004B2930" w:rsidRPr="00170367" w:rsidRDefault="004E1353">
            <w:pPr>
              <w:spacing w:before="40" w:after="0"/>
              <w:rPr>
                <w:rFonts w:ascii="Arial" w:hAnsi="Arial" w:cs="Arial"/>
              </w:rPr>
            </w:pPr>
            <w:r w:rsidRPr="00170367">
              <w:rPr>
                <w:rFonts w:ascii="Arial" w:hAnsi="Arial" w:cs="Arial"/>
                <w:sz w:val="20"/>
                <w:szCs w:val="20"/>
              </w:rPr>
              <w:t>Poz</w:t>
            </w:r>
            <w:r w:rsidR="00630F36">
              <w:rPr>
                <w:rFonts w:ascii="Arial" w:hAnsi="Arial" w:cs="Arial"/>
                <w:sz w:val="20"/>
                <w:szCs w:val="20"/>
              </w:rPr>
              <w:t>n</w:t>
            </w:r>
            <w:r w:rsidRPr="00170367">
              <w:rPr>
                <w:rFonts w:ascii="Arial" w:hAnsi="Arial" w:cs="Arial"/>
                <w:sz w:val="20"/>
                <w:szCs w:val="20"/>
              </w:rPr>
              <w:t>.: Listinná podoba daňového dokladu s dokumentací je fyzicky předána na účtárnu.</w:t>
            </w:r>
          </w:p>
        </w:tc>
        <w:tc>
          <w:tcPr>
            <w:tcW w:w="1560"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daňový doklad s dokumentací (oskenovaný)</w:t>
            </w:r>
          </w:p>
        </w:tc>
        <w:tc>
          <w:tcPr>
            <w:tcW w:w="1417" w:type="dxa"/>
            <w:tcBorders>
              <w:top w:val="single" w:sz="2" w:space="0" w:color="000001"/>
              <w:left w:val="single" w:sz="2" w:space="0" w:color="000001"/>
              <w:bottom w:val="single" w:sz="2" w:space="0" w:color="000001"/>
              <w:right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pracovník THS</w:t>
            </w:r>
          </w:p>
        </w:tc>
      </w:tr>
      <w:tr w:rsidR="004B2930" w:rsidRPr="00170367" w:rsidTr="00630F36">
        <w:tc>
          <w:tcPr>
            <w:tcW w:w="1650"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2. Schválení příkazcem</w:t>
            </w:r>
          </w:p>
        </w:tc>
        <w:tc>
          <w:tcPr>
            <w:tcW w:w="1559"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daňový doklad s</w:t>
            </w:r>
            <w:r w:rsidR="00630F36">
              <w:rPr>
                <w:rFonts w:ascii="Arial" w:hAnsi="Arial" w:cs="Arial"/>
                <w:sz w:val="20"/>
                <w:szCs w:val="20"/>
              </w:rPr>
              <w:t> </w:t>
            </w:r>
            <w:r w:rsidRPr="00170367">
              <w:rPr>
                <w:rFonts w:ascii="Arial" w:hAnsi="Arial" w:cs="Arial"/>
                <w:sz w:val="20"/>
                <w:szCs w:val="20"/>
              </w:rPr>
              <w:t>dokumentací (oskenovaný)</w:t>
            </w:r>
          </w:p>
        </w:tc>
        <w:tc>
          <w:tcPr>
            <w:tcW w:w="9355"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Příkazce posoudí daňový doklad a schválí ho.</w:t>
            </w:r>
          </w:p>
          <w:p w:rsidR="004B2930" w:rsidRPr="00170367" w:rsidRDefault="004E1353">
            <w:pPr>
              <w:spacing w:before="40" w:after="0"/>
              <w:rPr>
                <w:rFonts w:ascii="Arial" w:hAnsi="Arial" w:cs="Arial"/>
              </w:rPr>
            </w:pPr>
            <w:r w:rsidRPr="00170367">
              <w:rPr>
                <w:rFonts w:ascii="Arial" w:hAnsi="Arial" w:cs="Arial"/>
                <w:sz w:val="20"/>
                <w:szCs w:val="20"/>
              </w:rPr>
              <w:t>Příkazcem je:</w:t>
            </w:r>
          </w:p>
          <w:p w:rsidR="004B2930" w:rsidRPr="00170367" w:rsidRDefault="004E1353">
            <w:pPr>
              <w:numPr>
                <w:ilvl w:val="0"/>
                <w:numId w:val="5"/>
              </w:numPr>
              <w:tabs>
                <w:tab w:val="clear" w:pos="720"/>
                <w:tab w:val="left" w:pos="351"/>
              </w:tabs>
              <w:spacing w:after="0"/>
              <w:ind w:left="351" w:hanging="221"/>
              <w:rPr>
                <w:rFonts w:ascii="Arial" w:hAnsi="Arial" w:cs="Arial"/>
              </w:rPr>
            </w:pPr>
            <w:r w:rsidRPr="00170367">
              <w:rPr>
                <w:rFonts w:ascii="Arial" w:hAnsi="Arial" w:cs="Arial"/>
                <w:sz w:val="20"/>
                <w:szCs w:val="20"/>
              </w:rPr>
              <w:t>vedoucí knihovny v případě publikací;</w:t>
            </w:r>
          </w:p>
          <w:p w:rsidR="004B2930" w:rsidRPr="00170367" w:rsidRDefault="004E1353">
            <w:pPr>
              <w:numPr>
                <w:ilvl w:val="0"/>
                <w:numId w:val="5"/>
              </w:numPr>
              <w:tabs>
                <w:tab w:val="clear" w:pos="720"/>
                <w:tab w:val="left" w:pos="351"/>
              </w:tabs>
              <w:spacing w:after="0"/>
              <w:ind w:left="351" w:hanging="221"/>
              <w:rPr>
                <w:rFonts w:ascii="Arial" w:hAnsi="Arial" w:cs="Arial"/>
              </w:rPr>
            </w:pPr>
            <w:r w:rsidRPr="00170367">
              <w:rPr>
                <w:rFonts w:ascii="Arial" w:hAnsi="Arial" w:cs="Arial"/>
                <w:sz w:val="20"/>
                <w:szCs w:val="20"/>
              </w:rPr>
              <w:t>vedoucí střediska výpočetní techniky v případě výpočetní techniky;</w:t>
            </w:r>
          </w:p>
          <w:p w:rsidR="004B2930" w:rsidRPr="00170367" w:rsidRDefault="004E1353">
            <w:pPr>
              <w:numPr>
                <w:ilvl w:val="0"/>
                <w:numId w:val="5"/>
              </w:numPr>
              <w:tabs>
                <w:tab w:val="clear" w:pos="720"/>
                <w:tab w:val="left" w:pos="351"/>
              </w:tabs>
              <w:spacing w:after="0"/>
              <w:ind w:left="351" w:hanging="221"/>
              <w:rPr>
                <w:rFonts w:ascii="Arial" w:hAnsi="Arial" w:cs="Arial"/>
              </w:rPr>
            </w:pPr>
            <w:r w:rsidRPr="00170367">
              <w:rPr>
                <w:rFonts w:ascii="Arial" w:hAnsi="Arial" w:cs="Arial"/>
                <w:sz w:val="20"/>
                <w:szCs w:val="20"/>
              </w:rPr>
              <w:t>vedoucí edičního oddělení v případě vydávané literatury;</w:t>
            </w:r>
          </w:p>
          <w:p w:rsidR="004B2930" w:rsidRPr="00170367" w:rsidRDefault="004E1353">
            <w:pPr>
              <w:numPr>
                <w:ilvl w:val="0"/>
                <w:numId w:val="5"/>
              </w:numPr>
              <w:tabs>
                <w:tab w:val="clear" w:pos="720"/>
                <w:tab w:val="left" w:pos="351"/>
              </w:tabs>
              <w:spacing w:after="0"/>
              <w:ind w:left="351" w:hanging="221"/>
              <w:rPr>
                <w:rFonts w:ascii="Arial" w:hAnsi="Arial" w:cs="Arial"/>
              </w:rPr>
            </w:pPr>
            <w:r w:rsidRPr="00170367">
              <w:rPr>
                <w:rFonts w:ascii="Arial" w:hAnsi="Arial" w:cs="Arial"/>
                <w:sz w:val="20"/>
                <w:szCs w:val="20"/>
              </w:rPr>
              <w:t>pověřený pracovník THS nebo ředitel nebo jeho zástupce v ostatních případech.</w:t>
            </w:r>
          </w:p>
          <w:p w:rsidR="004B2930" w:rsidRPr="00170367" w:rsidRDefault="004E1353">
            <w:pPr>
              <w:spacing w:before="40" w:after="0"/>
              <w:rPr>
                <w:rFonts w:ascii="Arial" w:hAnsi="Arial" w:cs="Arial"/>
              </w:rPr>
            </w:pPr>
            <w:r w:rsidRPr="00170367">
              <w:rPr>
                <w:rFonts w:ascii="Arial" w:hAnsi="Arial" w:cs="Arial"/>
                <w:sz w:val="20"/>
                <w:szCs w:val="20"/>
              </w:rPr>
              <w:t>V případě, že příkazce daňový doklad neschválí, uvede důvod. O tom je informován správce, který ve spolupráci s příkazcem případ vyřeší a případně vrátí na krok 1. </w:t>
            </w:r>
            <w:r w:rsidRPr="00170367">
              <w:rPr>
                <w:rFonts w:ascii="Arial" w:hAnsi="Arial" w:cs="Arial"/>
                <w:i/>
                <w:iCs/>
                <w:sz w:val="20"/>
                <w:szCs w:val="20"/>
              </w:rPr>
              <w:t>Převzetí daňového dokladu</w:t>
            </w:r>
            <w:r w:rsidRPr="00170367">
              <w:rPr>
                <w:rFonts w:ascii="Arial" w:hAnsi="Arial" w:cs="Arial"/>
                <w:sz w:val="20"/>
                <w:szCs w:val="20"/>
              </w:rPr>
              <w:t>.</w:t>
            </w:r>
          </w:p>
        </w:tc>
        <w:tc>
          <w:tcPr>
            <w:tcW w:w="1560"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 xml:space="preserve">daňový doklad (schválený příkazcem) </w:t>
            </w:r>
          </w:p>
        </w:tc>
        <w:tc>
          <w:tcPr>
            <w:tcW w:w="1417" w:type="dxa"/>
            <w:tcBorders>
              <w:top w:val="single" w:sz="2" w:space="0" w:color="000001"/>
              <w:left w:val="single" w:sz="2" w:space="0" w:color="000001"/>
              <w:bottom w:val="single" w:sz="2" w:space="0" w:color="000001"/>
              <w:right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příkazce</w:t>
            </w:r>
          </w:p>
        </w:tc>
      </w:tr>
      <w:tr w:rsidR="004B2930" w:rsidRPr="00170367" w:rsidTr="00630F36">
        <w:tc>
          <w:tcPr>
            <w:tcW w:w="1650"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3. Schválení správcem</w:t>
            </w:r>
          </w:p>
        </w:tc>
        <w:tc>
          <w:tcPr>
            <w:tcW w:w="1559"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 xml:space="preserve">daňový doklad (schválený příkazcem) </w:t>
            </w:r>
          </w:p>
        </w:tc>
        <w:tc>
          <w:tcPr>
            <w:tcW w:w="9355"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 xml:space="preserve">Správce schválí daňový doklad. </w:t>
            </w:r>
          </w:p>
          <w:p w:rsidR="004B2930" w:rsidRPr="00170367" w:rsidRDefault="004E1353">
            <w:pPr>
              <w:spacing w:before="40" w:after="0"/>
              <w:rPr>
                <w:rFonts w:ascii="Arial" w:hAnsi="Arial" w:cs="Arial"/>
              </w:rPr>
            </w:pPr>
            <w:r w:rsidRPr="00170367">
              <w:rPr>
                <w:rFonts w:ascii="Arial" w:hAnsi="Arial" w:cs="Arial"/>
                <w:sz w:val="20"/>
                <w:szCs w:val="20"/>
              </w:rPr>
              <w:t xml:space="preserve">V opačném případě vrátí daňový doklad do kroku 2. </w:t>
            </w:r>
            <w:r w:rsidRPr="00170367">
              <w:rPr>
                <w:rFonts w:ascii="Arial" w:hAnsi="Arial" w:cs="Arial"/>
                <w:i/>
                <w:iCs/>
                <w:sz w:val="20"/>
                <w:szCs w:val="20"/>
              </w:rPr>
              <w:t>Schválení příkazcem</w:t>
            </w:r>
            <w:r w:rsidRPr="00170367">
              <w:rPr>
                <w:rFonts w:ascii="Arial" w:hAnsi="Arial" w:cs="Arial"/>
                <w:sz w:val="20"/>
                <w:szCs w:val="20"/>
              </w:rPr>
              <w:t xml:space="preserve"> a dohodne s příkazci řešení.</w:t>
            </w:r>
          </w:p>
          <w:p w:rsidR="004B2930" w:rsidRPr="00170367" w:rsidRDefault="004E1353">
            <w:pPr>
              <w:spacing w:before="40" w:after="0"/>
              <w:rPr>
                <w:rFonts w:ascii="Arial" w:hAnsi="Arial" w:cs="Arial"/>
              </w:rPr>
            </w:pPr>
            <w:r w:rsidRPr="00170367">
              <w:rPr>
                <w:rFonts w:ascii="Arial" w:hAnsi="Arial" w:cs="Arial"/>
                <w:sz w:val="20"/>
                <w:szCs w:val="20"/>
              </w:rPr>
              <w:t>Pozn. Správců může být více – např. v ÚČL vedoucí edičního oddělení.</w:t>
            </w:r>
          </w:p>
        </w:tc>
        <w:tc>
          <w:tcPr>
            <w:tcW w:w="1560"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daňový doklad (schválený správcem)</w:t>
            </w:r>
          </w:p>
        </w:tc>
        <w:tc>
          <w:tcPr>
            <w:tcW w:w="1417" w:type="dxa"/>
            <w:tcBorders>
              <w:top w:val="single" w:sz="2" w:space="0" w:color="000001"/>
              <w:left w:val="single" w:sz="2" w:space="0" w:color="000001"/>
              <w:bottom w:val="single" w:sz="2" w:space="0" w:color="000001"/>
              <w:right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správce</w:t>
            </w:r>
          </w:p>
        </w:tc>
      </w:tr>
      <w:tr w:rsidR="004B2930" w:rsidRPr="00170367" w:rsidTr="00630F36">
        <w:trPr>
          <w:cantSplit/>
        </w:trPr>
        <w:tc>
          <w:tcPr>
            <w:tcW w:w="1650"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4. Schválení hlavním účetním</w:t>
            </w:r>
          </w:p>
        </w:tc>
        <w:tc>
          <w:tcPr>
            <w:tcW w:w="1559"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daňový doklad (schválený správcem)</w:t>
            </w:r>
          </w:p>
        </w:tc>
        <w:tc>
          <w:tcPr>
            <w:tcW w:w="9355"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Hlavní účetní schválí daňový doklad.</w:t>
            </w:r>
          </w:p>
          <w:p w:rsidR="004B2930" w:rsidRPr="00170367" w:rsidRDefault="004E1353">
            <w:pPr>
              <w:spacing w:before="40" w:after="0"/>
              <w:rPr>
                <w:rFonts w:ascii="Arial" w:hAnsi="Arial" w:cs="Arial"/>
              </w:rPr>
            </w:pPr>
            <w:r w:rsidRPr="00170367">
              <w:rPr>
                <w:rFonts w:ascii="Arial" w:hAnsi="Arial" w:cs="Arial"/>
                <w:sz w:val="20"/>
                <w:szCs w:val="20"/>
              </w:rPr>
              <w:t xml:space="preserve">V opačném případě vrátí daňový doklad do kroku 3. </w:t>
            </w:r>
            <w:r w:rsidRPr="00170367">
              <w:rPr>
                <w:rFonts w:ascii="Arial" w:hAnsi="Arial" w:cs="Arial"/>
                <w:i/>
                <w:iCs/>
                <w:sz w:val="20"/>
                <w:szCs w:val="20"/>
              </w:rPr>
              <w:t>Schválení správcem</w:t>
            </w:r>
            <w:r w:rsidRPr="00170367">
              <w:rPr>
                <w:rFonts w:ascii="Arial" w:hAnsi="Arial" w:cs="Arial"/>
                <w:sz w:val="20"/>
                <w:szCs w:val="20"/>
              </w:rPr>
              <w:t xml:space="preserve"> a dohodne se správcem řešení.</w:t>
            </w:r>
          </w:p>
        </w:tc>
        <w:tc>
          <w:tcPr>
            <w:tcW w:w="1560"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daňový doklad (schválený hl. účetním)</w:t>
            </w:r>
          </w:p>
        </w:tc>
        <w:tc>
          <w:tcPr>
            <w:tcW w:w="1417" w:type="dxa"/>
            <w:tcBorders>
              <w:top w:val="single" w:sz="2" w:space="0" w:color="000001"/>
              <w:left w:val="single" w:sz="2" w:space="0" w:color="000001"/>
              <w:bottom w:val="single" w:sz="2" w:space="0" w:color="000001"/>
              <w:right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hlavní účetní</w:t>
            </w:r>
          </w:p>
        </w:tc>
      </w:tr>
      <w:tr w:rsidR="004B2930" w:rsidRPr="00170367" w:rsidTr="00630F36">
        <w:tc>
          <w:tcPr>
            <w:tcW w:w="1650"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5. Zaúčtování, předání k platbě</w:t>
            </w:r>
          </w:p>
        </w:tc>
        <w:tc>
          <w:tcPr>
            <w:tcW w:w="1559"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daňový doklad (schválený hl. účetním)</w:t>
            </w:r>
          </w:p>
        </w:tc>
        <w:tc>
          <w:tcPr>
            <w:tcW w:w="9355"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Účetní zaúčtuje a zajistí platbu.</w:t>
            </w:r>
          </w:p>
        </w:tc>
        <w:tc>
          <w:tcPr>
            <w:tcW w:w="1560" w:type="dxa"/>
            <w:tcBorders>
              <w:top w:val="single" w:sz="2" w:space="0" w:color="000001"/>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pokyn k platbě</w:t>
            </w:r>
          </w:p>
        </w:tc>
        <w:tc>
          <w:tcPr>
            <w:tcW w:w="1417" w:type="dxa"/>
            <w:tcBorders>
              <w:top w:val="single" w:sz="2" w:space="0" w:color="000001"/>
              <w:left w:val="single" w:sz="2" w:space="0" w:color="000001"/>
              <w:bottom w:val="single" w:sz="2" w:space="0" w:color="000001"/>
              <w:right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účetní</w:t>
            </w:r>
          </w:p>
        </w:tc>
      </w:tr>
    </w:tbl>
    <w:p w:rsidR="004B2930" w:rsidRPr="00170367" w:rsidRDefault="004E1353">
      <w:pPr>
        <w:widowControl w:val="0"/>
        <w:suppressAutoHyphens/>
        <w:rPr>
          <w:rFonts w:ascii="Arial" w:hAnsi="Arial" w:cs="Arial"/>
        </w:rPr>
      </w:pPr>
      <w:r w:rsidRPr="00170367">
        <w:rPr>
          <w:rFonts w:ascii="Arial" w:hAnsi="Arial" w:cs="Arial"/>
        </w:rPr>
        <w:br w:type="page"/>
      </w:r>
    </w:p>
    <w:p w:rsidR="004B2930" w:rsidRPr="00170367" w:rsidRDefault="004E1353">
      <w:pPr>
        <w:numPr>
          <w:ilvl w:val="0"/>
          <w:numId w:val="3"/>
        </w:numPr>
        <w:rPr>
          <w:rFonts w:ascii="Arial" w:hAnsi="Arial" w:cs="Arial"/>
        </w:rPr>
      </w:pPr>
      <w:r w:rsidRPr="00170367">
        <w:rPr>
          <w:rFonts w:ascii="Arial" w:hAnsi="Arial" w:cs="Arial"/>
          <w:noProof/>
          <w:lang w:eastAsia="cs-CZ"/>
        </w:rPr>
        <w:drawing>
          <wp:anchor distT="0" distB="0" distL="0" distR="0" simplePos="0" relativeHeight="9" behindDoc="1" locked="0" layoutInCell="1" allowOverlap="1">
            <wp:simplePos x="0" y="0"/>
            <wp:positionH relativeFrom="column">
              <wp:align>center</wp:align>
            </wp:positionH>
            <wp:positionV relativeFrom="paragraph">
              <wp:posOffset>635</wp:posOffset>
            </wp:positionV>
            <wp:extent cx="7787005" cy="5943600"/>
            <wp:effectExtent l="0" t="0" r="0" b="0"/>
            <wp:wrapNone/>
            <wp:docPr id="3" name="Obráze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3"/>
                    <pic:cNvPicPr>
                      <a:picLocks noChangeAspect="1" noChangeArrowheads="1"/>
                    </pic:cNvPicPr>
                  </pic:nvPicPr>
                  <pic:blipFill>
                    <a:blip r:embed="rId10"/>
                    <a:stretch>
                      <a:fillRect/>
                    </a:stretch>
                  </pic:blipFill>
                  <pic:spPr bwMode="auto">
                    <a:xfrm>
                      <a:off x="0" y="0"/>
                      <a:ext cx="7787005" cy="5943600"/>
                    </a:xfrm>
                    <a:prstGeom prst="rect">
                      <a:avLst/>
                    </a:prstGeom>
                  </pic:spPr>
                </pic:pic>
              </a:graphicData>
            </a:graphic>
          </wp:anchor>
        </w:drawing>
      </w:r>
      <w:r w:rsidRPr="00170367">
        <w:rPr>
          <w:rFonts w:ascii="Arial" w:hAnsi="Arial" w:cs="Arial"/>
        </w:rPr>
        <w:br w:type="page"/>
      </w:r>
    </w:p>
    <w:p w:rsidR="004B2930" w:rsidRPr="00170367" w:rsidRDefault="004E1353">
      <w:pPr>
        <w:pStyle w:val="Nadpis3"/>
        <w:numPr>
          <w:ilvl w:val="2"/>
          <w:numId w:val="2"/>
        </w:numPr>
        <w:rPr>
          <w:rFonts w:cs="Arial"/>
        </w:rPr>
      </w:pPr>
      <w:r w:rsidRPr="00170367">
        <w:rPr>
          <w:rFonts w:cs="Arial"/>
        </w:rPr>
        <w:t xml:space="preserve">Schvalování nepřítomnosti </w:t>
      </w:r>
    </w:p>
    <w:tbl>
      <w:tblPr>
        <w:tblW w:w="15541" w:type="dxa"/>
        <w:tblInd w:w="-46" w:type="dxa"/>
        <w:tblCellMar>
          <w:top w:w="57" w:type="dxa"/>
          <w:left w:w="44" w:type="dxa"/>
          <w:bottom w:w="57" w:type="dxa"/>
          <w:right w:w="57" w:type="dxa"/>
        </w:tblCellMar>
        <w:tblLook w:val="04A0" w:firstRow="1" w:lastRow="0" w:firstColumn="1" w:lastColumn="0" w:noHBand="0" w:noVBand="1"/>
      </w:tblPr>
      <w:tblGrid>
        <w:gridCol w:w="1650"/>
        <w:gridCol w:w="1559"/>
        <w:gridCol w:w="9355"/>
        <w:gridCol w:w="1560"/>
        <w:gridCol w:w="1417"/>
      </w:tblGrid>
      <w:tr w:rsidR="00630F36" w:rsidRPr="00170367" w:rsidTr="005B504E">
        <w:trPr>
          <w:tblHeader/>
        </w:trPr>
        <w:tc>
          <w:tcPr>
            <w:tcW w:w="1650" w:type="dxa"/>
            <w:tcBorders>
              <w:top w:val="single" w:sz="2" w:space="0" w:color="000001"/>
              <w:left w:val="single" w:sz="2" w:space="0" w:color="000001"/>
              <w:bottom w:val="single" w:sz="2" w:space="0" w:color="000001"/>
            </w:tcBorders>
            <w:shd w:val="clear" w:color="auto" w:fill="E6E6E6"/>
            <w:vAlign w:val="center"/>
          </w:tcPr>
          <w:p w:rsidR="00630F36" w:rsidRPr="00170367" w:rsidRDefault="00630F36" w:rsidP="00630F36">
            <w:pPr>
              <w:spacing w:before="40" w:after="0"/>
              <w:rPr>
                <w:rFonts w:ascii="Arial" w:hAnsi="Arial" w:cs="Arial"/>
                <w:b/>
                <w:sz w:val="20"/>
                <w:szCs w:val="20"/>
              </w:rPr>
            </w:pPr>
            <w:r w:rsidRPr="00170367">
              <w:rPr>
                <w:rFonts w:ascii="Arial" w:hAnsi="Arial" w:cs="Arial"/>
                <w:b/>
                <w:sz w:val="20"/>
                <w:szCs w:val="20"/>
              </w:rPr>
              <w:t>Činnost</w:t>
            </w:r>
          </w:p>
        </w:tc>
        <w:tc>
          <w:tcPr>
            <w:tcW w:w="1559" w:type="dxa"/>
            <w:tcBorders>
              <w:top w:val="single" w:sz="2" w:space="0" w:color="000001"/>
              <w:left w:val="single" w:sz="2" w:space="0" w:color="000001"/>
              <w:bottom w:val="single" w:sz="2" w:space="0" w:color="000001"/>
            </w:tcBorders>
            <w:shd w:val="clear" w:color="auto" w:fill="E6E6E6"/>
            <w:vAlign w:val="center"/>
          </w:tcPr>
          <w:p w:rsidR="00630F36" w:rsidRPr="00170367" w:rsidRDefault="00630F36" w:rsidP="00630F36">
            <w:pPr>
              <w:spacing w:before="40" w:after="0"/>
              <w:rPr>
                <w:rFonts w:ascii="Arial" w:hAnsi="Arial" w:cs="Arial"/>
                <w:b/>
                <w:sz w:val="20"/>
                <w:szCs w:val="20"/>
              </w:rPr>
            </w:pPr>
            <w:r w:rsidRPr="00170367">
              <w:rPr>
                <w:rFonts w:ascii="Arial" w:hAnsi="Arial" w:cs="Arial"/>
                <w:b/>
                <w:sz w:val="20"/>
                <w:szCs w:val="20"/>
              </w:rPr>
              <w:t>Vstup</w:t>
            </w:r>
          </w:p>
        </w:tc>
        <w:tc>
          <w:tcPr>
            <w:tcW w:w="9355" w:type="dxa"/>
            <w:tcBorders>
              <w:top w:val="single" w:sz="2" w:space="0" w:color="000001"/>
              <w:left w:val="single" w:sz="2" w:space="0" w:color="000001"/>
              <w:bottom w:val="single" w:sz="2" w:space="0" w:color="000001"/>
            </w:tcBorders>
            <w:shd w:val="clear" w:color="auto" w:fill="E6E6E6"/>
            <w:vAlign w:val="center"/>
          </w:tcPr>
          <w:p w:rsidR="00630F36" w:rsidRPr="00170367" w:rsidRDefault="00630F36" w:rsidP="00630F36">
            <w:pPr>
              <w:spacing w:before="40" w:after="0"/>
              <w:rPr>
                <w:rFonts w:ascii="Arial" w:hAnsi="Arial" w:cs="Arial"/>
                <w:b/>
                <w:sz w:val="20"/>
                <w:szCs w:val="20"/>
              </w:rPr>
            </w:pPr>
            <w:r w:rsidRPr="00170367">
              <w:rPr>
                <w:rFonts w:ascii="Arial" w:hAnsi="Arial" w:cs="Arial"/>
                <w:b/>
                <w:sz w:val="20"/>
                <w:szCs w:val="20"/>
              </w:rPr>
              <w:t>Popis činnosti</w:t>
            </w:r>
          </w:p>
        </w:tc>
        <w:tc>
          <w:tcPr>
            <w:tcW w:w="1560" w:type="dxa"/>
            <w:tcBorders>
              <w:top w:val="single" w:sz="2" w:space="0" w:color="000001"/>
              <w:left w:val="single" w:sz="2" w:space="0" w:color="000001"/>
              <w:bottom w:val="single" w:sz="2" w:space="0" w:color="000001"/>
            </w:tcBorders>
            <w:shd w:val="clear" w:color="auto" w:fill="E6E6E6"/>
            <w:vAlign w:val="center"/>
          </w:tcPr>
          <w:p w:rsidR="00630F36" w:rsidRPr="00170367" w:rsidRDefault="00630F36" w:rsidP="00630F36">
            <w:pPr>
              <w:spacing w:before="40" w:after="0"/>
              <w:rPr>
                <w:rFonts w:ascii="Arial" w:hAnsi="Arial" w:cs="Arial"/>
                <w:b/>
                <w:sz w:val="20"/>
                <w:szCs w:val="20"/>
              </w:rPr>
            </w:pPr>
            <w:r w:rsidRPr="00170367">
              <w:rPr>
                <w:rFonts w:ascii="Arial" w:hAnsi="Arial" w:cs="Arial"/>
                <w:b/>
                <w:sz w:val="20"/>
                <w:szCs w:val="20"/>
              </w:rPr>
              <w:t>Výstup (</w:t>
            </w:r>
            <w:proofErr w:type="spellStart"/>
            <w:r w:rsidRPr="00170367">
              <w:rPr>
                <w:rFonts w:ascii="Arial" w:hAnsi="Arial" w:cs="Arial"/>
                <w:b/>
                <w:sz w:val="20"/>
                <w:szCs w:val="20"/>
              </w:rPr>
              <w:t>mezivýstup</w:t>
            </w:r>
            <w:proofErr w:type="spellEnd"/>
            <w:r w:rsidRPr="00170367">
              <w:rPr>
                <w:rFonts w:ascii="Arial" w:hAnsi="Arial" w:cs="Arial"/>
                <w:b/>
                <w:sz w:val="20"/>
                <w:szCs w:val="20"/>
              </w:rPr>
              <w:t>)</w:t>
            </w:r>
          </w:p>
        </w:tc>
        <w:tc>
          <w:tcPr>
            <w:tcW w:w="1417" w:type="dxa"/>
            <w:tcBorders>
              <w:top w:val="single" w:sz="2" w:space="0" w:color="000001"/>
              <w:left w:val="single" w:sz="2" w:space="0" w:color="000001"/>
              <w:bottom w:val="single" w:sz="2" w:space="0" w:color="000001"/>
              <w:right w:val="single" w:sz="2" w:space="0" w:color="000001"/>
            </w:tcBorders>
            <w:shd w:val="clear" w:color="auto" w:fill="E6E6E6"/>
            <w:vAlign w:val="center"/>
          </w:tcPr>
          <w:p w:rsidR="00630F36" w:rsidRPr="00170367" w:rsidRDefault="00630F36" w:rsidP="00630F36">
            <w:pPr>
              <w:spacing w:before="40" w:after="0"/>
              <w:rPr>
                <w:rFonts w:ascii="Arial" w:hAnsi="Arial" w:cs="Arial"/>
                <w:b/>
                <w:sz w:val="20"/>
                <w:szCs w:val="20"/>
              </w:rPr>
            </w:pPr>
            <w:r w:rsidRPr="00170367">
              <w:rPr>
                <w:rFonts w:ascii="Arial" w:hAnsi="Arial" w:cs="Arial"/>
                <w:b/>
                <w:sz w:val="20"/>
                <w:szCs w:val="20"/>
              </w:rPr>
              <w:t>Provádí</w:t>
            </w:r>
          </w:p>
        </w:tc>
      </w:tr>
      <w:tr w:rsidR="004B2930" w:rsidRPr="00170367" w:rsidTr="00D26FE4">
        <w:tc>
          <w:tcPr>
            <w:tcW w:w="15541" w:type="dxa"/>
            <w:gridSpan w:val="5"/>
            <w:tcBorders>
              <w:top w:val="single" w:sz="2" w:space="0" w:color="000001"/>
              <w:bottom w:val="single" w:sz="2" w:space="0" w:color="000001"/>
            </w:tcBorders>
            <w:shd w:val="clear" w:color="auto" w:fill="auto"/>
          </w:tcPr>
          <w:p w:rsidR="004B2930" w:rsidRPr="002059AB" w:rsidRDefault="004E1353">
            <w:pPr>
              <w:spacing w:before="40" w:after="0"/>
              <w:rPr>
                <w:rFonts w:ascii="Arial" w:hAnsi="Arial" w:cs="Arial"/>
                <w:sz w:val="20"/>
                <w:szCs w:val="20"/>
              </w:rPr>
            </w:pPr>
            <w:r w:rsidRPr="002059AB">
              <w:rPr>
                <w:rFonts w:ascii="Arial" w:hAnsi="Arial" w:cs="Arial"/>
                <w:b/>
                <w:bCs/>
                <w:sz w:val="20"/>
                <w:szCs w:val="20"/>
              </w:rPr>
              <w:t>Plánovaná nepřítomnost</w:t>
            </w:r>
          </w:p>
        </w:tc>
      </w:tr>
      <w:tr w:rsidR="004B2930" w:rsidRPr="00170367" w:rsidTr="005B504E">
        <w:tc>
          <w:tcPr>
            <w:tcW w:w="1650" w:type="dxa"/>
            <w:tcBorders>
              <w:left w:val="single" w:sz="2" w:space="0" w:color="000001"/>
              <w:bottom w:val="single" w:sz="2" w:space="0" w:color="000001"/>
            </w:tcBorders>
            <w:shd w:val="clear" w:color="auto" w:fill="auto"/>
          </w:tcPr>
          <w:p w:rsidR="004B2930" w:rsidRPr="00170367" w:rsidRDefault="005B504E">
            <w:pPr>
              <w:spacing w:before="40" w:after="0"/>
              <w:rPr>
                <w:rFonts w:ascii="Arial" w:hAnsi="Arial" w:cs="Arial"/>
              </w:rPr>
            </w:pPr>
            <w:r>
              <w:rPr>
                <w:rFonts w:ascii="Arial" w:hAnsi="Arial" w:cs="Arial"/>
                <w:sz w:val="20"/>
                <w:szCs w:val="20"/>
              </w:rPr>
              <w:t>1. Žádost o </w:t>
            </w:r>
            <w:r w:rsidR="004E1353" w:rsidRPr="00170367">
              <w:rPr>
                <w:rFonts w:ascii="Arial" w:hAnsi="Arial" w:cs="Arial"/>
                <w:sz w:val="20"/>
                <w:szCs w:val="20"/>
              </w:rPr>
              <w:t xml:space="preserve">schválení nepřítomnosti (dovolená, </w:t>
            </w:r>
            <w:proofErr w:type="spellStart"/>
            <w:r w:rsidR="004E1353" w:rsidRPr="00170367">
              <w:rPr>
                <w:rFonts w:ascii="Arial" w:hAnsi="Arial" w:cs="Arial"/>
                <w:sz w:val="20"/>
                <w:szCs w:val="20"/>
              </w:rPr>
              <w:t>sick-days</w:t>
            </w:r>
            <w:proofErr w:type="spellEnd"/>
            <w:r w:rsidR="004E1353" w:rsidRPr="00170367">
              <w:rPr>
                <w:rFonts w:ascii="Arial" w:hAnsi="Arial" w:cs="Arial"/>
                <w:sz w:val="20"/>
                <w:szCs w:val="20"/>
              </w:rPr>
              <w:t>)</w:t>
            </w:r>
          </w:p>
        </w:tc>
        <w:tc>
          <w:tcPr>
            <w:tcW w:w="1559" w:type="dxa"/>
            <w:tcBorders>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záměr nepřítomnosti</w:t>
            </w:r>
          </w:p>
        </w:tc>
        <w:tc>
          <w:tcPr>
            <w:tcW w:w="9355" w:type="dxa"/>
            <w:tcBorders>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Zaměstnanec vyplní žádost, ve které uvede:</w:t>
            </w:r>
          </w:p>
          <w:p w:rsidR="004B2930" w:rsidRPr="00170367" w:rsidRDefault="004E1353">
            <w:pPr>
              <w:numPr>
                <w:ilvl w:val="0"/>
                <w:numId w:val="5"/>
              </w:numPr>
              <w:tabs>
                <w:tab w:val="clear" w:pos="720"/>
                <w:tab w:val="left" w:pos="351"/>
              </w:tabs>
              <w:spacing w:after="0"/>
              <w:ind w:left="351" w:hanging="221"/>
              <w:rPr>
                <w:rFonts w:ascii="Arial" w:hAnsi="Arial" w:cs="Arial"/>
              </w:rPr>
            </w:pPr>
            <w:r w:rsidRPr="00170367">
              <w:rPr>
                <w:rFonts w:ascii="Arial" w:hAnsi="Arial" w:cs="Arial"/>
                <w:sz w:val="20"/>
                <w:szCs w:val="20"/>
              </w:rPr>
              <w:t>dobu nepřítomnosti;</w:t>
            </w:r>
          </w:p>
          <w:p w:rsidR="004B2930" w:rsidRPr="00170367" w:rsidRDefault="004E1353">
            <w:pPr>
              <w:numPr>
                <w:ilvl w:val="0"/>
                <w:numId w:val="5"/>
              </w:numPr>
              <w:tabs>
                <w:tab w:val="clear" w:pos="720"/>
                <w:tab w:val="left" w:pos="351"/>
              </w:tabs>
              <w:spacing w:after="0"/>
              <w:ind w:left="351" w:hanging="221"/>
              <w:rPr>
                <w:rFonts w:ascii="Arial" w:hAnsi="Arial" w:cs="Arial"/>
              </w:rPr>
            </w:pPr>
            <w:r w:rsidRPr="00170367">
              <w:rPr>
                <w:rFonts w:ascii="Arial" w:hAnsi="Arial" w:cs="Arial"/>
                <w:sz w:val="20"/>
                <w:szCs w:val="20"/>
              </w:rPr>
              <w:t>odůvodnění.</w:t>
            </w:r>
          </w:p>
          <w:p w:rsidR="004B2930" w:rsidRPr="00170367" w:rsidRDefault="004E1353">
            <w:pPr>
              <w:spacing w:before="40" w:after="0"/>
              <w:rPr>
                <w:rFonts w:ascii="Arial" w:hAnsi="Arial" w:cs="Arial"/>
              </w:rPr>
            </w:pPr>
            <w:r w:rsidRPr="00170367">
              <w:rPr>
                <w:rFonts w:ascii="Arial" w:hAnsi="Arial" w:cs="Arial"/>
                <w:sz w:val="20"/>
                <w:szCs w:val="20"/>
              </w:rPr>
              <w:t>Pozn. Nepřítomnost zaměstnance z důvodu důležité osobní překážky v prác</w:t>
            </w:r>
            <w:r w:rsidR="005B504E">
              <w:rPr>
                <w:rFonts w:ascii="Arial" w:hAnsi="Arial" w:cs="Arial"/>
                <w:sz w:val="20"/>
                <w:szCs w:val="20"/>
              </w:rPr>
              <w:t>i apod. zavádí do systému mzdový</w:t>
            </w:r>
            <w:r w:rsidRPr="00170367">
              <w:rPr>
                <w:rFonts w:ascii="Arial" w:hAnsi="Arial" w:cs="Arial"/>
                <w:sz w:val="20"/>
                <w:szCs w:val="20"/>
              </w:rPr>
              <w:t xml:space="preserve"> účetní mimo </w:t>
            </w:r>
            <w:proofErr w:type="spellStart"/>
            <w:r w:rsidRPr="00170367">
              <w:rPr>
                <w:rFonts w:ascii="Arial" w:hAnsi="Arial" w:cs="Arial"/>
                <w:sz w:val="20"/>
                <w:szCs w:val="20"/>
              </w:rPr>
              <w:t>workflow</w:t>
            </w:r>
            <w:proofErr w:type="spellEnd"/>
            <w:r w:rsidRPr="00170367">
              <w:rPr>
                <w:rFonts w:ascii="Arial" w:hAnsi="Arial" w:cs="Arial"/>
                <w:sz w:val="20"/>
                <w:szCs w:val="20"/>
              </w:rPr>
              <w:t>.</w:t>
            </w:r>
          </w:p>
        </w:tc>
        <w:tc>
          <w:tcPr>
            <w:tcW w:w="1560" w:type="dxa"/>
            <w:tcBorders>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žádost (ke schválení)</w:t>
            </w:r>
          </w:p>
        </w:tc>
        <w:tc>
          <w:tcPr>
            <w:tcW w:w="1417" w:type="dxa"/>
            <w:tcBorders>
              <w:left w:val="single" w:sz="2" w:space="0" w:color="000001"/>
              <w:bottom w:val="single" w:sz="2" w:space="0" w:color="000001"/>
              <w:right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zaměstnanec</w:t>
            </w:r>
          </w:p>
        </w:tc>
      </w:tr>
      <w:tr w:rsidR="004B2930" w:rsidRPr="00170367" w:rsidTr="005B504E">
        <w:tc>
          <w:tcPr>
            <w:tcW w:w="1650" w:type="dxa"/>
            <w:tcBorders>
              <w:top w:val="single" w:sz="2" w:space="0" w:color="000001"/>
              <w:left w:val="single" w:sz="2" w:space="0" w:color="000001"/>
              <w:bottom w:val="single" w:sz="4" w:space="0" w:color="auto"/>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 xml:space="preserve">2. Schválení </w:t>
            </w:r>
          </w:p>
        </w:tc>
        <w:tc>
          <w:tcPr>
            <w:tcW w:w="1559" w:type="dxa"/>
            <w:tcBorders>
              <w:top w:val="single" w:sz="2" w:space="0" w:color="000001"/>
              <w:left w:val="single" w:sz="2" w:space="0" w:color="000001"/>
              <w:bottom w:val="single" w:sz="4" w:space="0" w:color="auto"/>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žádost (ke schválení)</w:t>
            </w:r>
          </w:p>
        </w:tc>
        <w:tc>
          <w:tcPr>
            <w:tcW w:w="9355" w:type="dxa"/>
            <w:tcBorders>
              <w:top w:val="single" w:sz="2" w:space="0" w:color="000001"/>
              <w:left w:val="single" w:sz="2" w:space="0" w:color="000001"/>
              <w:bottom w:val="single" w:sz="4" w:space="0" w:color="auto"/>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Žádost schvaluje:</w:t>
            </w:r>
          </w:p>
          <w:p w:rsidR="004B2930" w:rsidRPr="00170367" w:rsidRDefault="004E1353">
            <w:pPr>
              <w:numPr>
                <w:ilvl w:val="0"/>
                <w:numId w:val="5"/>
              </w:numPr>
              <w:tabs>
                <w:tab w:val="clear" w:pos="720"/>
                <w:tab w:val="left" w:pos="351"/>
              </w:tabs>
              <w:spacing w:after="0"/>
              <w:ind w:left="351" w:hanging="221"/>
              <w:rPr>
                <w:rFonts w:ascii="Arial" w:hAnsi="Arial" w:cs="Arial"/>
              </w:rPr>
            </w:pPr>
            <w:r w:rsidRPr="00170367">
              <w:rPr>
                <w:rFonts w:ascii="Arial" w:hAnsi="Arial" w:cs="Arial"/>
                <w:sz w:val="20"/>
                <w:szCs w:val="20"/>
              </w:rPr>
              <w:t>přímý nadřízený, pokud žadatelem není ředitel;</w:t>
            </w:r>
          </w:p>
          <w:p w:rsidR="004B2930" w:rsidRPr="00170367" w:rsidRDefault="004E1353">
            <w:pPr>
              <w:numPr>
                <w:ilvl w:val="0"/>
                <w:numId w:val="5"/>
              </w:numPr>
              <w:tabs>
                <w:tab w:val="clear" w:pos="720"/>
                <w:tab w:val="left" w:pos="351"/>
              </w:tabs>
              <w:spacing w:after="0"/>
              <w:ind w:left="351" w:hanging="221"/>
              <w:rPr>
                <w:rFonts w:ascii="Arial" w:hAnsi="Arial" w:cs="Arial"/>
              </w:rPr>
            </w:pPr>
            <w:r w:rsidRPr="00170367">
              <w:rPr>
                <w:rFonts w:ascii="Arial" w:hAnsi="Arial" w:cs="Arial"/>
                <w:sz w:val="20"/>
                <w:szCs w:val="20"/>
              </w:rPr>
              <w:t>zástupce ředitele, je-li žadatelem ředitel.</w:t>
            </w:r>
          </w:p>
          <w:p w:rsidR="004B2930" w:rsidRPr="00170367" w:rsidRDefault="004E1353">
            <w:pPr>
              <w:spacing w:before="40" w:after="0"/>
              <w:rPr>
                <w:rFonts w:ascii="Arial" w:hAnsi="Arial" w:cs="Arial"/>
              </w:rPr>
            </w:pPr>
            <w:r w:rsidRPr="00170367">
              <w:rPr>
                <w:rFonts w:ascii="Arial" w:hAnsi="Arial" w:cs="Arial"/>
                <w:sz w:val="20"/>
                <w:szCs w:val="20"/>
              </w:rPr>
              <w:t>V případě neschválení schvalující uvede důvod.</w:t>
            </w:r>
          </w:p>
          <w:p w:rsidR="004B2930" w:rsidRPr="00170367" w:rsidRDefault="004E1353">
            <w:pPr>
              <w:spacing w:before="40" w:after="0"/>
              <w:rPr>
                <w:rFonts w:ascii="Arial" w:hAnsi="Arial" w:cs="Arial"/>
              </w:rPr>
            </w:pPr>
            <w:r w:rsidRPr="00170367">
              <w:rPr>
                <w:rFonts w:ascii="Arial" w:hAnsi="Arial" w:cs="Arial"/>
                <w:i/>
                <w:sz w:val="20"/>
                <w:szCs w:val="20"/>
              </w:rPr>
              <w:t>Notifikace: Zaměstnanec.</w:t>
            </w:r>
          </w:p>
        </w:tc>
        <w:tc>
          <w:tcPr>
            <w:tcW w:w="1560" w:type="dxa"/>
            <w:tcBorders>
              <w:top w:val="single" w:sz="2" w:space="0" w:color="000001"/>
              <w:left w:val="single" w:sz="2" w:space="0" w:color="000001"/>
              <w:bottom w:val="single" w:sz="4" w:space="0" w:color="auto"/>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nepřítomnost (schválená / neschválená)</w:t>
            </w:r>
          </w:p>
        </w:tc>
        <w:tc>
          <w:tcPr>
            <w:tcW w:w="1417" w:type="dxa"/>
            <w:tcBorders>
              <w:top w:val="single" w:sz="2" w:space="0" w:color="000001"/>
              <w:left w:val="single" w:sz="2" w:space="0" w:color="000001"/>
              <w:bottom w:val="single" w:sz="4" w:space="0" w:color="auto"/>
              <w:right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nadřízený</w:t>
            </w:r>
          </w:p>
          <w:p w:rsidR="004B2930" w:rsidRPr="00170367" w:rsidRDefault="004E1353">
            <w:pPr>
              <w:spacing w:before="40" w:after="0"/>
              <w:rPr>
                <w:rFonts w:ascii="Arial" w:hAnsi="Arial" w:cs="Arial"/>
              </w:rPr>
            </w:pPr>
            <w:r w:rsidRPr="00170367">
              <w:rPr>
                <w:rFonts w:ascii="Arial" w:hAnsi="Arial" w:cs="Arial"/>
                <w:sz w:val="20"/>
                <w:szCs w:val="20"/>
              </w:rPr>
              <w:t>zástupce ředitele (je-li žadatelem ředitel)</w:t>
            </w:r>
          </w:p>
        </w:tc>
      </w:tr>
      <w:tr w:rsidR="004B2930" w:rsidRPr="00170367" w:rsidTr="00D26FE4">
        <w:tc>
          <w:tcPr>
            <w:tcW w:w="15541" w:type="dxa"/>
            <w:gridSpan w:val="5"/>
            <w:tcBorders>
              <w:top w:val="single" w:sz="4" w:space="0" w:color="auto"/>
              <w:bottom w:val="single" w:sz="2" w:space="0" w:color="000001"/>
            </w:tcBorders>
            <w:shd w:val="clear" w:color="auto" w:fill="auto"/>
          </w:tcPr>
          <w:p w:rsidR="004B2930" w:rsidRPr="002059AB" w:rsidRDefault="004E1353">
            <w:pPr>
              <w:spacing w:before="40" w:after="0"/>
              <w:rPr>
                <w:rFonts w:ascii="Arial" w:hAnsi="Arial" w:cs="Arial"/>
                <w:sz w:val="20"/>
                <w:szCs w:val="20"/>
              </w:rPr>
            </w:pPr>
            <w:r w:rsidRPr="002059AB">
              <w:rPr>
                <w:rFonts w:ascii="Arial" w:hAnsi="Arial" w:cs="Arial"/>
                <w:b/>
                <w:bCs/>
                <w:sz w:val="20"/>
                <w:szCs w:val="20"/>
              </w:rPr>
              <w:t>Neplánovaná nepřítomnost</w:t>
            </w:r>
          </w:p>
        </w:tc>
      </w:tr>
      <w:tr w:rsidR="004B2930" w:rsidRPr="00170367" w:rsidTr="005B504E">
        <w:tc>
          <w:tcPr>
            <w:tcW w:w="1650" w:type="dxa"/>
            <w:tcBorders>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Zadání neplánované nepřítomnosti</w:t>
            </w:r>
          </w:p>
        </w:tc>
        <w:tc>
          <w:tcPr>
            <w:tcW w:w="1559" w:type="dxa"/>
            <w:tcBorders>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neplánovaná nepřítomnost (důležitá osobní překážka v</w:t>
            </w:r>
            <w:r w:rsidR="00D26FE4">
              <w:rPr>
                <w:rFonts w:ascii="Arial" w:hAnsi="Arial" w:cs="Arial"/>
                <w:sz w:val="20"/>
                <w:szCs w:val="20"/>
              </w:rPr>
              <w:t> </w:t>
            </w:r>
            <w:r w:rsidRPr="00170367">
              <w:rPr>
                <w:rFonts w:ascii="Arial" w:hAnsi="Arial" w:cs="Arial"/>
                <w:sz w:val="20"/>
                <w:szCs w:val="20"/>
              </w:rPr>
              <w:t>práci)</w:t>
            </w:r>
          </w:p>
        </w:tc>
        <w:tc>
          <w:tcPr>
            <w:tcW w:w="9355" w:type="dxa"/>
            <w:tcBorders>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 xml:space="preserve">Nepřítomnost zaměstnance z důvodu </w:t>
            </w:r>
            <w:bookmarkStart w:id="5" w:name="__DdeLink__6828_4254205233"/>
            <w:r w:rsidRPr="00170367">
              <w:rPr>
                <w:rFonts w:ascii="Arial" w:hAnsi="Arial" w:cs="Arial"/>
                <w:sz w:val="20"/>
                <w:szCs w:val="20"/>
              </w:rPr>
              <w:t>důležité osobní překážky v práci</w:t>
            </w:r>
            <w:bookmarkEnd w:id="5"/>
            <w:r w:rsidR="005B504E">
              <w:rPr>
                <w:rFonts w:ascii="Arial" w:hAnsi="Arial" w:cs="Arial"/>
                <w:sz w:val="20"/>
                <w:szCs w:val="20"/>
              </w:rPr>
              <w:t xml:space="preserve"> apod. zavádí do systému mzdový</w:t>
            </w:r>
            <w:r w:rsidRPr="00170367">
              <w:rPr>
                <w:rFonts w:ascii="Arial" w:hAnsi="Arial" w:cs="Arial"/>
                <w:sz w:val="20"/>
                <w:szCs w:val="20"/>
              </w:rPr>
              <w:t xml:space="preserve"> účetní na základě zaměstnancem předložených dokladů.</w:t>
            </w:r>
          </w:p>
        </w:tc>
        <w:tc>
          <w:tcPr>
            <w:tcW w:w="1560" w:type="dxa"/>
            <w:tcBorders>
              <w:left w:val="single" w:sz="2" w:space="0" w:color="000001"/>
              <w:bottom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nepřítomnost (zadaná)</w:t>
            </w:r>
          </w:p>
        </w:tc>
        <w:tc>
          <w:tcPr>
            <w:tcW w:w="1417" w:type="dxa"/>
            <w:tcBorders>
              <w:left w:val="single" w:sz="2" w:space="0" w:color="000001"/>
              <w:bottom w:val="single" w:sz="2" w:space="0" w:color="000001"/>
              <w:right w:val="single" w:sz="2" w:space="0" w:color="000001"/>
            </w:tcBorders>
            <w:shd w:val="clear" w:color="auto" w:fill="auto"/>
          </w:tcPr>
          <w:p w:rsidR="004B2930" w:rsidRPr="00170367" w:rsidRDefault="004E1353">
            <w:pPr>
              <w:spacing w:before="40" w:after="0"/>
              <w:rPr>
                <w:rFonts w:ascii="Arial" w:hAnsi="Arial" w:cs="Arial"/>
              </w:rPr>
            </w:pPr>
            <w:r w:rsidRPr="00170367">
              <w:rPr>
                <w:rFonts w:ascii="Arial" w:hAnsi="Arial" w:cs="Arial"/>
                <w:sz w:val="20"/>
                <w:szCs w:val="20"/>
              </w:rPr>
              <w:t>mzdová účetní</w:t>
            </w:r>
          </w:p>
        </w:tc>
      </w:tr>
    </w:tbl>
    <w:p w:rsidR="004B2930" w:rsidRDefault="004B2930">
      <w:pPr>
        <w:spacing w:before="40" w:after="0"/>
      </w:pPr>
    </w:p>
    <w:sectPr w:rsidR="004B2930">
      <w:footerReference w:type="default" r:id="rId11"/>
      <w:pgSz w:w="16838" w:h="11906" w:orient="landscape"/>
      <w:pgMar w:top="851" w:right="720" w:bottom="737" w:left="720" w:header="680" w:footer="340"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D04" w:rsidRDefault="00A13D04">
      <w:pPr>
        <w:spacing w:after="0"/>
      </w:pPr>
      <w:r>
        <w:separator/>
      </w:r>
    </w:p>
  </w:endnote>
  <w:endnote w:type="continuationSeparator" w:id="0">
    <w:p w:rsidR="00A13D04" w:rsidRDefault="00A13D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PingFang SC">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606" w:rsidRDefault="00C64C8B">
    <w:pPr>
      <w:pStyle w:val="Zpat"/>
      <w:jc w:val="center"/>
    </w:pPr>
    <w:sdt>
      <w:sdtPr>
        <w:id w:val="1405468939"/>
        <w:docPartObj>
          <w:docPartGallery w:val="Page Numbers (Bottom of Page)"/>
          <w:docPartUnique/>
        </w:docPartObj>
      </w:sdtPr>
      <w:sdtEndPr/>
      <w:sdtContent>
        <w:r w:rsidR="000E7606">
          <w:t xml:space="preserve">Stránka </w:t>
        </w:r>
        <w:r w:rsidR="000E7606">
          <w:rPr>
            <w:rFonts w:ascii="Arial" w:hAnsi="Arial" w:cs="Arial"/>
            <w:sz w:val="20"/>
            <w:szCs w:val="20"/>
          </w:rPr>
          <w:fldChar w:fldCharType="begin"/>
        </w:r>
        <w:r w:rsidR="000E7606">
          <w:rPr>
            <w:rFonts w:ascii="Arial" w:hAnsi="Arial" w:cs="Arial"/>
            <w:sz w:val="20"/>
            <w:szCs w:val="20"/>
          </w:rPr>
          <w:instrText>PAGE</w:instrText>
        </w:r>
        <w:r w:rsidR="000E7606">
          <w:rPr>
            <w:rFonts w:ascii="Arial" w:hAnsi="Arial" w:cs="Arial"/>
            <w:sz w:val="20"/>
            <w:szCs w:val="20"/>
          </w:rPr>
          <w:fldChar w:fldCharType="separate"/>
        </w:r>
        <w:r>
          <w:rPr>
            <w:rFonts w:ascii="Arial" w:hAnsi="Arial" w:cs="Arial"/>
            <w:noProof/>
            <w:sz w:val="20"/>
            <w:szCs w:val="20"/>
          </w:rPr>
          <w:t>31</w:t>
        </w:r>
        <w:r w:rsidR="000E7606">
          <w:rPr>
            <w:rFonts w:ascii="Arial" w:hAnsi="Arial" w:cs="Arial"/>
            <w:sz w:val="20"/>
            <w:szCs w:val="20"/>
          </w:rPr>
          <w:fldChar w:fldCharType="end"/>
        </w:r>
      </w:sdtContent>
    </w:sdt>
    <w:r w:rsidR="000E7606">
      <w:t xml:space="preserve"> z 31</w:t>
    </w:r>
  </w:p>
  <w:p w:rsidR="000E7606" w:rsidRDefault="000E760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D04" w:rsidRDefault="00A13D04">
      <w:r>
        <w:separator/>
      </w:r>
    </w:p>
  </w:footnote>
  <w:footnote w:type="continuationSeparator" w:id="0">
    <w:p w:rsidR="00A13D04" w:rsidRDefault="00A13D04">
      <w:r>
        <w:continuationSeparator/>
      </w:r>
    </w:p>
  </w:footnote>
  <w:footnote w:id="1">
    <w:p w:rsidR="000E7606" w:rsidRDefault="000E7606">
      <w:pPr>
        <w:pStyle w:val="Textpoznpodarou"/>
      </w:pPr>
      <w:r w:rsidRPr="005365F3">
        <w:rPr>
          <w:rStyle w:val="Znakypropoznmkupodarou"/>
          <w:vertAlign w:val="superscript"/>
        </w:rPr>
        <w:t>1)</w:t>
      </w:r>
      <w:r>
        <w:t xml:space="preserve"> Není-li uveden zadavatel, danou funkcionalitu požadují nastavit v rámci implementace všichni účastníci sdružení.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B47"/>
    <w:multiLevelType w:val="multilevel"/>
    <w:tmpl w:val="1D6AC496"/>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2B17C10"/>
    <w:multiLevelType w:val="multilevel"/>
    <w:tmpl w:val="6F662E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1092076"/>
    <w:multiLevelType w:val="multilevel"/>
    <w:tmpl w:val="0090CDE0"/>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29F37815"/>
    <w:multiLevelType w:val="multilevel"/>
    <w:tmpl w:val="2D0C6CCA"/>
    <w:lvl w:ilvl="0">
      <w:start w:val="1"/>
      <w:numFmt w:val="none"/>
      <w:pStyle w:val="Nadpis1"/>
      <w:suff w:val="nothing"/>
      <w:lvlText w:val=""/>
      <w:lvlJc w:val="left"/>
      <w:pPr>
        <w:ind w:left="0" w:firstLine="0"/>
      </w:pPr>
    </w:lvl>
    <w:lvl w:ilvl="1">
      <w:start w:val="1"/>
      <w:numFmt w:val="none"/>
      <w:pStyle w:val="Nadpis2"/>
      <w:suff w:val="nothing"/>
      <w:lvlText w:val=""/>
      <w:lvlJc w:val="left"/>
      <w:pPr>
        <w:ind w:left="0" w:firstLine="0"/>
      </w:pPr>
    </w:lvl>
    <w:lvl w:ilvl="2">
      <w:start w:val="1"/>
      <w:numFmt w:val="none"/>
      <w:pStyle w:val="Nadpis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AC869D3"/>
    <w:multiLevelType w:val="multilevel"/>
    <w:tmpl w:val="2EACD9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D1A6697"/>
    <w:multiLevelType w:val="multilevel"/>
    <w:tmpl w:val="1A383C7C"/>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6FC12025"/>
    <w:multiLevelType w:val="multilevel"/>
    <w:tmpl w:val="CA500A56"/>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1"/>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930"/>
    <w:rsid w:val="00085C8C"/>
    <w:rsid w:val="00087F49"/>
    <w:rsid w:val="000B4E54"/>
    <w:rsid w:val="000E7606"/>
    <w:rsid w:val="000F2453"/>
    <w:rsid w:val="00170367"/>
    <w:rsid w:val="001A3AED"/>
    <w:rsid w:val="002059AB"/>
    <w:rsid w:val="002F42A1"/>
    <w:rsid w:val="00317C3C"/>
    <w:rsid w:val="00324EB5"/>
    <w:rsid w:val="004B2930"/>
    <w:rsid w:val="004E1353"/>
    <w:rsid w:val="004F13B9"/>
    <w:rsid w:val="005365F3"/>
    <w:rsid w:val="005535A9"/>
    <w:rsid w:val="005B504E"/>
    <w:rsid w:val="005F4EF4"/>
    <w:rsid w:val="0060580B"/>
    <w:rsid w:val="00630F36"/>
    <w:rsid w:val="00657CFE"/>
    <w:rsid w:val="007A6C16"/>
    <w:rsid w:val="007B292B"/>
    <w:rsid w:val="00803422"/>
    <w:rsid w:val="00893498"/>
    <w:rsid w:val="008E31A5"/>
    <w:rsid w:val="00A13D04"/>
    <w:rsid w:val="00A62EDC"/>
    <w:rsid w:val="00A650EF"/>
    <w:rsid w:val="00A73A8A"/>
    <w:rsid w:val="00A84B54"/>
    <w:rsid w:val="00A95B60"/>
    <w:rsid w:val="00BA621E"/>
    <w:rsid w:val="00C05E96"/>
    <w:rsid w:val="00C069B8"/>
    <w:rsid w:val="00C54171"/>
    <w:rsid w:val="00C64C8B"/>
    <w:rsid w:val="00D20485"/>
    <w:rsid w:val="00D26FE4"/>
    <w:rsid w:val="00D523CF"/>
    <w:rsid w:val="00DC76DC"/>
    <w:rsid w:val="00FA73B1"/>
  </w:rsids>
  <m:mathPr>
    <m:mathFont m:val="Cambria Math"/>
    <m:brkBin m:val="before"/>
    <m:brkBinSub m:val="--"/>
    <m:smallFrac m:val="0"/>
    <m:dispDef/>
    <m:lMargin m:val="0"/>
    <m:rMargin m:val="0"/>
    <m:defJc m:val="centerGroup"/>
    <m:wrapIndent m:val="1440"/>
    <m:intLim m:val="subSup"/>
    <m:naryLim m:val="undOvr"/>
  </m:mathPr>
  <w:themeFontLang w:val="cs-CZ" w:eastAsia="ja-JP"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83A1CCD-9470-48BB-80A9-9E16BCF1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Lucida Sans"/>
        <w:kern w:val="2"/>
        <w:szCs w:val="24"/>
        <w:lang w:val="cs-CZ"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spacing w:after="120"/>
    </w:pPr>
    <w:rPr>
      <w:rFonts w:asciiTheme="minorHAnsi" w:eastAsiaTheme="minorHAnsi" w:hAnsiTheme="minorHAnsi" w:cstheme="minorBidi"/>
      <w:kern w:val="0"/>
      <w:sz w:val="22"/>
      <w:szCs w:val="22"/>
      <w:lang w:eastAsia="en-US" w:bidi="ar-SA"/>
    </w:rPr>
  </w:style>
  <w:style w:type="paragraph" w:styleId="Nadpis1">
    <w:name w:val="heading 1"/>
    <w:basedOn w:val="Nadpis"/>
    <w:qFormat/>
    <w:pPr>
      <w:numPr>
        <w:numId w:val="1"/>
      </w:numPr>
      <w:outlineLvl w:val="0"/>
    </w:pPr>
    <w:rPr>
      <w:b/>
      <w:bCs/>
      <w:sz w:val="36"/>
      <w:szCs w:val="36"/>
    </w:rPr>
  </w:style>
  <w:style w:type="paragraph" w:styleId="Nadpis2">
    <w:name w:val="heading 2"/>
    <w:basedOn w:val="Nadpis"/>
    <w:next w:val="Zkladntext"/>
    <w:qFormat/>
    <w:pPr>
      <w:numPr>
        <w:ilvl w:val="1"/>
        <w:numId w:val="1"/>
      </w:numPr>
      <w:spacing w:before="200"/>
      <w:outlineLvl w:val="1"/>
    </w:pPr>
    <w:rPr>
      <w:b/>
      <w:bCs/>
      <w:sz w:val="32"/>
      <w:szCs w:val="32"/>
    </w:rPr>
  </w:style>
  <w:style w:type="paragraph" w:styleId="Nadpis3">
    <w:name w:val="heading 3"/>
    <w:basedOn w:val="Nadpis"/>
    <w:next w:val="Zkladntext"/>
    <w:qFormat/>
    <w:pPr>
      <w:numPr>
        <w:ilvl w:val="2"/>
        <w:numId w:val="1"/>
      </w:numPr>
      <w:spacing w:before="140"/>
      <w:outlineLvl w:val="2"/>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6232C0"/>
  </w:style>
  <w:style w:type="character" w:customStyle="1" w:styleId="ZpatChar">
    <w:name w:val="Zápatí Char"/>
    <w:basedOn w:val="Standardnpsmoodstavce"/>
    <w:link w:val="Zpat"/>
    <w:uiPriority w:val="99"/>
    <w:qFormat/>
    <w:rsid w:val="006232C0"/>
  </w:style>
  <w:style w:type="character" w:customStyle="1" w:styleId="TextpoznpodarouChar">
    <w:name w:val="Text pozn. pod čarou Char"/>
    <w:basedOn w:val="Standardnpsmoodstavce"/>
    <w:link w:val="Textpoznpodarou"/>
    <w:uiPriority w:val="99"/>
    <w:semiHidden/>
    <w:qFormat/>
    <w:rsid w:val="000D32AF"/>
    <w:rPr>
      <w:sz w:val="20"/>
      <w:szCs w:val="20"/>
    </w:rPr>
  </w:style>
  <w:style w:type="character" w:customStyle="1" w:styleId="Ukotvenpoznmkypodarou">
    <w:name w:val="Ukotvení poznámky pod čarou"/>
    <w:rPr>
      <w:vertAlign w:val="superscript"/>
    </w:rPr>
  </w:style>
  <w:style w:type="character" w:customStyle="1" w:styleId="FootnoteCharacters">
    <w:name w:val="Footnote Characters"/>
    <w:basedOn w:val="Standardnpsmoodstavce"/>
    <w:uiPriority w:val="99"/>
    <w:semiHidden/>
    <w:unhideWhenUsed/>
    <w:qFormat/>
    <w:rsid w:val="005443E1"/>
    <w:rPr>
      <w:vertAlign w:val="superscript"/>
    </w:rPr>
  </w:style>
  <w:style w:type="character" w:customStyle="1" w:styleId="TextbublinyChar">
    <w:name w:val="Text bubliny Char"/>
    <w:basedOn w:val="Standardnpsmoodstavce"/>
    <w:link w:val="Textbubliny"/>
    <w:uiPriority w:val="99"/>
    <w:semiHidden/>
    <w:qFormat/>
    <w:rsid w:val="003823A7"/>
    <w:rPr>
      <w:rFonts w:ascii="Segoe UI" w:hAnsi="Segoe UI" w:cs="Segoe UI"/>
      <w:sz w:val="18"/>
      <w:szCs w:val="18"/>
    </w:rPr>
  </w:style>
  <w:style w:type="character" w:styleId="Odkaznakoment">
    <w:name w:val="annotation reference"/>
    <w:basedOn w:val="Standardnpsmoodstavce"/>
    <w:uiPriority w:val="99"/>
    <w:semiHidden/>
    <w:unhideWhenUsed/>
    <w:qFormat/>
    <w:rsid w:val="002A5829"/>
    <w:rPr>
      <w:sz w:val="16"/>
      <w:szCs w:val="16"/>
    </w:rPr>
  </w:style>
  <w:style w:type="character" w:customStyle="1" w:styleId="TextkomenteChar">
    <w:name w:val="Text komentáře Char"/>
    <w:basedOn w:val="Standardnpsmoodstavce"/>
    <w:link w:val="Textkomente"/>
    <w:uiPriority w:val="99"/>
    <w:qFormat/>
    <w:rsid w:val="002A5829"/>
    <w:rPr>
      <w:sz w:val="20"/>
      <w:szCs w:val="20"/>
    </w:rPr>
  </w:style>
  <w:style w:type="character" w:customStyle="1" w:styleId="PedmtkomenteChar">
    <w:name w:val="Předmět komentáře Char"/>
    <w:basedOn w:val="TextkomenteChar"/>
    <w:link w:val="Pedmtkomente"/>
    <w:uiPriority w:val="99"/>
    <w:semiHidden/>
    <w:qFormat/>
    <w:rsid w:val="002A5829"/>
    <w:rPr>
      <w:b/>
      <w:bCs/>
      <w:sz w:val="20"/>
      <w:szCs w:val="20"/>
    </w:rPr>
  </w:style>
  <w:style w:type="character" w:customStyle="1" w:styleId="Znakypropoznmkupodarou">
    <w:name w:val="Znaky pro poznámku pod čarou"/>
    <w:qFormat/>
  </w:style>
  <w:style w:type="character" w:customStyle="1" w:styleId="ListLabel2276">
    <w:name w:val="ListLabel 2276"/>
    <w:qFormat/>
    <w:rPr>
      <w:rFonts w:cs="OpenSymbol"/>
      <w:sz w:val="24"/>
    </w:rPr>
  </w:style>
  <w:style w:type="character" w:customStyle="1" w:styleId="ListLabel2277">
    <w:name w:val="ListLabel 2277"/>
    <w:qFormat/>
    <w:rPr>
      <w:rFonts w:cs="OpenSymbol"/>
    </w:rPr>
  </w:style>
  <w:style w:type="character" w:customStyle="1" w:styleId="ListLabel2278">
    <w:name w:val="ListLabel 2278"/>
    <w:qFormat/>
    <w:rPr>
      <w:rFonts w:cs="OpenSymbol"/>
    </w:rPr>
  </w:style>
  <w:style w:type="character" w:customStyle="1" w:styleId="ListLabel2279">
    <w:name w:val="ListLabel 2279"/>
    <w:qFormat/>
    <w:rPr>
      <w:rFonts w:cs="OpenSymbol"/>
    </w:rPr>
  </w:style>
  <w:style w:type="character" w:customStyle="1" w:styleId="ListLabel2280">
    <w:name w:val="ListLabel 2280"/>
    <w:qFormat/>
    <w:rPr>
      <w:rFonts w:cs="OpenSymbol"/>
    </w:rPr>
  </w:style>
  <w:style w:type="character" w:customStyle="1" w:styleId="ListLabel2281">
    <w:name w:val="ListLabel 2281"/>
    <w:qFormat/>
    <w:rPr>
      <w:rFonts w:cs="OpenSymbol"/>
    </w:rPr>
  </w:style>
  <w:style w:type="character" w:customStyle="1" w:styleId="ListLabel2282">
    <w:name w:val="ListLabel 2282"/>
    <w:qFormat/>
    <w:rPr>
      <w:rFonts w:cs="OpenSymbol"/>
    </w:rPr>
  </w:style>
  <w:style w:type="character" w:customStyle="1" w:styleId="ListLabel2283">
    <w:name w:val="ListLabel 2283"/>
    <w:qFormat/>
    <w:rPr>
      <w:rFonts w:cs="OpenSymbol"/>
    </w:rPr>
  </w:style>
  <w:style w:type="character" w:customStyle="1" w:styleId="ListLabel2284">
    <w:name w:val="ListLabel 2284"/>
    <w:qFormat/>
    <w:rPr>
      <w:rFonts w:cs="OpenSymbol"/>
    </w:rPr>
  </w:style>
  <w:style w:type="character" w:customStyle="1" w:styleId="ListLabel2294">
    <w:name w:val="ListLabel 2294"/>
    <w:qFormat/>
    <w:rPr>
      <w:rFonts w:ascii="Calibri" w:hAnsi="Calibri" w:cs="OpenSymbol"/>
      <w:sz w:val="20"/>
    </w:rPr>
  </w:style>
  <w:style w:type="character" w:customStyle="1" w:styleId="ListLabel2295">
    <w:name w:val="ListLabel 2295"/>
    <w:qFormat/>
    <w:rPr>
      <w:rFonts w:cs="OpenSymbol"/>
    </w:rPr>
  </w:style>
  <w:style w:type="character" w:customStyle="1" w:styleId="ListLabel2296">
    <w:name w:val="ListLabel 2296"/>
    <w:qFormat/>
    <w:rPr>
      <w:rFonts w:cs="OpenSymbol"/>
    </w:rPr>
  </w:style>
  <w:style w:type="character" w:customStyle="1" w:styleId="ListLabel2297">
    <w:name w:val="ListLabel 2297"/>
    <w:qFormat/>
    <w:rPr>
      <w:rFonts w:cs="OpenSymbol"/>
    </w:rPr>
  </w:style>
  <w:style w:type="character" w:customStyle="1" w:styleId="ListLabel2298">
    <w:name w:val="ListLabel 2298"/>
    <w:qFormat/>
    <w:rPr>
      <w:rFonts w:cs="OpenSymbol"/>
    </w:rPr>
  </w:style>
  <w:style w:type="character" w:customStyle="1" w:styleId="ListLabel2299">
    <w:name w:val="ListLabel 2299"/>
    <w:qFormat/>
    <w:rPr>
      <w:rFonts w:cs="OpenSymbol"/>
    </w:rPr>
  </w:style>
  <w:style w:type="character" w:customStyle="1" w:styleId="ListLabel2300">
    <w:name w:val="ListLabel 2300"/>
    <w:qFormat/>
    <w:rPr>
      <w:rFonts w:cs="OpenSymbol"/>
    </w:rPr>
  </w:style>
  <w:style w:type="character" w:customStyle="1" w:styleId="ListLabel2301">
    <w:name w:val="ListLabel 2301"/>
    <w:qFormat/>
    <w:rPr>
      <w:rFonts w:cs="OpenSymbol"/>
    </w:rPr>
  </w:style>
  <w:style w:type="character" w:customStyle="1" w:styleId="ListLabel2302">
    <w:name w:val="ListLabel 2302"/>
    <w:qFormat/>
    <w:rPr>
      <w:rFonts w:cs="OpenSymbol"/>
    </w:rPr>
  </w:style>
  <w:style w:type="character" w:customStyle="1" w:styleId="ListLabel2285">
    <w:name w:val="ListLabel 2285"/>
    <w:qFormat/>
    <w:rPr>
      <w:rFonts w:cs="OpenSymbol"/>
      <w:sz w:val="24"/>
    </w:rPr>
  </w:style>
  <w:style w:type="character" w:customStyle="1" w:styleId="ListLabel2286">
    <w:name w:val="ListLabel 2286"/>
    <w:qFormat/>
    <w:rPr>
      <w:rFonts w:cs="OpenSymbol"/>
    </w:rPr>
  </w:style>
  <w:style w:type="character" w:customStyle="1" w:styleId="ListLabel2287">
    <w:name w:val="ListLabel 2287"/>
    <w:qFormat/>
    <w:rPr>
      <w:rFonts w:cs="OpenSymbol"/>
    </w:rPr>
  </w:style>
  <w:style w:type="character" w:customStyle="1" w:styleId="ListLabel2288">
    <w:name w:val="ListLabel 2288"/>
    <w:qFormat/>
    <w:rPr>
      <w:rFonts w:cs="OpenSymbol"/>
    </w:rPr>
  </w:style>
  <w:style w:type="character" w:customStyle="1" w:styleId="ListLabel2289">
    <w:name w:val="ListLabel 2289"/>
    <w:qFormat/>
    <w:rPr>
      <w:rFonts w:cs="OpenSymbol"/>
    </w:rPr>
  </w:style>
  <w:style w:type="character" w:customStyle="1" w:styleId="ListLabel2290">
    <w:name w:val="ListLabel 2290"/>
    <w:qFormat/>
    <w:rPr>
      <w:rFonts w:cs="OpenSymbol"/>
    </w:rPr>
  </w:style>
  <w:style w:type="character" w:customStyle="1" w:styleId="ListLabel2291">
    <w:name w:val="ListLabel 2291"/>
    <w:qFormat/>
    <w:rPr>
      <w:rFonts w:cs="OpenSymbol"/>
    </w:rPr>
  </w:style>
  <w:style w:type="character" w:customStyle="1" w:styleId="ListLabel2292">
    <w:name w:val="ListLabel 2292"/>
    <w:qFormat/>
    <w:rPr>
      <w:rFonts w:cs="OpenSymbol"/>
    </w:rPr>
  </w:style>
  <w:style w:type="character" w:customStyle="1" w:styleId="ListLabel2293">
    <w:name w:val="ListLabel 2293"/>
    <w:qFormat/>
    <w:rPr>
      <w:rFonts w:cs="OpenSymbol"/>
    </w:rPr>
  </w:style>
  <w:style w:type="character" w:customStyle="1" w:styleId="ListLabel2303">
    <w:name w:val="ListLabel 2303"/>
    <w:qFormat/>
    <w:rPr>
      <w:rFonts w:cs="OpenSymbol"/>
      <w:sz w:val="24"/>
    </w:rPr>
  </w:style>
  <w:style w:type="character" w:customStyle="1" w:styleId="ListLabel2304">
    <w:name w:val="ListLabel 2304"/>
    <w:qFormat/>
    <w:rPr>
      <w:rFonts w:cs="OpenSymbol"/>
    </w:rPr>
  </w:style>
  <w:style w:type="character" w:customStyle="1" w:styleId="ListLabel2305">
    <w:name w:val="ListLabel 2305"/>
    <w:qFormat/>
    <w:rPr>
      <w:rFonts w:cs="OpenSymbol"/>
    </w:rPr>
  </w:style>
  <w:style w:type="character" w:customStyle="1" w:styleId="ListLabel2306">
    <w:name w:val="ListLabel 2306"/>
    <w:qFormat/>
    <w:rPr>
      <w:rFonts w:cs="OpenSymbol"/>
    </w:rPr>
  </w:style>
  <w:style w:type="character" w:customStyle="1" w:styleId="ListLabel2307">
    <w:name w:val="ListLabel 2307"/>
    <w:qFormat/>
    <w:rPr>
      <w:rFonts w:cs="OpenSymbol"/>
    </w:rPr>
  </w:style>
  <w:style w:type="character" w:customStyle="1" w:styleId="ListLabel2308">
    <w:name w:val="ListLabel 2308"/>
    <w:qFormat/>
    <w:rPr>
      <w:rFonts w:cs="OpenSymbol"/>
    </w:rPr>
  </w:style>
  <w:style w:type="character" w:customStyle="1" w:styleId="ListLabel2309">
    <w:name w:val="ListLabel 2309"/>
    <w:qFormat/>
    <w:rPr>
      <w:rFonts w:cs="OpenSymbol"/>
    </w:rPr>
  </w:style>
  <w:style w:type="character" w:customStyle="1" w:styleId="ListLabel2310">
    <w:name w:val="ListLabel 2310"/>
    <w:qFormat/>
    <w:rPr>
      <w:rFonts w:cs="OpenSymbol"/>
    </w:rPr>
  </w:style>
  <w:style w:type="character" w:customStyle="1" w:styleId="ListLabel2311">
    <w:name w:val="ListLabel 2311"/>
    <w:qFormat/>
    <w:rPr>
      <w:rFonts w:cs="OpenSymbol"/>
    </w:rPr>
  </w:style>
  <w:style w:type="character" w:customStyle="1" w:styleId="ListLabel2312">
    <w:name w:val="ListLabel 2312"/>
    <w:qFormat/>
    <w:rPr>
      <w:rFonts w:cs="OpenSymbol"/>
      <w:sz w:val="24"/>
    </w:rPr>
  </w:style>
  <w:style w:type="character" w:customStyle="1" w:styleId="ListLabel2313">
    <w:name w:val="ListLabel 2313"/>
    <w:qFormat/>
    <w:rPr>
      <w:rFonts w:cs="OpenSymbol"/>
    </w:rPr>
  </w:style>
  <w:style w:type="character" w:customStyle="1" w:styleId="ListLabel2314">
    <w:name w:val="ListLabel 2314"/>
    <w:qFormat/>
    <w:rPr>
      <w:rFonts w:cs="OpenSymbol"/>
    </w:rPr>
  </w:style>
  <w:style w:type="character" w:customStyle="1" w:styleId="ListLabel2315">
    <w:name w:val="ListLabel 2315"/>
    <w:qFormat/>
    <w:rPr>
      <w:rFonts w:cs="OpenSymbol"/>
    </w:rPr>
  </w:style>
  <w:style w:type="character" w:customStyle="1" w:styleId="ListLabel2316">
    <w:name w:val="ListLabel 2316"/>
    <w:qFormat/>
    <w:rPr>
      <w:rFonts w:cs="OpenSymbol"/>
    </w:rPr>
  </w:style>
  <w:style w:type="character" w:customStyle="1" w:styleId="ListLabel2317">
    <w:name w:val="ListLabel 2317"/>
    <w:qFormat/>
    <w:rPr>
      <w:rFonts w:cs="OpenSymbol"/>
    </w:rPr>
  </w:style>
  <w:style w:type="character" w:customStyle="1" w:styleId="ListLabel2318">
    <w:name w:val="ListLabel 2318"/>
    <w:qFormat/>
    <w:rPr>
      <w:rFonts w:cs="OpenSymbol"/>
    </w:rPr>
  </w:style>
  <w:style w:type="character" w:customStyle="1" w:styleId="ListLabel2319">
    <w:name w:val="ListLabel 2319"/>
    <w:qFormat/>
    <w:rPr>
      <w:rFonts w:cs="OpenSymbol"/>
    </w:rPr>
  </w:style>
  <w:style w:type="character" w:customStyle="1" w:styleId="ListLabel2320">
    <w:name w:val="ListLabel 2320"/>
    <w:qFormat/>
    <w:rPr>
      <w:rFonts w:cs="OpenSymbol"/>
    </w:rPr>
  </w:style>
  <w:style w:type="character" w:customStyle="1" w:styleId="ListLabel2321">
    <w:name w:val="ListLabel 2321"/>
    <w:qFormat/>
    <w:rPr>
      <w:rFonts w:cs="OpenSymbol"/>
      <w:sz w:val="20"/>
    </w:rPr>
  </w:style>
  <w:style w:type="character" w:customStyle="1" w:styleId="ListLabel2322">
    <w:name w:val="ListLabel 2322"/>
    <w:qFormat/>
    <w:rPr>
      <w:rFonts w:cs="OpenSymbol"/>
    </w:rPr>
  </w:style>
  <w:style w:type="character" w:customStyle="1" w:styleId="ListLabel2323">
    <w:name w:val="ListLabel 2323"/>
    <w:qFormat/>
    <w:rPr>
      <w:rFonts w:cs="OpenSymbol"/>
    </w:rPr>
  </w:style>
  <w:style w:type="character" w:customStyle="1" w:styleId="ListLabel2324">
    <w:name w:val="ListLabel 2324"/>
    <w:qFormat/>
    <w:rPr>
      <w:rFonts w:cs="OpenSymbol"/>
    </w:rPr>
  </w:style>
  <w:style w:type="character" w:customStyle="1" w:styleId="ListLabel2325">
    <w:name w:val="ListLabel 2325"/>
    <w:qFormat/>
    <w:rPr>
      <w:rFonts w:cs="OpenSymbol"/>
    </w:rPr>
  </w:style>
  <w:style w:type="character" w:customStyle="1" w:styleId="ListLabel2326">
    <w:name w:val="ListLabel 2326"/>
    <w:qFormat/>
    <w:rPr>
      <w:rFonts w:cs="OpenSymbol"/>
    </w:rPr>
  </w:style>
  <w:style w:type="character" w:customStyle="1" w:styleId="ListLabel2327">
    <w:name w:val="ListLabel 2327"/>
    <w:qFormat/>
    <w:rPr>
      <w:rFonts w:cs="OpenSymbol"/>
    </w:rPr>
  </w:style>
  <w:style w:type="character" w:customStyle="1" w:styleId="ListLabel2328">
    <w:name w:val="ListLabel 2328"/>
    <w:qFormat/>
    <w:rPr>
      <w:rFonts w:cs="OpenSymbol"/>
    </w:rPr>
  </w:style>
  <w:style w:type="character" w:customStyle="1" w:styleId="ListLabel2329">
    <w:name w:val="ListLabel 2329"/>
    <w:qFormat/>
    <w:rPr>
      <w:rFonts w:cs="OpenSymbol"/>
    </w:rPr>
  </w:style>
  <w:style w:type="character" w:customStyle="1" w:styleId="ListLabel2330">
    <w:name w:val="ListLabel 2330"/>
    <w:qFormat/>
    <w:rPr>
      <w:rFonts w:cs="OpenSymbol"/>
      <w:sz w:val="24"/>
    </w:rPr>
  </w:style>
  <w:style w:type="character" w:customStyle="1" w:styleId="ListLabel2331">
    <w:name w:val="ListLabel 2331"/>
    <w:qFormat/>
    <w:rPr>
      <w:rFonts w:cs="OpenSymbol"/>
    </w:rPr>
  </w:style>
  <w:style w:type="character" w:customStyle="1" w:styleId="ListLabel2332">
    <w:name w:val="ListLabel 2332"/>
    <w:qFormat/>
    <w:rPr>
      <w:rFonts w:cs="OpenSymbol"/>
    </w:rPr>
  </w:style>
  <w:style w:type="character" w:customStyle="1" w:styleId="ListLabel2333">
    <w:name w:val="ListLabel 2333"/>
    <w:qFormat/>
    <w:rPr>
      <w:rFonts w:cs="OpenSymbol"/>
    </w:rPr>
  </w:style>
  <w:style w:type="character" w:customStyle="1" w:styleId="ListLabel2334">
    <w:name w:val="ListLabel 2334"/>
    <w:qFormat/>
    <w:rPr>
      <w:rFonts w:cs="OpenSymbol"/>
    </w:rPr>
  </w:style>
  <w:style w:type="character" w:customStyle="1" w:styleId="ListLabel2335">
    <w:name w:val="ListLabel 2335"/>
    <w:qFormat/>
    <w:rPr>
      <w:rFonts w:cs="OpenSymbol"/>
    </w:rPr>
  </w:style>
  <w:style w:type="character" w:customStyle="1" w:styleId="ListLabel2336">
    <w:name w:val="ListLabel 2336"/>
    <w:qFormat/>
    <w:rPr>
      <w:rFonts w:cs="OpenSymbol"/>
    </w:rPr>
  </w:style>
  <w:style w:type="character" w:customStyle="1" w:styleId="ListLabel2337">
    <w:name w:val="ListLabel 2337"/>
    <w:qFormat/>
    <w:rPr>
      <w:rFonts w:cs="OpenSymbol"/>
    </w:rPr>
  </w:style>
  <w:style w:type="character" w:customStyle="1" w:styleId="ListLabel2338">
    <w:name w:val="ListLabel 2338"/>
    <w:qFormat/>
    <w:rPr>
      <w:rFonts w:cs="OpenSymbol"/>
    </w:rPr>
  </w:style>
  <w:style w:type="character" w:customStyle="1" w:styleId="ListLabel2339">
    <w:name w:val="ListLabel 2339"/>
    <w:qFormat/>
    <w:rPr>
      <w:rFonts w:cs="OpenSymbol"/>
      <w:sz w:val="24"/>
    </w:rPr>
  </w:style>
  <w:style w:type="character" w:customStyle="1" w:styleId="ListLabel2340">
    <w:name w:val="ListLabel 2340"/>
    <w:qFormat/>
    <w:rPr>
      <w:rFonts w:cs="OpenSymbol"/>
    </w:rPr>
  </w:style>
  <w:style w:type="character" w:customStyle="1" w:styleId="ListLabel2341">
    <w:name w:val="ListLabel 2341"/>
    <w:qFormat/>
    <w:rPr>
      <w:rFonts w:cs="OpenSymbol"/>
    </w:rPr>
  </w:style>
  <w:style w:type="character" w:customStyle="1" w:styleId="ListLabel2342">
    <w:name w:val="ListLabel 2342"/>
    <w:qFormat/>
    <w:rPr>
      <w:rFonts w:cs="OpenSymbol"/>
    </w:rPr>
  </w:style>
  <w:style w:type="character" w:customStyle="1" w:styleId="ListLabel2343">
    <w:name w:val="ListLabel 2343"/>
    <w:qFormat/>
    <w:rPr>
      <w:rFonts w:cs="OpenSymbol"/>
    </w:rPr>
  </w:style>
  <w:style w:type="character" w:customStyle="1" w:styleId="ListLabel2344">
    <w:name w:val="ListLabel 2344"/>
    <w:qFormat/>
    <w:rPr>
      <w:rFonts w:cs="OpenSymbol"/>
    </w:rPr>
  </w:style>
  <w:style w:type="character" w:customStyle="1" w:styleId="ListLabel2345">
    <w:name w:val="ListLabel 2345"/>
    <w:qFormat/>
    <w:rPr>
      <w:rFonts w:cs="OpenSymbol"/>
    </w:rPr>
  </w:style>
  <w:style w:type="character" w:customStyle="1" w:styleId="ListLabel2346">
    <w:name w:val="ListLabel 2346"/>
    <w:qFormat/>
    <w:rPr>
      <w:rFonts w:cs="OpenSymbol"/>
    </w:rPr>
  </w:style>
  <w:style w:type="character" w:customStyle="1" w:styleId="ListLabel2347">
    <w:name w:val="ListLabel 2347"/>
    <w:qFormat/>
    <w:rPr>
      <w:rFonts w:cs="OpenSymbol"/>
    </w:rPr>
  </w:style>
  <w:style w:type="character" w:customStyle="1" w:styleId="ListLabel2348">
    <w:name w:val="ListLabel 2348"/>
    <w:qFormat/>
    <w:rPr>
      <w:rFonts w:cs="OpenSymbol"/>
      <w:sz w:val="24"/>
    </w:rPr>
  </w:style>
  <w:style w:type="character" w:customStyle="1" w:styleId="ListLabel2349">
    <w:name w:val="ListLabel 2349"/>
    <w:qFormat/>
    <w:rPr>
      <w:rFonts w:cs="OpenSymbol"/>
    </w:rPr>
  </w:style>
  <w:style w:type="character" w:customStyle="1" w:styleId="ListLabel2350">
    <w:name w:val="ListLabel 2350"/>
    <w:qFormat/>
    <w:rPr>
      <w:rFonts w:cs="OpenSymbol"/>
    </w:rPr>
  </w:style>
  <w:style w:type="character" w:customStyle="1" w:styleId="ListLabel2351">
    <w:name w:val="ListLabel 2351"/>
    <w:qFormat/>
    <w:rPr>
      <w:rFonts w:cs="OpenSymbol"/>
    </w:rPr>
  </w:style>
  <w:style w:type="character" w:customStyle="1" w:styleId="ListLabel2352">
    <w:name w:val="ListLabel 2352"/>
    <w:qFormat/>
    <w:rPr>
      <w:rFonts w:cs="OpenSymbol"/>
    </w:rPr>
  </w:style>
  <w:style w:type="character" w:customStyle="1" w:styleId="ListLabel2353">
    <w:name w:val="ListLabel 2353"/>
    <w:qFormat/>
    <w:rPr>
      <w:rFonts w:cs="OpenSymbol"/>
    </w:rPr>
  </w:style>
  <w:style w:type="character" w:customStyle="1" w:styleId="ListLabel2354">
    <w:name w:val="ListLabel 2354"/>
    <w:qFormat/>
    <w:rPr>
      <w:rFonts w:cs="OpenSymbol"/>
    </w:rPr>
  </w:style>
  <w:style w:type="character" w:customStyle="1" w:styleId="ListLabel2355">
    <w:name w:val="ListLabel 2355"/>
    <w:qFormat/>
    <w:rPr>
      <w:rFonts w:cs="OpenSymbol"/>
    </w:rPr>
  </w:style>
  <w:style w:type="character" w:customStyle="1" w:styleId="ListLabel2356">
    <w:name w:val="ListLabel 2356"/>
    <w:qFormat/>
    <w:rPr>
      <w:rFonts w:cs="OpenSymbol"/>
    </w:rPr>
  </w:style>
  <w:style w:type="character" w:customStyle="1" w:styleId="ListLabel2357">
    <w:name w:val="ListLabel 2357"/>
    <w:qFormat/>
    <w:rPr>
      <w:rFonts w:cs="OpenSymbol"/>
      <w:sz w:val="20"/>
    </w:rPr>
  </w:style>
  <w:style w:type="character" w:customStyle="1" w:styleId="ListLabel2358">
    <w:name w:val="ListLabel 2358"/>
    <w:qFormat/>
    <w:rPr>
      <w:rFonts w:cs="OpenSymbol"/>
    </w:rPr>
  </w:style>
  <w:style w:type="character" w:customStyle="1" w:styleId="ListLabel2359">
    <w:name w:val="ListLabel 2359"/>
    <w:qFormat/>
    <w:rPr>
      <w:rFonts w:cs="OpenSymbol"/>
    </w:rPr>
  </w:style>
  <w:style w:type="character" w:customStyle="1" w:styleId="ListLabel2360">
    <w:name w:val="ListLabel 2360"/>
    <w:qFormat/>
    <w:rPr>
      <w:rFonts w:cs="OpenSymbol"/>
    </w:rPr>
  </w:style>
  <w:style w:type="character" w:customStyle="1" w:styleId="ListLabel2361">
    <w:name w:val="ListLabel 2361"/>
    <w:qFormat/>
    <w:rPr>
      <w:rFonts w:cs="OpenSymbol"/>
    </w:rPr>
  </w:style>
  <w:style w:type="character" w:customStyle="1" w:styleId="ListLabel2362">
    <w:name w:val="ListLabel 2362"/>
    <w:qFormat/>
    <w:rPr>
      <w:rFonts w:cs="OpenSymbol"/>
    </w:rPr>
  </w:style>
  <w:style w:type="character" w:customStyle="1" w:styleId="ListLabel2363">
    <w:name w:val="ListLabel 2363"/>
    <w:qFormat/>
    <w:rPr>
      <w:rFonts w:cs="OpenSymbol"/>
    </w:rPr>
  </w:style>
  <w:style w:type="character" w:customStyle="1" w:styleId="ListLabel2364">
    <w:name w:val="ListLabel 2364"/>
    <w:qFormat/>
    <w:rPr>
      <w:rFonts w:cs="OpenSymbol"/>
    </w:rPr>
  </w:style>
  <w:style w:type="character" w:customStyle="1" w:styleId="ListLabel2365">
    <w:name w:val="ListLabel 2365"/>
    <w:qFormat/>
    <w:rPr>
      <w:rFonts w:cs="OpenSymbol"/>
    </w:rPr>
  </w:style>
  <w:style w:type="character" w:customStyle="1" w:styleId="ListLabel2366">
    <w:name w:val="ListLabel 2366"/>
    <w:qFormat/>
    <w:rPr>
      <w:rFonts w:cs="OpenSymbol"/>
      <w:sz w:val="24"/>
    </w:rPr>
  </w:style>
  <w:style w:type="character" w:customStyle="1" w:styleId="ListLabel2367">
    <w:name w:val="ListLabel 2367"/>
    <w:qFormat/>
    <w:rPr>
      <w:rFonts w:cs="OpenSymbol"/>
    </w:rPr>
  </w:style>
  <w:style w:type="character" w:customStyle="1" w:styleId="ListLabel2368">
    <w:name w:val="ListLabel 2368"/>
    <w:qFormat/>
    <w:rPr>
      <w:rFonts w:cs="OpenSymbol"/>
    </w:rPr>
  </w:style>
  <w:style w:type="character" w:customStyle="1" w:styleId="ListLabel2369">
    <w:name w:val="ListLabel 2369"/>
    <w:qFormat/>
    <w:rPr>
      <w:rFonts w:cs="OpenSymbol"/>
    </w:rPr>
  </w:style>
  <w:style w:type="character" w:customStyle="1" w:styleId="ListLabel2370">
    <w:name w:val="ListLabel 2370"/>
    <w:qFormat/>
    <w:rPr>
      <w:rFonts w:cs="OpenSymbol"/>
    </w:rPr>
  </w:style>
  <w:style w:type="character" w:customStyle="1" w:styleId="ListLabel2371">
    <w:name w:val="ListLabel 2371"/>
    <w:qFormat/>
    <w:rPr>
      <w:rFonts w:cs="OpenSymbol"/>
    </w:rPr>
  </w:style>
  <w:style w:type="character" w:customStyle="1" w:styleId="ListLabel2372">
    <w:name w:val="ListLabel 2372"/>
    <w:qFormat/>
    <w:rPr>
      <w:rFonts w:cs="OpenSymbol"/>
    </w:rPr>
  </w:style>
  <w:style w:type="character" w:customStyle="1" w:styleId="ListLabel2373">
    <w:name w:val="ListLabel 2373"/>
    <w:qFormat/>
    <w:rPr>
      <w:rFonts w:cs="OpenSymbol"/>
    </w:rPr>
  </w:style>
  <w:style w:type="character" w:customStyle="1" w:styleId="ListLabel2374">
    <w:name w:val="ListLabel 2374"/>
    <w:qFormat/>
    <w:rPr>
      <w:rFonts w:cs="OpenSymbol"/>
    </w:rPr>
  </w:style>
  <w:style w:type="character" w:customStyle="1" w:styleId="ListLabel2375">
    <w:name w:val="ListLabel 2375"/>
    <w:qFormat/>
    <w:rPr>
      <w:rFonts w:cs="OpenSymbol"/>
      <w:sz w:val="24"/>
    </w:rPr>
  </w:style>
  <w:style w:type="character" w:customStyle="1" w:styleId="ListLabel2376">
    <w:name w:val="ListLabel 2376"/>
    <w:qFormat/>
    <w:rPr>
      <w:rFonts w:cs="OpenSymbol"/>
    </w:rPr>
  </w:style>
  <w:style w:type="character" w:customStyle="1" w:styleId="ListLabel2377">
    <w:name w:val="ListLabel 2377"/>
    <w:qFormat/>
    <w:rPr>
      <w:rFonts w:cs="OpenSymbol"/>
    </w:rPr>
  </w:style>
  <w:style w:type="character" w:customStyle="1" w:styleId="ListLabel2378">
    <w:name w:val="ListLabel 2378"/>
    <w:qFormat/>
    <w:rPr>
      <w:rFonts w:cs="OpenSymbol"/>
    </w:rPr>
  </w:style>
  <w:style w:type="character" w:customStyle="1" w:styleId="ListLabel2379">
    <w:name w:val="ListLabel 2379"/>
    <w:qFormat/>
    <w:rPr>
      <w:rFonts w:cs="OpenSymbol"/>
    </w:rPr>
  </w:style>
  <w:style w:type="character" w:customStyle="1" w:styleId="ListLabel2380">
    <w:name w:val="ListLabel 2380"/>
    <w:qFormat/>
    <w:rPr>
      <w:rFonts w:cs="OpenSymbol"/>
    </w:rPr>
  </w:style>
  <w:style w:type="character" w:customStyle="1" w:styleId="ListLabel2381">
    <w:name w:val="ListLabel 2381"/>
    <w:qFormat/>
    <w:rPr>
      <w:rFonts w:cs="OpenSymbol"/>
    </w:rPr>
  </w:style>
  <w:style w:type="character" w:customStyle="1" w:styleId="ListLabel2382">
    <w:name w:val="ListLabel 2382"/>
    <w:qFormat/>
    <w:rPr>
      <w:rFonts w:cs="OpenSymbol"/>
    </w:rPr>
  </w:style>
  <w:style w:type="character" w:customStyle="1" w:styleId="ListLabel2383">
    <w:name w:val="ListLabel 2383"/>
    <w:qFormat/>
    <w:rPr>
      <w:rFonts w:cs="OpenSymbol"/>
    </w:rPr>
  </w:style>
  <w:style w:type="character" w:customStyle="1" w:styleId="ListLabel2275">
    <w:name w:val="ListLabel 2275"/>
    <w:qFormat/>
    <w:rPr>
      <w:rFonts w:cs="OpenSymbol"/>
    </w:rPr>
  </w:style>
  <w:style w:type="character" w:customStyle="1" w:styleId="ListLabel2274">
    <w:name w:val="ListLabel 2274"/>
    <w:qFormat/>
    <w:rPr>
      <w:rFonts w:cs="OpenSymbol"/>
    </w:rPr>
  </w:style>
  <w:style w:type="character" w:customStyle="1" w:styleId="ListLabel2273">
    <w:name w:val="ListLabel 2273"/>
    <w:qFormat/>
    <w:rPr>
      <w:rFonts w:cs="OpenSymbol"/>
    </w:rPr>
  </w:style>
  <w:style w:type="character" w:customStyle="1" w:styleId="ListLabel2272">
    <w:name w:val="ListLabel 2272"/>
    <w:qFormat/>
    <w:rPr>
      <w:rFonts w:cs="OpenSymbol"/>
    </w:rPr>
  </w:style>
  <w:style w:type="character" w:customStyle="1" w:styleId="ListLabel2271">
    <w:name w:val="ListLabel 2271"/>
    <w:qFormat/>
    <w:rPr>
      <w:rFonts w:cs="OpenSymbol"/>
    </w:rPr>
  </w:style>
  <w:style w:type="character" w:customStyle="1" w:styleId="ListLabel2270">
    <w:name w:val="ListLabel 2270"/>
    <w:qFormat/>
    <w:rPr>
      <w:rFonts w:cs="OpenSymbol"/>
    </w:rPr>
  </w:style>
  <w:style w:type="character" w:customStyle="1" w:styleId="ListLabel2269">
    <w:name w:val="ListLabel 2269"/>
    <w:qFormat/>
    <w:rPr>
      <w:rFonts w:cs="OpenSymbol"/>
    </w:rPr>
  </w:style>
  <w:style w:type="character" w:customStyle="1" w:styleId="ListLabel2268">
    <w:name w:val="ListLabel 2268"/>
    <w:qFormat/>
    <w:rPr>
      <w:rFonts w:cs="OpenSymbol"/>
    </w:rPr>
  </w:style>
  <w:style w:type="character" w:customStyle="1" w:styleId="ListLabel2267">
    <w:name w:val="ListLabel 2267"/>
    <w:qFormat/>
    <w:rPr>
      <w:rFonts w:cs="OpenSymbol"/>
      <w:sz w:val="24"/>
    </w:rPr>
  </w:style>
  <w:style w:type="character" w:customStyle="1" w:styleId="ListLabel2266">
    <w:name w:val="ListLabel 2266"/>
    <w:qFormat/>
    <w:rPr>
      <w:rFonts w:cs="OpenSymbol"/>
    </w:rPr>
  </w:style>
  <w:style w:type="character" w:customStyle="1" w:styleId="ListLabel2265">
    <w:name w:val="ListLabel 2265"/>
    <w:qFormat/>
    <w:rPr>
      <w:rFonts w:cs="OpenSymbol"/>
    </w:rPr>
  </w:style>
  <w:style w:type="character" w:customStyle="1" w:styleId="ListLabel2264">
    <w:name w:val="ListLabel 2264"/>
    <w:qFormat/>
    <w:rPr>
      <w:rFonts w:cs="OpenSymbol"/>
    </w:rPr>
  </w:style>
  <w:style w:type="character" w:customStyle="1" w:styleId="ListLabel2263">
    <w:name w:val="ListLabel 2263"/>
    <w:qFormat/>
    <w:rPr>
      <w:rFonts w:cs="OpenSymbol"/>
    </w:rPr>
  </w:style>
  <w:style w:type="character" w:customStyle="1" w:styleId="ListLabel2262">
    <w:name w:val="ListLabel 2262"/>
    <w:qFormat/>
    <w:rPr>
      <w:rFonts w:cs="OpenSymbol"/>
    </w:rPr>
  </w:style>
  <w:style w:type="character" w:customStyle="1" w:styleId="ListLabel2261">
    <w:name w:val="ListLabel 2261"/>
    <w:qFormat/>
    <w:rPr>
      <w:rFonts w:cs="OpenSymbol"/>
    </w:rPr>
  </w:style>
  <w:style w:type="character" w:customStyle="1" w:styleId="ListLabel2260">
    <w:name w:val="ListLabel 2260"/>
    <w:qFormat/>
    <w:rPr>
      <w:rFonts w:cs="OpenSymbol"/>
    </w:rPr>
  </w:style>
  <w:style w:type="character" w:customStyle="1" w:styleId="ListLabel2259">
    <w:name w:val="ListLabel 2259"/>
    <w:qFormat/>
    <w:rPr>
      <w:rFonts w:cs="OpenSymbol"/>
    </w:rPr>
  </w:style>
  <w:style w:type="character" w:customStyle="1" w:styleId="ListLabel2258">
    <w:name w:val="ListLabel 2258"/>
    <w:qFormat/>
    <w:rPr>
      <w:rFonts w:ascii="Calibri" w:hAnsi="Calibri" w:cs="OpenSymbol"/>
      <w:sz w:val="20"/>
    </w:rPr>
  </w:style>
  <w:style w:type="character" w:customStyle="1" w:styleId="ListLabel2257">
    <w:name w:val="ListLabel 2257"/>
    <w:qFormat/>
    <w:rPr>
      <w:rFonts w:cs="OpenSymbol"/>
    </w:rPr>
  </w:style>
  <w:style w:type="character" w:customStyle="1" w:styleId="ListLabel2256">
    <w:name w:val="ListLabel 2256"/>
    <w:qFormat/>
    <w:rPr>
      <w:rFonts w:cs="OpenSymbol"/>
    </w:rPr>
  </w:style>
  <w:style w:type="character" w:customStyle="1" w:styleId="ListLabel2255">
    <w:name w:val="ListLabel 2255"/>
    <w:qFormat/>
    <w:rPr>
      <w:rFonts w:cs="OpenSymbol"/>
    </w:rPr>
  </w:style>
  <w:style w:type="character" w:customStyle="1" w:styleId="ListLabel2254">
    <w:name w:val="ListLabel 2254"/>
    <w:qFormat/>
    <w:rPr>
      <w:rFonts w:cs="OpenSymbol"/>
    </w:rPr>
  </w:style>
  <w:style w:type="character" w:customStyle="1" w:styleId="ListLabel2253">
    <w:name w:val="ListLabel 2253"/>
    <w:qFormat/>
    <w:rPr>
      <w:rFonts w:cs="OpenSymbol"/>
    </w:rPr>
  </w:style>
  <w:style w:type="character" w:customStyle="1" w:styleId="ListLabel2252">
    <w:name w:val="ListLabel 2252"/>
    <w:qFormat/>
    <w:rPr>
      <w:rFonts w:cs="OpenSymbol"/>
    </w:rPr>
  </w:style>
  <w:style w:type="character" w:customStyle="1" w:styleId="ListLabel2251">
    <w:name w:val="ListLabel 2251"/>
    <w:qFormat/>
    <w:rPr>
      <w:rFonts w:cs="OpenSymbol"/>
    </w:rPr>
  </w:style>
  <w:style w:type="character" w:customStyle="1" w:styleId="ListLabel2250">
    <w:name w:val="ListLabel 2250"/>
    <w:qFormat/>
    <w:rPr>
      <w:rFonts w:cs="OpenSymbol"/>
    </w:rPr>
  </w:style>
  <w:style w:type="character" w:customStyle="1" w:styleId="ListLabel2249">
    <w:name w:val="ListLabel 2249"/>
    <w:qFormat/>
    <w:rPr>
      <w:rFonts w:cs="OpenSymbol"/>
      <w:sz w:val="24"/>
    </w:rPr>
  </w:style>
  <w:style w:type="character" w:customStyle="1" w:styleId="ListLabel2248">
    <w:name w:val="ListLabel 2248"/>
    <w:qFormat/>
    <w:rPr>
      <w:rFonts w:cs="OpenSymbol"/>
    </w:rPr>
  </w:style>
  <w:style w:type="character" w:customStyle="1" w:styleId="ListLabel2247">
    <w:name w:val="ListLabel 2247"/>
    <w:qFormat/>
    <w:rPr>
      <w:rFonts w:cs="OpenSymbol"/>
    </w:rPr>
  </w:style>
  <w:style w:type="character" w:customStyle="1" w:styleId="ListLabel2246">
    <w:name w:val="ListLabel 2246"/>
    <w:qFormat/>
    <w:rPr>
      <w:rFonts w:cs="OpenSymbol"/>
    </w:rPr>
  </w:style>
  <w:style w:type="character" w:customStyle="1" w:styleId="ListLabel2245">
    <w:name w:val="ListLabel 2245"/>
    <w:qFormat/>
    <w:rPr>
      <w:rFonts w:cs="OpenSymbol"/>
    </w:rPr>
  </w:style>
  <w:style w:type="character" w:customStyle="1" w:styleId="ListLabel2244">
    <w:name w:val="ListLabel 2244"/>
    <w:qFormat/>
    <w:rPr>
      <w:rFonts w:cs="OpenSymbol"/>
    </w:rPr>
  </w:style>
  <w:style w:type="character" w:customStyle="1" w:styleId="ListLabel2243">
    <w:name w:val="ListLabel 2243"/>
    <w:qFormat/>
    <w:rPr>
      <w:rFonts w:cs="OpenSymbol"/>
    </w:rPr>
  </w:style>
  <w:style w:type="character" w:customStyle="1" w:styleId="ListLabel2242">
    <w:name w:val="ListLabel 2242"/>
    <w:qFormat/>
    <w:rPr>
      <w:rFonts w:cs="OpenSymbol"/>
    </w:rPr>
  </w:style>
  <w:style w:type="character" w:customStyle="1" w:styleId="ListLabel2241">
    <w:name w:val="ListLabel 2241"/>
    <w:qFormat/>
    <w:rPr>
      <w:rFonts w:cs="OpenSymbol"/>
    </w:rPr>
  </w:style>
  <w:style w:type="character" w:customStyle="1" w:styleId="ListLabel2240">
    <w:name w:val="ListLabel 2240"/>
    <w:qFormat/>
    <w:rPr>
      <w:rFonts w:cs="OpenSymbol"/>
      <w:sz w:val="24"/>
    </w:rPr>
  </w:style>
  <w:style w:type="character" w:customStyle="1" w:styleId="ListLabel2239">
    <w:name w:val="ListLabel 2239"/>
    <w:qFormat/>
    <w:rPr>
      <w:rFonts w:cs="OpenSymbol"/>
    </w:rPr>
  </w:style>
  <w:style w:type="character" w:customStyle="1" w:styleId="ListLabel2238">
    <w:name w:val="ListLabel 2238"/>
    <w:qFormat/>
    <w:rPr>
      <w:rFonts w:cs="OpenSymbol"/>
    </w:rPr>
  </w:style>
  <w:style w:type="character" w:customStyle="1" w:styleId="ListLabel2237">
    <w:name w:val="ListLabel 2237"/>
    <w:qFormat/>
    <w:rPr>
      <w:rFonts w:cs="OpenSymbol"/>
    </w:rPr>
  </w:style>
  <w:style w:type="character" w:customStyle="1" w:styleId="ListLabel2236">
    <w:name w:val="ListLabel 2236"/>
    <w:qFormat/>
    <w:rPr>
      <w:rFonts w:cs="OpenSymbol"/>
    </w:rPr>
  </w:style>
  <w:style w:type="character" w:customStyle="1" w:styleId="ListLabel2235">
    <w:name w:val="ListLabel 2235"/>
    <w:qFormat/>
    <w:rPr>
      <w:rFonts w:cs="OpenSymbol"/>
    </w:rPr>
  </w:style>
  <w:style w:type="character" w:customStyle="1" w:styleId="ListLabel2234">
    <w:name w:val="ListLabel 2234"/>
    <w:qFormat/>
    <w:rPr>
      <w:rFonts w:cs="OpenSymbol"/>
    </w:rPr>
  </w:style>
  <w:style w:type="character" w:customStyle="1" w:styleId="ListLabel2233">
    <w:name w:val="ListLabel 2233"/>
    <w:qFormat/>
    <w:rPr>
      <w:rFonts w:cs="OpenSymbol"/>
    </w:rPr>
  </w:style>
  <w:style w:type="character" w:customStyle="1" w:styleId="ListLabel2232">
    <w:name w:val="ListLabel 2232"/>
    <w:qFormat/>
    <w:rPr>
      <w:rFonts w:cs="OpenSymbol"/>
    </w:rPr>
  </w:style>
  <w:style w:type="character" w:customStyle="1" w:styleId="ListLabel2231">
    <w:name w:val="ListLabel 2231"/>
    <w:qFormat/>
    <w:rPr>
      <w:rFonts w:cs="OpenSymbol"/>
      <w:sz w:val="24"/>
    </w:rPr>
  </w:style>
  <w:style w:type="character" w:customStyle="1" w:styleId="ListLabel2230">
    <w:name w:val="ListLabel 2230"/>
    <w:qFormat/>
    <w:rPr>
      <w:rFonts w:cs="OpenSymbol"/>
    </w:rPr>
  </w:style>
  <w:style w:type="character" w:customStyle="1" w:styleId="ListLabel2229">
    <w:name w:val="ListLabel 2229"/>
    <w:qFormat/>
    <w:rPr>
      <w:rFonts w:cs="OpenSymbol"/>
    </w:rPr>
  </w:style>
  <w:style w:type="character" w:customStyle="1" w:styleId="ListLabel2228">
    <w:name w:val="ListLabel 2228"/>
    <w:qFormat/>
    <w:rPr>
      <w:rFonts w:cs="OpenSymbol"/>
    </w:rPr>
  </w:style>
  <w:style w:type="character" w:customStyle="1" w:styleId="ListLabel2227">
    <w:name w:val="ListLabel 2227"/>
    <w:qFormat/>
    <w:rPr>
      <w:rFonts w:cs="OpenSymbol"/>
    </w:rPr>
  </w:style>
  <w:style w:type="character" w:customStyle="1" w:styleId="ListLabel2226">
    <w:name w:val="ListLabel 2226"/>
    <w:qFormat/>
    <w:rPr>
      <w:rFonts w:cs="OpenSymbol"/>
    </w:rPr>
  </w:style>
  <w:style w:type="character" w:customStyle="1" w:styleId="ListLabel2225">
    <w:name w:val="ListLabel 2225"/>
    <w:qFormat/>
    <w:rPr>
      <w:rFonts w:cs="OpenSymbol"/>
    </w:rPr>
  </w:style>
  <w:style w:type="character" w:customStyle="1" w:styleId="ListLabel2224">
    <w:name w:val="ListLabel 2224"/>
    <w:qFormat/>
    <w:rPr>
      <w:rFonts w:cs="OpenSymbol"/>
    </w:rPr>
  </w:style>
  <w:style w:type="character" w:customStyle="1" w:styleId="ListLabel2223">
    <w:name w:val="ListLabel 2223"/>
    <w:qFormat/>
    <w:rPr>
      <w:rFonts w:cs="OpenSymbol"/>
    </w:rPr>
  </w:style>
  <w:style w:type="character" w:customStyle="1" w:styleId="ListLabel2222">
    <w:name w:val="ListLabel 2222"/>
    <w:qFormat/>
    <w:rPr>
      <w:rFonts w:cs="OpenSymbol"/>
      <w:sz w:val="24"/>
    </w:rPr>
  </w:style>
  <w:style w:type="character" w:customStyle="1" w:styleId="ListLabel2221">
    <w:name w:val="ListLabel 2221"/>
    <w:qFormat/>
    <w:rPr>
      <w:rFonts w:cs="OpenSymbol"/>
    </w:rPr>
  </w:style>
  <w:style w:type="character" w:customStyle="1" w:styleId="ListLabel2220">
    <w:name w:val="ListLabel 2220"/>
    <w:qFormat/>
    <w:rPr>
      <w:rFonts w:cs="OpenSymbol"/>
    </w:rPr>
  </w:style>
  <w:style w:type="character" w:customStyle="1" w:styleId="ListLabel2219">
    <w:name w:val="ListLabel 2219"/>
    <w:qFormat/>
    <w:rPr>
      <w:rFonts w:cs="OpenSymbol"/>
    </w:rPr>
  </w:style>
  <w:style w:type="character" w:customStyle="1" w:styleId="ListLabel2218">
    <w:name w:val="ListLabel 2218"/>
    <w:qFormat/>
    <w:rPr>
      <w:rFonts w:cs="OpenSymbol"/>
    </w:rPr>
  </w:style>
  <w:style w:type="character" w:customStyle="1" w:styleId="ListLabel2217">
    <w:name w:val="ListLabel 2217"/>
    <w:qFormat/>
    <w:rPr>
      <w:rFonts w:cs="OpenSymbol"/>
    </w:rPr>
  </w:style>
  <w:style w:type="character" w:customStyle="1" w:styleId="ListLabel2216">
    <w:name w:val="ListLabel 2216"/>
    <w:qFormat/>
    <w:rPr>
      <w:rFonts w:cs="OpenSymbol"/>
    </w:rPr>
  </w:style>
  <w:style w:type="character" w:customStyle="1" w:styleId="ListLabel2215">
    <w:name w:val="ListLabel 2215"/>
    <w:qFormat/>
    <w:rPr>
      <w:rFonts w:cs="OpenSymbol"/>
    </w:rPr>
  </w:style>
  <w:style w:type="character" w:customStyle="1" w:styleId="ListLabel2214">
    <w:name w:val="ListLabel 2214"/>
    <w:qFormat/>
    <w:rPr>
      <w:rFonts w:cs="OpenSymbol"/>
    </w:rPr>
  </w:style>
  <w:style w:type="character" w:customStyle="1" w:styleId="ListLabel2213">
    <w:name w:val="ListLabel 2213"/>
    <w:qFormat/>
    <w:rPr>
      <w:rFonts w:cs="OpenSymbol"/>
      <w:sz w:val="24"/>
    </w:rPr>
  </w:style>
  <w:style w:type="character" w:customStyle="1" w:styleId="ListLabel2212">
    <w:name w:val="ListLabel 2212"/>
    <w:qFormat/>
    <w:rPr>
      <w:rFonts w:cs="OpenSymbol"/>
    </w:rPr>
  </w:style>
  <w:style w:type="character" w:customStyle="1" w:styleId="ListLabel2211">
    <w:name w:val="ListLabel 2211"/>
    <w:qFormat/>
    <w:rPr>
      <w:rFonts w:cs="OpenSymbol"/>
    </w:rPr>
  </w:style>
  <w:style w:type="character" w:customStyle="1" w:styleId="ListLabel2210">
    <w:name w:val="ListLabel 2210"/>
    <w:qFormat/>
    <w:rPr>
      <w:rFonts w:cs="OpenSymbol"/>
    </w:rPr>
  </w:style>
  <w:style w:type="character" w:customStyle="1" w:styleId="ListLabel2209">
    <w:name w:val="ListLabel 2209"/>
    <w:qFormat/>
    <w:rPr>
      <w:rFonts w:cs="OpenSymbol"/>
    </w:rPr>
  </w:style>
  <w:style w:type="character" w:customStyle="1" w:styleId="ListLabel2208">
    <w:name w:val="ListLabel 2208"/>
    <w:qFormat/>
    <w:rPr>
      <w:rFonts w:cs="OpenSymbol"/>
    </w:rPr>
  </w:style>
  <w:style w:type="character" w:customStyle="1" w:styleId="ListLabel2207">
    <w:name w:val="ListLabel 2207"/>
    <w:qFormat/>
    <w:rPr>
      <w:rFonts w:cs="OpenSymbol"/>
    </w:rPr>
  </w:style>
  <w:style w:type="character" w:customStyle="1" w:styleId="ListLabel2206">
    <w:name w:val="ListLabel 2206"/>
    <w:qFormat/>
    <w:rPr>
      <w:rFonts w:cs="OpenSymbol"/>
    </w:rPr>
  </w:style>
  <w:style w:type="character" w:customStyle="1" w:styleId="ListLabel2205">
    <w:name w:val="ListLabel 2205"/>
    <w:qFormat/>
    <w:rPr>
      <w:rFonts w:cs="OpenSymbol"/>
    </w:rPr>
  </w:style>
  <w:style w:type="character" w:customStyle="1" w:styleId="ListLabel2204">
    <w:name w:val="ListLabel 2204"/>
    <w:qFormat/>
    <w:rPr>
      <w:rFonts w:cs="OpenSymbol"/>
      <w:sz w:val="24"/>
    </w:rPr>
  </w:style>
  <w:style w:type="character" w:customStyle="1" w:styleId="ListLabel2203">
    <w:name w:val="ListLabel 2203"/>
    <w:qFormat/>
    <w:rPr>
      <w:rFonts w:cs="OpenSymbol"/>
    </w:rPr>
  </w:style>
  <w:style w:type="character" w:customStyle="1" w:styleId="ListLabel2202">
    <w:name w:val="ListLabel 2202"/>
    <w:qFormat/>
    <w:rPr>
      <w:rFonts w:cs="OpenSymbol"/>
    </w:rPr>
  </w:style>
  <w:style w:type="character" w:customStyle="1" w:styleId="ListLabel2201">
    <w:name w:val="ListLabel 2201"/>
    <w:qFormat/>
    <w:rPr>
      <w:rFonts w:cs="OpenSymbol"/>
    </w:rPr>
  </w:style>
  <w:style w:type="character" w:customStyle="1" w:styleId="ListLabel2200">
    <w:name w:val="ListLabel 2200"/>
    <w:qFormat/>
    <w:rPr>
      <w:rFonts w:cs="OpenSymbol"/>
    </w:rPr>
  </w:style>
  <w:style w:type="character" w:customStyle="1" w:styleId="ListLabel2199">
    <w:name w:val="ListLabel 2199"/>
    <w:qFormat/>
    <w:rPr>
      <w:rFonts w:cs="OpenSymbol"/>
    </w:rPr>
  </w:style>
  <w:style w:type="character" w:customStyle="1" w:styleId="ListLabel2198">
    <w:name w:val="ListLabel 2198"/>
    <w:qFormat/>
    <w:rPr>
      <w:rFonts w:cs="OpenSymbol"/>
    </w:rPr>
  </w:style>
  <w:style w:type="character" w:customStyle="1" w:styleId="ListLabel2197">
    <w:name w:val="ListLabel 2197"/>
    <w:qFormat/>
    <w:rPr>
      <w:rFonts w:cs="OpenSymbol"/>
    </w:rPr>
  </w:style>
  <w:style w:type="character" w:customStyle="1" w:styleId="ListLabel2196">
    <w:name w:val="ListLabel 2196"/>
    <w:qFormat/>
    <w:rPr>
      <w:rFonts w:cs="OpenSymbol"/>
    </w:rPr>
  </w:style>
  <w:style w:type="character" w:customStyle="1" w:styleId="ListLabel2195">
    <w:name w:val="ListLabel 2195"/>
    <w:qFormat/>
    <w:rPr>
      <w:rFonts w:cs="OpenSymbol"/>
      <w:sz w:val="24"/>
    </w:rPr>
  </w:style>
  <w:style w:type="character" w:customStyle="1" w:styleId="ListLabel2194">
    <w:name w:val="ListLabel 2194"/>
    <w:qFormat/>
    <w:rPr>
      <w:rFonts w:cs="OpenSymbol"/>
    </w:rPr>
  </w:style>
  <w:style w:type="character" w:customStyle="1" w:styleId="ListLabel2193">
    <w:name w:val="ListLabel 2193"/>
    <w:qFormat/>
    <w:rPr>
      <w:rFonts w:cs="OpenSymbol"/>
    </w:rPr>
  </w:style>
  <w:style w:type="character" w:customStyle="1" w:styleId="ListLabel2192">
    <w:name w:val="ListLabel 2192"/>
    <w:qFormat/>
    <w:rPr>
      <w:rFonts w:cs="OpenSymbol"/>
    </w:rPr>
  </w:style>
  <w:style w:type="character" w:customStyle="1" w:styleId="ListLabel2191">
    <w:name w:val="ListLabel 2191"/>
    <w:qFormat/>
    <w:rPr>
      <w:rFonts w:cs="OpenSymbol"/>
    </w:rPr>
  </w:style>
  <w:style w:type="character" w:customStyle="1" w:styleId="ListLabel2190">
    <w:name w:val="ListLabel 2190"/>
    <w:qFormat/>
    <w:rPr>
      <w:rFonts w:cs="OpenSymbol"/>
    </w:rPr>
  </w:style>
  <w:style w:type="character" w:customStyle="1" w:styleId="ListLabel2189">
    <w:name w:val="ListLabel 2189"/>
    <w:qFormat/>
    <w:rPr>
      <w:rFonts w:cs="OpenSymbol"/>
    </w:rPr>
  </w:style>
  <w:style w:type="character" w:customStyle="1" w:styleId="ListLabel2188">
    <w:name w:val="ListLabel 2188"/>
    <w:qFormat/>
    <w:rPr>
      <w:rFonts w:cs="OpenSymbol"/>
    </w:rPr>
  </w:style>
  <w:style w:type="character" w:customStyle="1" w:styleId="ListLabel2187">
    <w:name w:val="ListLabel 2187"/>
    <w:qFormat/>
    <w:rPr>
      <w:rFonts w:cs="OpenSymbol"/>
    </w:rPr>
  </w:style>
  <w:style w:type="character" w:customStyle="1" w:styleId="ListLabel2186">
    <w:name w:val="ListLabel 2186"/>
    <w:qFormat/>
    <w:rPr>
      <w:rFonts w:cs="OpenSymbol"/>
      <w:sz w:val="24"/>
    </w:rPr>
  </w:style>
  <w:style w:type="character" w:customStyle="1" w:styleId="ListLabel2185">
    <w:name w:val="ListLabel 2185"/>
    <w:qFormat/>
    <w:rPr>
      <w:rFonts w:cs="OpenSymbol"/>
    </w:rPr>
  </w:style>
  <w:style w:type="character" w:customStyle="1" w:styleId="ListLabel2184">
    <w:name w:val="ListLabel 2184"/>
    <w:qFormat/>
    <w:rPr>
      <w:rFonts w:cs="OpenSymbol"/>
    </w:rPr>
  </w:style>
  <w:style w:type="character" w:customStyle="1" w:styleId="ListLabel2183">
    <w:name w:val="ListLabel 2183"/>
    <w:qFormat/>
    <w:rPr>
      <w:rFonts w:cs="OpenSymbol"/>
    </w:rPr>
  </w:style>
  <w:style w:type="character" w:customStyle="1" w:styleId="ListLabel2182">
    <w:name w:val="ListLabel 2182"/>
    <w:qFormat/>
    <w:rPr>
      <w:rFonts w:cs="OpenSymbol"/>
    </w:rPr>
  </w:style>
  <w:style w:type="character" w:customStyle="1" w:styleId="ListLabel2181">
    <w:name w:val="ListLabel 2181"/>
    <w:qFormat/>
    <w:rPr>
      <w:rFonts w:cs="OpenSymbol"/>
    </w:rPr>
  </w:style>
  <w:style w:type="character" w:customStyle="1" w:styleId="ListLabel2180">
    <w:name w:val="ListLabel 2180"/>
    <w:qFormat/>
    <w:rPr>
      <w:rFonts w:cs="OpenSymbol"/>
    </w:rPr>
  </w:style>
  <w:style w:type="character" w:customStyle="1" w:styleId="ListLabel2179">
    <w:name w:val="ListLabel 2179"/>
    <w:qFormat/>
    <w:rPr>
      <w:rFonts w:cs="OpenSymbol"/>
    </w:rPr>
  </w:style>
  <w:style w:type="character" w:customStyle="1" w:styleId="ListLabel2178">
    <w:name w:val="ListLabel 2178"/>
    <w:qFormat/>
    <w:rPr>
      <w:rFonts w:cs="OpenSymbol"/>
    </w:rPr>
  </w:style>
  <w:style w:type="character" w:customStyle="1" w:styleId="ListLabel2177">
    <w:name w:val="ListLabel 2177"/>
    <w:qFormat/>
    <w:rPr>
      <w:rFonts w:cs="OpenSymbol"/>
      <w:sz w:val="24"/>
    </w:rPr>
  </w:style>
  <w:style w:type="character" w:customStyle="1" w:styleId="ListLabel2176">
    <w:name w:val="ListLabel 2176"/>
    <w:qFormat/>
    <w:rPr>
      <w:rFonts w:cs="OpenSymbol"/>
    </w:rPr>
  </w:style>
  <w:style w:type="character" w:customStyle="1" w:styleId="ListLabel2175">
    <w:name w:val="ListLabel 2175"/>
    <w:qFormat/>
    <w:rPr>
      <w:rFonts w:cs="OpenSymbol"/>
    </w:rPr>
  </w:style>
  <w:style w:type="character" w:customStyle="1" w:styleId="ListLabel2174">
    <w:name w:val="ListLabel 2174"/>
    <w:qFormat/>
    <w:rPr>
      <w:rFonts w:cs="OpenSymbol"/>
    </w:rPr>
  </w:style>
  <w:style w:type="character" w:customStyle="1" w:styleId="ListLabel2173">
    <w:name w:val="ListLabel 2173"/>
    <w:qFormat/>
    <w:rPr>
      <w:rFonts w:cs="OpenSymbol"/>
    </w:rPr>
  </w:style>
  <w:style w:type="character" w:customStyle="1" w:styleId="ListLabel2172">
    <w:name w:val="ListLabel 2172"/>
    <w:qFormat/>
    <w:rPr>
      <w:rFonts w:cs="OpenSymbol"/>
    </w:rPr>
  </w:style>
  <w:style w:type="character" w:customStyle="1" w:styleId="ListLabel2171">
    <w:name w:val="ListLabel 2171"/>
    <w:qFormat/>
    <w:rPr>
      <w:rFonts w:cs="OpenSymbol"/>
    </w:rPr>
  </w:style>
  <w:style w:type="character" w:customStyle="1" w:styleId="ListLabel2170">
    <w:name w:val="ListLabel 2170"/>
    <w:qFormat/>
    <w:rPr>
      <w:rFonts w:cs="OpenSymbol"/>
    </w:rPr>
  </w:style>
  <w:style w:type="character" w:customStyle="1" w:styleId="ListLabel2169">
    <w:name w:val="ListLabel 2169"/>
    <w:qFormat/>
    <w:rPr>
      <w:rFonts w:cs="OpenSymbol"/>
    </w:rPr>
  </w:style>
  <w:style w:type="character" w:customStyle="1" w:styleId="ListLabel2168">
    <w:name w:val="ListLabel 2168"/>
    <w:qFormat/>
    <w:rPr>
      <w:rFonts w:cs="OpenSymbol"/>
      <w:sz w:val="24"/>
    </w:rPr>
  </w:style>
  <w:style w:type="character" w:customStyle="1" w:styleId="HeaderChar1">
    <w:name w:val="Header Char1"/>
    <w:basedOn w:val="Standardnpsmoodstavce"/>
    <w:qFormat/>
    <w:rPr>
      <w:rFonts w:ascii="Arial" w:eastAsia="SimSun" w:hAnsi="Arial" w:cs="Mangal"/>
      <w:color w:val="00000A"/>
      <w:sz w:val="22"/>
      <w:szCs w:val="24"/>
      <w:lang w:eastAsia="zh-CN" w:bidi="hi-IN"/>
    </w:rPr>
  </w:style>
  <w:style w:type="character" w:customStyle="1" w:styleId="ListLabel2167">
    <w:name w:val="ListLabel 2167"/>
    <w:qFormat/>
    <w:rPr>
      <w:rFonts w:cs="OpenSymbol"/>
    </w:rPr>
  </w:style>
  <w:style w:type="character" w:customStyle="1" w:styleId="ListLabel2166">
    <w:name w:val="ListLabel 2166"/>
    <w:qFormat/>
    <w:rPr>
      <w:rFonts w:cs="OpenSymbol"/>
    </w:rPr>
  </w:style>
  <w:style w:type="character" w:customStyle="1" w:styleId="ListLabel2165">
    <w:name w:val="ListLabel 2165"/>
    <w:qFormat/>
    <w:rPr>
      <w:rFonts w:cs="OpenSymbol"/>
    </w:rPr>
  </w:style>
  <w:style w:type="character" w:customStyle="1" w:styleId="ListLabel2164">
    <w:name w:val="ListLabel 2164"/>
    <w:qFormat/>
    <w:rPr>
      <w:rFonts w:cs="OpenSymbol"/>
    </w:rPr>
  </w:style>
  <w:style w:type="character" w:customStyle="1" w:styleId="ListLabel2163">
    <w:name w:val="ListLabel 2163"/>
    <w:qFormat/>
    <w:rPr>
      <w:rFonts w:cs="OpenSymbol"/>
    </w:rPr>
  </w:style>
  <w:style w:type="character" w:customStyle="1" w:styleId="ListLabel2162">
    <w:name w:val="ListLabel 2162"/>
    <w:qFormat/>
    <w:rPr>
      <w:rFonts w:cs="OpenSymbol"/>
    </w:rPr>
  </w:style>
  <w:style w:type="character" w:customStyle="1" w:styleId="ListLabel2161">
    <w:name w:val="ListLabel 2161"/>
    <w:qFormat/>
    <w:rPr>
      <w:rFonts w:cs="OpenSymbol"/>
    </w:rPr>
  </w:style>
  <w:style w:type="character" w:customStyle="1" w:styleId="ListLabel2160">
    <w:name w:val="ListLabel 2160"/>
    <w:qFormat/>
    <w:rPr>
      <w:rFonts w:cs="OpenSymbol"/>
    </w:rPr>
  </w:style>
  <w:style w:type="character" w:customStyle="1" w:styleId="ListLabel2159">
    <w:name w:val="ListLabel 2159"/>
    <w:qFormat/>
    <w:rPr>
      <w:rFonts w:cs="OpenSymbol"/>
      <w:sz w:val="24"/>
    </w:rPr>
  </w:style>
  <w:style w:type="character" w:customStyle="1" w:styleId="ListLabel2158">
    <w:name w:val="ListLabel 2158"/>
    <w:qFormat/>
    <w:rPr>
      <w:rFonts w:cs="OpenSymbol"/>
    </w:rPr>
  </w:style>
  <w:style w:type="character" w:customStyle="1" w:styleId="ListLabel2157">
    <w:name w:val="ListLabel 2157"/>
    <w:qFormat/>
    <w:rPr>
      <w:rFonts w:cs="OpenSymbol"/>
    </w:rPr>
  </w:style>
  <w:style w:type="character" w:customStyle="1" w:styleId="ListLabel2156">
    <w:name w:val="ListLabel 2156"/>
    <w:qFormat/>
    <w:rPr>
      <w:rFonts w:cs="OpenSymbol"/>
    </w:rPr>
  </w:style>
  <w:style w:type="character" w:customStyle="1" w:styleId="ListLabel2155">
    <w:name w:val="ListLabel 2155"/>
    <w:qFormat/>
    <w:rPr>
      <w:rFonts w:cs="OpenSymbol"/>
    </w:rPr>
  </w:style>
  <w:style w:type="character" w:customStyle="1" w:styleId="ListLabel2154">
    <w:name w:val="ListLabel 2154"/>
    <w:qFormat/>
    <w:rPr>
      <w:rFonts w:cs="OpenSymbol"/>
    </w:rPr>
  </w:style>
  <w:style w:type="character" w:customStyle="1" w:styleId="ListLabel2153">
    <w:name w:val="ListLabel 2153"/>
    <w:qFormat/>
    <w:rPr>
      <w:rFonts w:cs="OpenSymbol"/>
    </w:rPr>
  </w:style>
  <w:style w:type="character" w:customStyle="1" w:styleId="ListLabel2152">
    <w:name w:val="ListLabel 2152"/>
    <w:qFormat/>
    <w:rPr>
      <w:rFonts w:cs="OpenSymbol"/>
    </w:rPr>
  </w:style>
  <w:style w:type="character" w:customStyle="1" w:styleId="ListLabel2151">
    <w:name w:val="ListLabel 2151"/>
    <w:qFormat/>
    <w:rPr>
      <w:rFonts w:cs="OpenSymbol"/>
    </w:rPr>
  </w:style>
  <w:style w:type="character" w:customStyle="1" w:styleId="ListLabel2150">
    <w:name w:val="ListLabel 2150"/>
    <w:qFormat/>
    <w:rPr>
      <w:rFonts w:cs="OpenSymbol"/>
      <w:sz w:val="24"/>
    </w:rPr>
  </w:style>
  <w:style w:type="character" w:customStyle="1" w:styleId="ListLabel2149">
    <w:name w:val="ListLabel 2149"/>
    <w:qFormat/>
    <w:rPr>
      <w:rFonts w:cs="OpenSymbol"/>
    </w:rPr>
  </w:style>
  <w:style w:type="character" w:customStyle="1" w:styleId="ListLabel2148">
    <w:name w:val="ListLabel 2148"/>
    <w:qFormat/>
    <w:rPr>
      <w:rFonts w:cs="OpenSymbol"/>
    </w:rPr>
  </w:style>
  <w:style w:type="character" w:customStyle="1" w:styleId="ListLabel2147">
    <w:name w:val="ListLabel 2147"/>
    <w:qFormat/>
    <w:rPr>
      <w:rFonts w:cs="OpenSymbol"/>
    </w:rPr>
  </w:style>
  <w:style w:type="character" w:customStyle="1" w:styleId="ListLabel2146">
    <w:name w:val="ListLabel 2146"/>
    <w:qFormat/>
    <w:rPr>
      <w:rFonts w:cs="OpenSymbol"/>
    </w:rPr>
  </w:style>
  <w:style w:type="character" w:customStyle="1" w:styleId="ListLabel2145">
    <w:name w:val="ListLabel 2145"/>
    <w:qFormat/>
    <w:rPr>
      <w:rFonts w:cs="OpenSymbol"/>
    </w:rPr>
  </w:style>
  <w:style w:type="character" w:customStyle="1" w:styleId="ListLabel2144">
    <w:name w:val="ListLabel 2144"/>
    <w:qFormat/>
    <w:rPr>
      <w:rFonts w:cs="OpenSymbol"/>
    </w:rPr>
  </w:style>
  <w:style w:type="character" w:customStyle="1" w:styleId="ListLabel2143">
    <w:name w:val="ListLabel 2143"/>
    <w:qFormat/>
    <w:rPr>
      <w:rFonts w:cs="OpenSymbol"/>
    </w:rPr>
  </w:style>
  <w:style w:type="character" w:customStyle="1" w:styleId="ListLabel2142">
    <w:name w:val="ListLabel 2142"/>
    <w:qFormat/>
    <w:rPr>
      <w:rFonts w:cs="OpenSymbol"/>
    </w:rPr>
  </w:style>
  <w:style w:type="character" w:customStyle="1" w:styleId="ListLabel2141">
    <w:name w:val="ListLabel 2141"/>
    <w:qFormat/>
    <w:rPr>
      <w:rFonts w:cs="OpenSymbol"/>
      <w:sz w:val="24"/>
    </w:rPr>
  </w:style>
  <w:style w:type="character" w:customStyle="1" w:styleId="ListLabel2140">
    <w:name w:val="ListLabel 2140"/>
    <w:qFormat/>
    <w:rPr>
      <w:rFonts w:cs="OpenSymbol"/>
    </w:rPr>
  </w:style>
  <w:style w:type="character" w:customStyle="1" w:styleId="ListLabel2139">
    <w:name w:val="ListLabel 2139"/>
    <w:qFormat/>
    <w:rPr>
      <w:rFonts w:cs="OpenSymbol"/>
    </w:rPr>
  </w:style>
  <w:style w:type="character" w:customStyle="1" w:styleId="ListLabel2138">
    <w:name w:val="ListLabel 2138"/>
    <w:qFormat/>
    <w:rPr>
      <w:rFonts w:cs="OpenSymbol"/>
    </w:rPr>
  </w:style>
  <w:style w:type="character" w:customStyle="1" w:styleId="ListLabel2137">
    <w:name w:val="ListLabel 2137"/>
    <w:qFormat/>
    <w:rPr>
      <w:rFonts w:cs="OpenSymbol"/>
    </w:rPr>
  </w:style>
  <w:style w:type="character" w:customStyle="1" w:styleId="ListLabel2136">
    <w:name w:val="ListLabel 2136"/>
    <w:qFormat/>
    <w:rPr>
      <w:rFonts w:cs="OpenSymbol"/>
    </w:rPr>
  </w:style>
  <w:style w:type="character" w:customStyle="1" w:styleId="ListLabel2135">
    <w:name w:val="ListLabel 2135"/>
    <w:qFormat/>
    <w:rPr>
      <w:rFonts w:cs="OpenSymbol"/>
    </w:rPr>
  </w:style>
  <w:style w:type="character" w:customStyle="1" w:styleId="ListLabel2134">
    <w:name w:val="ListLabel 2134"/>
    <w:qFormat/>
    <w:rPr>
      <w:rFonts w:cs="OpenSymbol"/>
    </w:rPr>
  </w:style>
  <w:style w:type="character" w:customStyle="1" w:styleId="ListLabel2133">
    <w:name w:val="ListLabel 2133"/>
    <w:qFormat/>
    <w:rPr>
      <w:rFonts w:cs="OpenSymbol"/>
    </w:rPr>
  </w:style>
  <w:style w:type="character" w:customStyle="1" w:styleId="ListLabel2132">
    <w:name w:val="ListLabel 2132"/>
    <w:qFormat/>
    <w:rPr>
      <w:rFonts w:cs="OpenSymbol"/>
      <w:sz w:val="24"/>
    </w:rPr>
  </w:style>
  <w:style w:type="character" w:customStyle="1" w:styleId="ListLabel2131">
    <w:name w:val="ListLabel 2131"/>
    <w:qFormat/>
    <w:rPr>
      <w:rFonts w:cs="OpenSymbol"/>
    </w:rPr>
  </w:style>
  <w:style w:type="character" w:customStyle="1" w:styleId="ListLabel2130">
    <w:name w:val="ListLabel 2130"/>
    <w:qFormat/>
    <w:rPr>
      <w:rFonts w:cs="OpenSymbol"/>
    </w:rPr>
  </w:style>
  <w:style w:type="character" w:customStyle="1" w:styleId="ListLabel2129">
    <w:name w:val="ListLabel 2129"/>
    <w:qFormat/>
    <w:rPr>
      <w:rFonts w:cs="OpenSymbol"/>
    </w:rPr>
  </w:style>
  <w:style w:type="character" w:customStyle="1" w:styleId="ListLabel2128">
    <w:name w:val="ListLabel 2128"/>
    <w:qFormat/>
    <w:rPr>
      <w:rFonts w:cs="OpenSymbol"/>
    </w:rPr>
  </w:style>
  <w:style w:type="character" w:customStyle="1" w:styleId="ListLabel2127">
    <w:name w:val="ListLabel 2127"/>
    <w:qFormat/>
    <w:rPr>
      <w:rFonts w:cs="OpenSymbol"/>
    </w:rPr>
  </w:style>
  <w:style w:type="character" w:customStyle="1" w:styleId="ListLabel2126">
    <w:name w:val="ListLabel 2126"/>
    <w:qFormat/>
    <w:rPr>
      <w:rFonts w:cs="OpenSymbol"/>
    </w:rPr>
  </w:style>
  <w:style w:type="character" w:customStyle="1" w:styleId="ListLabel2125">
    <w:name w:val="ListLabel 2125"/>
    <w:qFormat/>
    <w:rPr>
      <w:rFonts w:cs="OpenSymbol"/>
    </w:rPr>
  </w:style>
  <w:style w:type="character" w:customStyle="1" w:styleId="ListLabel2124">
    <w:name w:val="ListLabel 2124"/>
    <w:qFormat/>
    <w:rPr>
      <w:rFonts w:cs="OpenSymbol"/>
    </w:rPr>
  </w:style>
  <w:style w:type="character" w:customStyle="1" w:styleId="ListLabel2123">
    <w:name w:val="ListLabel 2123"/>
    <w:qFormat/>
    <w:rPr>
      <w:rFonts w:ascii="Calibri" w:hAnsi="Calibri" w:cs="OpenSymbol"/>
      <w:sz w:val="24"/>
    </w:rPr>
  </w:style>
  <w:style w:type="character" w:customStyle="1" w:styleId="ListLabel2122">
    <w:name w:val="ListLabel 2122"/>
    <w:qFormat/>
    <w:rPr>
      <w:rFonts w:cs="OpenSymbol"/>
    </w:rPr>
  </w:style>
  <w:style w:type="character" w:customStyle="1" w:styleId="ListLabel2121">
    <w:name w:val="ListLabel 2121"/>
    <w:qFormat/>
    <w:rPr>
      <w:rFonts w:cs="OpenSymbol"/>
    </w:rPr>
  </w:style>
  <w:style w:type="character" w:customStyle="1" w:styleId="ListLabel2120">
    <w:name w:val="ListLabel 2120"/>
    <w:qFormat/>
    <w:rPr>
      <w:rFonts w:cs="OpenSymbol"/>
    </w:rPr>
  </w:style>
  <w:style w:type="character" w:customStyle="1" w:styleId="ListLabel2119">
    <w:name w:val="ListLabel 2119"/>
    <w:qFormat/>
    <w:rPr>
      <w:rFonts w:cs="OpenSymbol"/>
    </w:rPr>
  </w:style>
  <w:style w:type="character" w:customStyle="1" w:styleId="ListLabel2118">
    <w:name w:val="ListLabel 2118"/>
    <w:qFormat/>
    <w:rPr>
      <w:rFonts w:cs="OpenSymbol"/>
    </w:rPr>
  </w:style>
  <w:style w:type="character" w:customStyle="1" w:styleId="ListLabel2117">
    <w:name w:val="ListLabel 2117"/>
    <w:qFormat/>
    <w:rPr>
      <w:rFonts w:cs="OpenSymbol"/>
    </w:rPr>
  </w:style>
  <w:style w:type="character" w:customStyle="1" w:styleId="ListLabel2116">
    <w:name w:val="ListLabel 2116"/>
    <w:qFormat/>
    <w:rPr>
      <w:rFonts w:cs="OpenSymbol"/>
    </w:rPr>
  </w:style>
  <w:style w:type="character" w:customStyle="1" w:styleId="ListLabel2115">
    <w:name w:val="ListLabel 2115"/>
    <w:qFormat/>
    <w:rPr>
      <w:rFonts w:cs="OpenSymbol"/>
    </w:rPr>
  </w:style>
  <w:style w:type="character" w:customStyle="1" w:styleId="ListLabel2114">
    <w:name w:val="ListLabel 2114"/>
    <w:qFormat/>
    <w:rPr>
      <w:rFonts w:ascii="Calibri" w:hAnsi="Calibri" w:cs="OpenSymbol"/>
      <w:sz w:val="24"/>
    </w:rPr>
  </w:style>
  <w:style w:type="character" w:customStyle="1" w:styleId="ListLabel2113">
    <w:name w:val="ListLabel 2113"/>
    <w:qFormat/>
    <w:rPr>
      <w:rFonts w:cs="OpenSymbol"/>
    </w:rPr>
  </w:style>
  <w:style w:type="character" w:customStyle="1" w:styleId="ListLabel2112">
    <w:name w:val="ListLabel 2112"/>
    <w:qFormat/>
    <w:rPr>
      <w:rFonts w:cs="OpenSymbol"/>
    </w:rPr>
  </w:style>
  <w:style w:type="character" w:customStyle="1" w:styleId="ListLabel2111">
    <w:name w:val="ListLabel 2111"/>
    <w:qFormat/>
    <w:rPr>
      <w:rFonts w:cs="OpenSymbol"/>
    </w:rPr>
  </w:style>
  <w:style w:type="character" w:customStyle="1" w:styleId="ListLabel2110">
    <w:name w:val="ListLabel 2110"/>
    <w:qFormat/>
    <w:rPr>
      <w:rFonts w:cs="OpenSymbol"/>
    </w:rPr>
  </w:style>
  <w:style w:type="character" w:customStyle="1" w:styleId="ListLabel2109">
    <w:name w:val="ListLabel 2109"/>
    <w:qFormat/>
    <w:rPr>
      <w:rFonts w:cs="OpenSymbol"/>
    </w:rPr>
  </w:style>
  <w:style w:type="character" w:customStyle="1" w:styleId="ListLabel2108">
    <w:name w:val="ListLabel 2108"/>
    <w:qFormat/>
    <w:rPr>
      <w:rFonts w:cs="OpenSymbol"/>
    </w:rPr>
  </w:style>
  <w:style w:type="character" w:customStyle="1" w:styleId="ListLabel2107">
    <w:name w:val="ListLabel 2107"/>
    <w:qFormat/>
    <w:rPr>
      <w:rFonts w:cs="OpenSymbol"/>
    </w:rPr>
  </w:style>
  <w:style w:type="character" w:customStyle="1" w:styleId="ListLabel2106">
    <w:name w:val="ListLabel 2106"/>
    <w:qFormat/>
    <w:rPr>
      <w:rFonts w:cs="OpenSymbol"/>
    </w:rPr>
  </w:style>
  <w:style w:type="character" w:customStyle="1" w:styleId="ListLabel2105">
    <w:name w:val="ListLabel 2105"/>
    <w:qFormat/>
    <w:rPr>
      <w:rFonts w:ascii="Calibri" w:hAnsi="Calibri" w:cs="OpenSymbol"/>
      <w:sz w:val="24"/>
    </w:rPr>
  </w:style>
  <w:style w:type="character" w:customStyle="1" w:styleId="ListLabel2104">
    <w:name w:val="ListLabel 2104"/>
    <w:qFormat/>
    <w:rPr>
      <w:rFonts w:cs="OpenSymbol"/>
    </w:rPr>
  </w:style>
  <w:style w:type="character" w:customStyle="1" w:styleId="ListLabel2103">
    <w:name w:val="ListLabel 2103"/>
    <w:qFormat/>
    <w:rPr>
      <w:rFonts w:cs="OpenSymbol"/>
    </w:rPr>
  </w:style>
  <w:style w:type="character" w:customStyle="1" w:styleId="ListLabel2102">
    <w:name w:val="ListLabel 2102"/>
    <w:qFormat/>
    <w:rPr>
      <w:rFonts w:cs="OpenSymbol"/>
    </w:rPr>
  </w:style>
  <w:style w:type="character" w:customStyle="1" w:styleId="ListLabel2101">
    <w:name w:val="ListLabel 2101"/>
    <w:qFormat/>
    <w:rPr>
      <w:rFonts w:cs="OpenSymbol"/>
    </w:rPr>
  </w:style>
  <w:style w:type="character" w:customStyle="1" w:styleId="ListLabel2100">
    <w:name w:val="ListLabel 2100"/>
    <w:qFormat/>
    <w:rPr>
      <w:rFonts w:cs="OpenSymbol"/>
    </w:rPr>
  </w:style>
  <w:style w:type="character" w:customStyle="1" w:styleId="ListLabel2099">
    <w:name w:val="ListLabel 2099"/>
    <w:qFormat/>
    <w:rPr>
      <w:rFonts w:cs="OpenSymbol"/>
    </w:rPr>
  </w:style>
  <w:style w:type="character" w:customStyle="1" w:styleId="ListLabel2098">
    <w:name w:val="ListLabel 2098"/>
    <w:qFormat/>
    <w:rPr>
      <w:rFonts w:cs="OpenSymbol"/>
    </w:rPr>
  </w:style>
  <w:style w:type="character" w:customStyle="1" w:styleId="ListLabel2097">
    <w:name w:val="ListLabel 2097"/>
    <w:qFormat/>
    <w:rPr>
      <w:rFonts w:cs="OpenSymbol"/>
    </w:rPr>
  </w:style>
  <w:style w:type="character" w:customStyle="1" w:styleId="ListLabel2096">
    <w:name w:val="ListLabel 2096"/>
    <w:qFormat/>
    <w:rPr>
      <w:rFonts w:ascii="Calibri" w:hAnsi="Calibri" w:cs="OpenSymbol"/>
      <w:sz w:val="24"/>
    </w:rPr>
  </w:style>
  <w:style w:type="character" w:customStyle="1" w:styleId="ListLabel2095">
    <w:name w:val="ListLabel 2095"/>
    <w:qFormat/>
    <w:rPr>
      <w:rFonts w:cs="OpenSymbol"/>
    </w:rPr>
  </w:style>
  <w:style w:type="character" w:customStyle="1" w:styleId="ListLabel2094">
    <w:name w:val="ListLabel 2094"/>
    <w:qFormat/>
    <w:rPr>
      <w:rFonts w:cs="OpenSymbol"/>
    </w:rPr>
  </w:style>
  <w:style w:type="character" w:customStyle="1" w:styleId="ListLabel2093">
    <w:name w:val="ListLabel 2093"/>
    <w:qFormat/>
    <w:rPr>
      <w:rFonts w:cs="OpenSymbol"/>
    </w:rPr>
  </w:style>
  <w:style w:type="character" w:customStyle="1" w:styleId="ListLabel2092">
    <w:name w:val="ListLabel 2092"/>
    <w:qFormat/>
    <w:rPr>
      <w:rFonts w:cs="OpenSymbol"/>
    </w:rPr>
  </w:style>
  <w:style w:type="character" w:customStyle="1" w:styleId="ListLabel2091">
    <w:name w:val="ListLabel 2091"/>
    <w:qFormat/>
    <w:rPr>
      <w:rFonts w:cs="OpenSymbol"/>
    </w:rPr>
  </w:style>
  <w:style w:type="character" w:customStyle="1" w:styleId="ListLabel2090">
    <w:name w:val="ListLabel 2090"/>
    <w:qFormat/>
    <w:rPr>
      <w:rFonts w:cs="OpenSymbol"/>
    </w:rPr>
  </w:style>
  <w:style w:type="character" w:customStyle="1" w:styleId="ListLabel2089">
    <w:name w:val="ListLabel 2089"/>
    <w:qFormat/>
    <w:rPr>
      <w:rFonts w:cs="OpenSymbol"/>
    </w:rPr>
  </w:style>
  <w:style w:type="character" w:customStyle="1" w:styleId="ListLabel2088">
    <w:name w:val="ListLabel 2088"/>
    <w:qFormat/>
    <w:rPr>
      <w:rFonts w:cs="OpenSymbol"/>
    </w:rPr>
  </w:style>
  <w:style w:type="character" w:customStyle="1" w:styleId="ListLabel2087">
    <w:name w:val="ListLabel 2087"/>
    <w:qFormat/>
    <w:rPr>
      <w:rFonts w:ascii="Calibri" w:hAnsi="Calibri" w:cs="OpenSymbol"/>
      <w:sz w:val="24"/>
    </w:rPr>
  </w:style>
  <w:style w:type="character" w:customStyle="1" w:styleId="ListLabel2086">
    <w:name w:val="ListLabel 2086"/>
    <w:qFormat/>
    <w:rPr>
      <w:rFonts w:cs="OpenSymbol"/>
    </w:rPr>
  </w:style>
  <w:style w:type="character" w:customStyle="1" w:styleId="ListLabel2085">
    <w:name w:val="ListLabel 2085"/>
    <w:qFormat/>
    <w:rPr>
      <w:rFonts w:cs="OpenSymbol"/>
    </w:rPr>
  </w:style>
  <w:style w:type="character" w:customStyle="1" w:styleId="ListLabel2084">
    <w:name w:val="ListLabel 2084"/>
    <w:qFormat/>
    <w:rPr>
      <w:rFonts w:cs="OpenSymbol"/>
    </w:rPr>
  </w:style>
  <w:style w:type="character" w:customStyle="1" w:styleId="ListLabel2083">
    <w:name w:val="ListLabel 2083"/>
    <w:qFormat/>
    <w:rPr>
      <w:rFonts w:cs="OpenSymbol"/>
    </w:rPr>
  </w:style>
  <w:style w:type="character" w:customStyle="1" w:styleId="ListLabel2082">
    <w:name w:val="ListLabel 2082"/>
    <w:qFormat/>
    <w:rPr>
      <w:rFonts w:cs="OpenSymbol"/>
    </w:rPr>
  </w:style>
  <w:style w:type="character" w:customStyle="1" w:styleId="ListLabel2081">
    <w:name w:val="ListLabel 2081"/>
    <w:qFormat/>
    <w:rPr>
      <w:rFonts w:cs="OpenSymbol"/>
    </w:rPr>
  </w:style>
  <w:style w:type="character" w:customStyle="1" w:styleId="ListLabel2080">
    <w:name w:val="ListLabel 2080"/>
    <w:qFormat/>
    <w:rPr>
      <w:rFonts w:cs="OpenSymbol"/>
    </w:rPr>
  </w:style>
  <w:style w:type="character" w:customStyle="1" w:styleId="ListLabel2079">
    <w:name w:val="ListLabel 2079"/>
    <w:qFormat/>
    <w:rPr>
      <w:rFonts w:cs="OpenSymbol"/>
    </w:rPr>
  </w:style>
  <w:style w:type="character" w:customStyle="1" w:styleId="ListLabel2078">
    <w:name w:val="ListLabel 2078"/>
    <w:qFormat/>
    <w:rPr>
      <w:rFonts w:ascii="Calibri" w:hAnsi="Calibri" w:cs="OpenSymbol"/>
      <w:sz w:val="24"/>
    </w:rPr>
  </w:style>
  <w:style w:type="character" w:customStyle="1" w:styleId="ListLabel2077">
    <w:name w:val="ListLabel 2077"/>
    <w:qFormat/>
    <w:rPr>
      <w:rFonts w:cs="OpenSymbol"/>
    </w:rPr>
  </w:style>
  <w:style w:type="character" w:customStyle="1" w:styleId="ListLabel2076">
    <w:name w:val="ListLabel 2076"/>
    <w:qFormat/>
    <w:rPr>
      <w:rFonts w:cs="OpenSymbol"/>
    </w:rPr>
  </w:style>
  <w:style w:type="character" w:customStyle="1" w:styleId="ListLabel2075">
    <w:name w:val="ListLabel 2075"/>
    <w:qFormat/>
    <w:rPr>
      <w:rFonts w:cs="OpenSymbol"/>
    </w:rPr>
  </w:style>
  <w:style w:type="character" w:customStyle="1" w:styleId="ListLabel2074">
    <w:name w:val="ListLabel 2074"/>
    <w:qFormat/>
    <w:rPr>
      <w:rFonts w:cs="OpenSymbol"/>
    </w:rPr>
  </w:style>
  <w:style w:type="character" w:customStyle="1" w:styleId="ListLabel2073">
    <w:name w:val="ListLabel 2073"/>
    <w:qFormat/>
    <w:rPr>
      <w:rFonts w:cs="OpenSymbol"/>
    </w:rPr>
  </w:style>
  <w:style w:type="character" w:customStyle="1" w:styleId="ListLabel2072">
    <w:name w:val="ListLabel 2072"/>
    <w:qFormat/>
    <w:rPr>
      <w:rFonts w:cs="OpenSymbol"/>
    </w:rPr>
  </w:style>
  <w:style w:type="character" w:customStyle="1" w:styleId="ListLabel2071">
    <w:name w:val="ListLabel 2071"/>
    <w:qFormat/>
    <w:rPr>
      <w:rFonts w:cs="OpenSymbol"/>
    </w:rPr>
  </w:style>
  <w:style w:type="character" w:customStyle="1" w:styleId="ListLabel2070">
    <w:name w:val="ListLabel 2070"/>
    <w:qFormat/>
    <w:rPr>
      <w:rFonts w:cs="OpenSymbol"/>
    </w:rPr>
  </w:style>
  <w:style w:type="character" w:customStyle="1" w:styleId="ListLabel2069">
    <w:name w:val="ListLabel 2069"/>
    <w:qFormat/>
    <w:rPr>
      <w:rFonts w:ascii="Calibri" w:hAnsi="Calibri" w:cs="OpenSymbol"/>
      <w:sz w:val="24"/>
    </w:rPr>
  </w:style>
  <w:style w:type="character" w:customStyle="1" w:styleId="ListLabel2068">
    <w:name w:val="ListLabel 2068"/>
    <w:qFormat/>
    <w:rPr>
      <w:rFonts w:cs="OpenSymbol"/>
    </w:rPr>
  </w:style>
  <w:style w:type="character" w:customStyle="1" w:styleId="ListLabel2067">
    <w:name w:val="ListLabel 2067"/>
    <w:qFormat/>
    <w:rPr>
      <w:rFonts w:cs="OpenSymbol"/>
    </w:rPr>
  </w:style>
  <w:style w:type="character" w:customStyle="1" w:styleId="ListLabel2066">
    <w:name w:val="ListLabel 2066"/>
    <w:qFormat/>
    <w:rPr>
      <w:rFonts w:cs="OpenSymbol"/>
    </w:rPr>
  </w:style>
  <w:style w:type="character" w:customStyle="1" w:styleId="ListLabel2065">
    <w:name w:val="ListLabel 2065"/>
    <w:qFormat/>
    <w:rPr>
      <w:rFonts w:cs="OpenSymbol"/>
    </w:rPr>
  </w:style>
  <w:style w:type="character" w:customStyle="1" w:styleId="ListLabel2064">
    <w:name w:val="ListLabel 2064"/>
    <w:qFormat/>
    <w:rPr>
      <w:rFonts w:cs="OpenSymbol"/>
    </w:rPr>
  </w:style>
  <w:style w:type="character" w:customStyle="1" w:styleId="ListLabel2063">
    <w:name w:val="ListLabel 2063"/>
    <w:qFormat/>
    <w:rPr>
      <w:rFonts w:cs="OpenSymbol"/>
    </w:rPr>
  </w:style>
  <w:style w:type="character" w:customStyle="1" w:styleId="ListLabel2062">
    <w:name w:val="ListLabel 2062"/>
    <w:qFormat/>
    <w:rPr>
      <w:rFonts w:cs="OpenSymbol"/>
    </w:rPr>
  </w:style>
  <w:style w:type="character" w:customStyle="1" w:styleId="ListLabel2061">
    <w:name w:val="ListLabel 2061"/>
    <w:qFormat/>
    <w:rPr>
      <w:rFonts w:cs="OpenSymbol"/>
    </w:rPr>
  </w:style>
  <w:style w:type="character" w:customStyle="1" w:styleId="ListLabel2060">
    <w:name w:val="ListLabel 2060"/>
    <w:qFormat/>
    <w:rPr>
      <w:rFonts w:ascii="Calibri" w:hAnsi="Calibri" w:cs="OpenSymbol"/>
      <w:sz w:val="24"/>
    </w:rPr>
  </w:style>
  <w:style w:type="character" w:customStyle="1" w:styleId="ListLabel2059">
    <w:name w:val="ListLabel 2059"/>
    <w:qFormat/>
    <w:rPr>
      <w:rFonts w:cs="OpenSymbol"/>
    </w:rPr>
  </w:style>
  <w:style w:type="character" w:customStyle="1" w:styleId="ListLabel2058">
    <w:name w:val="ListLabel 2058"/>
    <w:qFormat/>
    <w:rPr>
      <w:rFonts w:cs="OpenSymbol"/>
    </w:rPr>
  </w:style>
  <w:style w:type="character" w:customStyle="1" w:styleId="ListLabel2057">
    <w:name w:val="ListLabel 2057"/>
    <w:qFormat/>
    <w:rPr>
      <w:rFonts w:cs="OpenSymbol"/>
    </w:rPr>
  </w:style>
  <w:style w:type="character" w:customStyle="1" w:styleId="ListLabel2056">
    <w:name w:val="ListLabel 2056"/>
    <w:qFormat/>
    <w:rPr>
      <w:rFonts w:cs="OpenSymbol"/>
    </w:rPr>
  </w:style>
  <w:style w:type="character" w:customStyle="1" w:styleId="ListLabel2055">
    <w:name w:val="ListLabel 2055"/>
    <w:qFormat/>
    <w:rPr>
      <w:rFonts w:cs="OpenSymbol"/>
    </w:rPr>
  </w:style>
  <w:style w:type="character" w:customStyle="1" w:styleId="ListLabel2054">
    <w:name w:val="ListLabel 2054"/>
    <w:qFormat/>
    <w:rPr>
      <w:rFonts w:cs="OpenSymbol"/>
    </w:rPr>
  </w:style>
  <w:style w:type="character" w:customStyle="1" w:styleId="ListLabel2053">
    <w:name w:val="ListLabel 2053"/>
    <w:qFormat/>
    <w:rPr>
      <w:rFonts w:cs="OpenSymbol"/>
    </w:rPr>
  </w:style>
  <w:style w:type="character" w:customStyle="1" w:styleId="ListLabel2052">
    <w:name w:val="ListLabel 2052"/>
    <w:qFormat/>
    <w:rPr>
      <w:rFonts w:cs="OpenSymbol"/>
    </w:rPr>
  </w:style>
  <w:style w:type="character" w:customStyle="1" w:styleId="ListLabel2051">
    <w:name w:val="ListLabel 2051"/>
    <w:qFormat/>
    <w:rPr>
      <w:rFonts w:ascii="Calibri" w:hAnsi="Calibri" w:cs="OpenSymbol"/>
      <w:sz w:val="24"/>
    </w:rPr>
  </w:style>
  <w:style w:type="character" w:customStyle="1" w:styleId="ListLabel2050">
    <w:name w:val="ListLabel 2050"/>
    <w:qFormat/>
    <w:rPr>
      <w:rFonts w:cs="OpenSymbol"/>
    </w:rPr>
  </w:style>
  <w:style w:type="character" w:customStyle="1" w:styleId="ListLabel2049">
    <w:name w:val="ListLabel 2049"/>
    <w:qFormat/>
    <w:rPr>
      <w:rFonts w:cs="OpenSymbol"/>
    </w:rPr>
  </w:style>
  <w:style w:type="character" w:customStyle="1" w:styleId="ListLabel2048">
    <w:name w:val="ListLabel 2048"/>
    <w:qFormat/>
    <w:rPr>
      <w:rFonts w:cs="OpenSymbol"/>
    </w:rPr>
  </w:style>
  <w:style w:type="character" w:customStyle="1" w:styleId="ListLabel2047">
    <w:name w:val="ListLabel 2047"/>
    <w:qFormat/>
    <w:rPr>
      <w:rFonts w:cs="OpenSymbol"/>
    </w:rPr>
  </w:style>
  <w:style w:type="character" w:customStyle="1" w:styleId="ListLabel2046">
    <w:name w:val="ListLabel 2046"/>
    <w:qFormat/>
    <w:rPr>
      <w:rFonts w:cs="OpenSymbol"/>
    </w:rPr>
  </w:style>
  <w:style w:type="character" w:customStyle="1" w:styleId="ListLabel2045">
    <w:name w:val="ListLabel 2045"/>
    <w:qFormat/>
    <w:rPr>
      <w:rFonts w:cs="OpenSymbol"/>
    </w:rPr>
  </w:style>
  <w:style w:type="character" w:customStyle="1" w:styleId="ListLabel2044">
    <w:name w:val="ListLabel 2044"/>
    <w:qFormat/>
    <w:rPr>
      <w:rFonts w:cs="OpenSymbol"/>
    </w:rPr>
  </w:style>
  <w:style w:type="character" w:customStyle="1" w:styleId="ListLabel2043">
    <w:name w:val="ListLabel 2043"/>
    <w:qFormat/>
    <w:rPr>
      <w:rFonts w:cs="OpenSymbol"/>
    </w:rPr>
  </w:style>
  <w:style w:type="character" w:customStyle="1" w:styleId="ListLabel2042">
    <w:name w:val="ListLabel 2042"/>
    <w:qFormat/>
    <w:rPr>
      <w:rFonts w:ascii="Calibri" w:hAnsi="Calibri" w:cs="OpenSymbol"/>
      <w:sz w:val="24"/>
    </w:rPr>
  </w:style>
  <w:style w:type="character" w:customStyle="1" w:styleId="ListLabel2041">
    <w:name w:val="ListLabel 2041"/>
    <w:qFormat/>
    <w:rPr>
      <w:rFonts w:cs="OpenSymbol"/>
    </w:rPr>
  </w:style>
  <w:style w:type="character" w:customStyle="1" w:styleId="ListLabel2040">
    <w:name w:val="ListLabel 2040"/>
    <w:qFormat/>
    <w:rPr>
      <w:rFonts w:cs="OpenSymbol"/>
    </w:rPr>
  </w:style>
  <w:style w:type="character" w:customStyle="1" w:styleId="ListLabel2039">
    <w:name w:val="ListLabel 2039"/>
    <w:qFormat/>
    <w:rPr>
      <w:rFonts w:cs="OpenSymbol"/>
    </w:rPr>
  </w:style>
  <w:style w:type="character" w:customStyle="1" w:styleId="ListLabel2038">
    <w:name w:val="ListLabel 2038"/>
    <w:qFormat/>
    <w:rPr>
      <w:rFonts w:cs="OpenSymbol"/>
    </w:rPr>
  </w:style>
  <w:style w:type="character" w:customStyle="1" w:styleId="ListLabel2037">
    <w:name w:val="ListLabel 2037"/>
    <w:qFormat/>
    <w:rPr>
      <w:rFonts w:cs="OpenSymbol"/>
    </w:rPr>
  </w:style>
  <w:style w:type="character" w:customStyle="1" w:styleId="ListLabel2036">
    <w:name w:val="ListLabel 2036"/>
    <w:qFormat/>
    <w:rPr>
      <w:rFonts w:cs="OpenSymbol"/>
    </w:rPr>
  </w:style>
  <w:style w:type="character" w:customStyle="1" w:styleId="ListLabel2035">
    <w:name w:val="ListLabel 2035"/>
    <w:qFormat/>
    <w:rPr>
      <w:rFonts w:cs="OpenSymbol"/>
    </w:rPr>
  </w:style>
  <w:style w:type="character" w:customStyle="1" w:styleId="ListLabel2034">
    <w:name w:val="ListLabel 2034"/>
    <w:qFormat/>
    <w:rPr>
      <w:rFonts w:cs="OpenSymbol"/>
    </w:rPr>
  </w:style>
  <w:style w:type="character" w:customStyle="1" w:styleId="ListLabel2033">
    <w:name w:val="ListLabel 2033"/>
    <w:qFormat/>
    <w:rPr>
      <w:rFonts w:ascii="Calibri" w:hAnsi="Calibri" w:cs="OpenSymbol"/>
      <w:sz w:val="24"/>
    </w:rPr>
  </w:style>
  <w:style w:type="character" w:customStyle="1" w:styleId="ListLabel2032">
    <w:name w:val="ListLabel 2032"/>
    <w:qFormat/>
    <w:rPr>
      <w:rFonts w:cs="OpenSymbol"/>
    </w:rPr>
  </w:style>
  <w:style w:type="character" w:customStyle="1" w:styleId="ListLabel2031">
    <w:name w:val="ListLabel 2031"/>
    <w:qFormat/>
    <w:rPr>
      <w:rFonts w:cs="OpenSymbol"/>
    </w:rPr>
  </w:style>
  <w:style w:type="character" w:customStyle="1" w:styleId="ListLabel2030">
    <w:name w:val="ListLabel 2030"/>
    <w:qFormat/>
    <w:rPr>
      <w:rFonts w:cs="OpenSymbol"/>
    </w:rPr>
  </w:style>
  <w:style w:type="character" w:customStyle="1" w:styleId="ListLabel2029">
    <w:name w:val="ListLabel 2029"/>
    <w:qFormat/>
    <w:rPr>
      <w:rFonts w:cs="OpenSymbol"/>
    </w:rPr>
  </w:style>
  <w:style w:type="character" w:customStyle="1" w:styleId="ListLabel2028">
    <w:name w:val="ListLabel 2028"/>
    <w:qFormat/>
    <w:rPr>
      <w:rFonts w:cs="OpenSymbol"/>
    </w:rPr>
  </w:style>
  <w:style w:type="character" w:customStyle="1" w:styleId="ListLabel2027">
    <w:name w:val="ListLabel 2027"/>
    <w:qFormat/>
    <w:rPr>
      <w:rFonts w:cs="OpenSymbol"/>
    </w:rPr>
  </w:style>
  <w:style w:type="character" w:customStyle="1" w:styleId="ListLabel2026">
    <w:name w:val="ListLabel 2026"/>
    <w:qFormat/>
    <w:rPr>
      <w:rFonts w:cs="OpenSymbol"/>
    </w:rPr>
  </w:style>
  <w:style w:type="character" w:customStyle="1" w:styleId="ListLabel2025">
    <w:name w:val="ListLabel 2025"/>
    <w:qFormat/>
    <w:rPr>
      <w:rFonts w:cs="OpenSymbol"/>
    </w:rPr>
  </w:style>
  <w:style w:type="character" w:customStyle="1" w:styleId="ListLabel2024">
    <w:name w:val="ListLabel 2024"/>
    <w:qFormat/>
    <w:rPr>
      <w:rFonts w:ascii="Calibri" w:hAnsi="Calibri" w:cs="OpenSymbol"/>
      <w:sz w:val="24"/>
    </w:rPr>
  </w:style>
  <w:style w:type="character" w:customStyle="1" w:styleId="ListLabel2023">
    <w:name w:val="ListLabel 2023"/>
    <w:qFormat/>
    <w:rPr>
      <w:rFonts w:cs="OpenSymbol"/>
    </w:rPr>
  </w:style>
  <w:style w:type="character" w:customStyle="1" w:styleId="ListLabel2022">
    <w:name w:val="ListLabel 2022"/>
    <w:qFormat/>
    <w:rPr>
      <w:rFonts w:cs="OpenSymbol"/>
    </w:rPr>
  </w:style>
  <w:style w:type="character" w:customStyle="1" w:styleId="ListLabel2021">
    <w:name w:val="ListLabel 2021"/>
    <w:qFormat/>
    <w:rPr>
      <w:rFonts w:cs="OpenSymbol"/>
    </w:rPr>
  </w:style>
  <w:style w:type="character" w:customStyle="1" w:styleId="ListLabel2020">
    <w:name w:val="ListLabel 2020"/>
    <w:qFormat/>
    <w:rPr>
      <w:rFonts w:cs="OpenSymbol"/>
    </w:rPr>
  </w:style>
  <w:style w:type="character" w:customStyle="1" w:styleId="ListLabel2019">
    <w:name w:val="ListLabel 2019"/>
    <w:qFormat/>
    <w:rPr>
      <w:rFonts w:cs="OpenSymbol"/>
    </w:rPr>
  </w:style>
  <w:style w:type="character" w:customStyle="1" w:styleId="ListLabel2018">
    <w:name w:val="ListLabel 2018"/>
    <w:qFormat/>
    <w:rPr>
      <w:rFonts w:cs="OpenSymbol"/>
    </w:rPr>
  </w:style>
  <w:style w:type="character" w:customStyle="1" w:styleId="ListLabel2017">
    <w:name w:val="ListLabel 2017"/>
    <w:qFormat/>
    <w:rPr>
      <w:rFonts w:cs="OpenSymbol"/>
    </w:rPr>
  </w:style>
  <w:style w:type="character" w:customStyle="1" w:styleId="ListLabel2016">
    <w:name w:val="ListLabel 2016"/>
    <w:qFormat/>
    <w:rPr>
      <w:rFonts w:cs="OpenSymbol"/>
    </w:rPr>
  </w:style>
  <w:style w:type="character" w:customStyle="1" w:styleId="ListLabel2015">
    <w:name w:val="ListLabel 2015"/>
    <w:qFormat/>
    <w:rPr>
      <w:rFonts w:cs="OpenSymbol"/>
    </w:rPr>
  </w:style>
  <w:style w:type="character" w:customStyle="1" w:styleId="ListLabel120">
    <w:name w:val="ListLabel 120"/>
    <w:qFormat/>
    <w:rPr>
      <w:rFonts w:ascii="Calibri" w:hAnsi="Calibri"/>
      <w:lang w:val="en"/>
    </w:rPr>
  </w:style>
  <w:style w:type="character" w:customStyle="1" w:styleId="ListLabel119">
    <w:name w:val="ListLabel 119"/>
    <w:qFormat/>
    <w:rPr>
      <w:sz w:val="20"/>
    </w:rPr>
  </w:style>
  <w:style w:type="character" w:customStyle="1" w:styleId="ListLabel118">
    <w:name w:val="ListLabel 118"/>
    <w:qFormat/>
    <w:rPr>
      <w:sz w:val="20"/>
    </w:rPr>
  </w:style>
  <w:style w:type="character" w:customStyle="1" w:styleId="ListLabel117">
    <w:name w:val="ListLabel 117"/>
    <w:qFormat/>
    <w:rPr>
      <w:sz w:val="20"/>
    </w:rPr>
  </w:style>
  <w:style w:type="character" w:customStyle="1" w:styleId="ListLabel116">
    <w:name w:val="ListLabel 116"/>
    <w:qFormat/>
    <w:rPr>
      <w:sz w:val="20"/>
    </w:rPr>
  </w:style>
  <w:style w:type="character" w:customStyle="1" w:styleId="ListLabel115">
    <w:name w:val="ListLabel 115"/>
    <w:qFormat/>
    <w:rPr>
      <w:sz w:val="20"/>
    </w:rPr>
  </w:style>
  <w:style w:type="character" w:customStyle="1" w:styleId="ListLabel114">
    <w:name w:val="ListLabel 114"/>
    <w:qFormat/>
    <w:rPr>
      <w:sz w:val="20"/>
    </w:rPr>
  </w:style>
  <w:style w:type="character" w:customStyle="1" w:styleId="ListLabel113">
    <w:name w:val="ListLabel 113"/>
    <w:qFormat/>
    <w:rPr>
      <w:sz w:val="20"/>
    </w:rPr>
  </w:style>
  <w:style w:type="character" w:customStyle="1" w:styleId="ListLabel112">
    <w:name w:val="ListLabel 112"/>
    <w:qFormat/>
    <w:rPr>
      <w:sz w:val="20"/>
    </w:rPr>
  </w:style>
  <w:style w:type="character" w:customStyle="1" w:styleId="ListLabel111">
    <w:name w:val="ListLabel 111"/>
    <w:qFormat/>
    <w:rPr>
      <w:sz w:val="20"/>
    </w:rPr>
  </w:style>
  <w:style w:type="character" w:customStyle="1" w:styleId="ListLabel110">
    <w:name w:val="ListLabel 110"/>
    <w:qFormat/>
    <w:rPr>
      <w:rFonts w:cs="OpenSymbol"/>
    </w:rPr>
  </w:style>
  <w:style w:type="character" w:customStyle="1" w:styleId="ListLabel109">
    <w:name w:val="ListLabel 109"/>
    <w:qFormat/>
    <w:rPr>
      <w:rFonts w:cs="OpenSymbol"/>
    </w:rPr>
  </w:style>
  <w:style w:type="character" w:customStyle="1" w:styleId="ListLabel108">
    <w:name w:val="ListLabel 108"/>
    <w:qFormat/>
    <w:rPr>
      <w:rFonts w:cs="OpenSymbol"/>
    </w:rPr>
  </w:style>
  <w:style w:type="character" w:customStyle="1" w:styleId="ListLabel107">
    <w:name w:val="ListLabel 107"/>
    <w:qFormat/>
    <w:rPr>
      <w:rFonts w:cs="OpenSymbol"/>
    </w:rPr>
  </w:style>
  <w:style w:type="character" w:customStyle="1" w:styleId="ListLabel106">
    <w:name w:val="ListLabel 106"/>
    <w:qFormat/>
    <w:rPr>
      <w:rFonts w:cs="OpenSymbol"/>
    </w:rPr>
  </w:style>
  <w:style w:type="character" w:customStyle="1" w:styleId="ListLabel105">
    <w:name w:val="ListLabel 105"/>
    <w:qFormat/>
    <w:rPr>
      <w:rFonts w:cs="OpenSymbol"/>
    </w:rPr>
  </w:style>
  <w:style w:type="character" w:customStyle="1" w:styleId="ListLabel104">
    <w:name w:val="ListLabel 104"/>
    <w:qFormat/>
    <w:rPr>
      <w:rFonts w:cs="OpenSymbol"/>
    </w:rPr>
  </w:style>
  <w:style w:type="character" w:customStyle="1" w:styleId="ListLabel103">
    <w:name w:val="ListLabel 103"/>
    <w:qFormat/>
    <w:rPr>
      <w:rFonts w:cs="OpenSymbol"/>
    </w:rPr>
  </w:style>
  <w:style w:type="character" w:customStyle="1" w:styleId="ListLabel102">
    <w:name w:val="ListLabel 102"/>
    <w:qFormat/>
    <w:rPr>
      <w:rFonts w:cs="OpenSymbol"/>
    </w:rPr>
  </w:style>
  <w:style w:type="character" w:customStyle="1" w:styleId="ListLabel101">
    <w:name w:val="ListLabel 101"/>
    <w:qFormat/>
    <w:rPr>
      <w:rFonts w:cs="OpenSymbol"/>
    </w:rPr>
  </w:style>
  <w:style w:type="character" w:customStyle="1" w:styleId="ListLabel100">
    <w:name w:val="ListLabel 100"/>
    <w:qFormat/>
    <w:rPr>
      <w:rFonts w:cs="OpenSymbol"/>
    </w:rPr>
  </w:style>
  <w:style w:type="character" w:customStyle="1" w:styleId="ListLabel99">
    <w:name w:val="ListLabel 99"/>
    <w:qFormat/>
    <w:rPr>
      <w:rFonts w:cs="OpenSymbol"/>
    </w:rPr>
  </w:style>
  <w:style w:type="character" w:customStyle="1" w:styleId="ListLabel98">
    <w:name w:val="ListLabel 98"/>
    <w:qFormat/>
    <w:rPr>
      <w:rFonts w:cs="OpenSymbol"/>
    </w:rPr>
  </w:style>
  <w:style w:type="character" w:customStyle="1" w:styleId="ListLabel97">
    <w:name w:val="ListLabel 97"/>
    <w:qFormat/>
    <w:rPr>
      <w:rFonts w:cs="OpenSymbol"/>
    </w:rPr>
  </w:style>
  <w:style w:type="character" w:customStyle="1" w:styleId="ListLabel96">
    <w:name w:val="ListLabel 96"/>
    <w:qFormat/>
    <w:rPr>
      <w:rFonts w:cs="OpenSymbol"/>
    </w:rPr>
  </w:style>
  <w:style w:type="character" w:customStyle="1" w:styleId="ListLabel95">
    <w:name w:val="ListLabel 95"/>
    <w:qFormat/>
    <w:rPr>
      <w:rFonts w:cs="OpenSymbol"/>
    </w:rPr>
  </w:style>
  <w:style w:type="character" w:customStyle="1" w:styleId="ListLabel94">
    <w:name w:val="ListLabel 94"/>
    <w:qFormat/>
    <w:rPr>
      <w:rFonts w:cs="OpenSymbol"/>
    </w:rPr>
  </w:style>
  <w:style w:type="character" w:customStyle="1" w:styleId="ListLabel93">
    <w:name w:val="ListLabel 93"/>
    <w:qFormat/>
    <w:rPr>
      <w:rFonts w:cs="OpenSymbol"/>
    </w:rPr>
  </w:style>
  <w:style w:type="character" w:customStyle="1" w:styleId="ListLabel92">
    <w:name w:val="ListLabel 92"/>
    <w:qFormat/>
    <w:rPr>
      <w:rFonts w:cs="OpenSymbol"/>
    </w:rPr>
  </w:style>
  <w:style w:type="character" w:customStyle="1" w:styleId="ListLabel91">
    <w:name w:val="ListLabel 91"/>
    <w:qFormat/>
    <w:rPr>
      <w:rFonts w:cs="OpenSymbol"/>
    </w:rPr>
  </w:style>
  <w:style w:type="character" w:customStyle="1" w:styleId="ListLabel90">
    <w:name w:val="ListLabel 90"/>
    <w:qFormat/>
    <w:rPr>
      <w:rFonts w:cs="Symbol"/>
    </w:rPr>
  </w:style>
  <w:style w:type="character" w:customStyle="1" w:styleId="ListLabel89">
    <w:name w:val="ListLabel 89"/>
    <w:qFormat/>
    <w:rPr>
      <w:rFonts w:cs="OpenSymbol"/>
    </w:rPr>
  </w:style>
  <w:style w:type="character" w:customStyle="1" w:styleId="ListLabel88">
    <w:name w:val="ListLabel 88"/>
    <w:qFormat/>
    <w:rPr>
      <w:rFonts w:cs="OpenSymbol"/>
    </w:rPr>
  </w:style>
  <w:style w:type="character" w:customStyle="1" w:styleId="ListLabel87">
    <w:name w:val="ListLabel 87"/>
    <w:qFormat/>
    <w:rPr>
      <w:rFonts w:cs="Symbol"/>
    </w:rPr>
  </w:style>
  <w:style w:type="character" w:customStyle="1" w:styleId="ListLabel86">
    <w:name w:val="ListLabel 86"/>
    <w:qFormat/>
    <w:rPr>
      <w:rFonts w:cs="OpenSymbol"/>
    </w:rPr>
  </w:style>
  <w:style w:type="character" w:customStyle="1" w:styleId="ListLabel85">
    <w:name w:val="ListLabel 85"/>
    <w:qFormat/>
    <w:rPr>
      <w:rFonts w:cs="OpenSymbol"/>
    </w:rPr>
  </w:style>
  <w:style w:type="character" w:customStyle="1" w:styleId="ListLabel84">
    <w:name w:val="ListLabel 84"/>
    <w:qFormat/>
    <w:rPr>
      <w:rFonts w:cs="Symbol"/>
    </w:rPr>
  </w:style>
  <w:style w:type="character" w:customStyle="1" w:styleId="ListLabel83">
    <w:name w:val="ListLabel 83"/>
    <w:qFormat/>
    <w:rPr>
      <w:rFonts w:cs="OpenSymbol"/>
    </w:rPr>
  </w:style>
  <w:style w:type="character" w:customStyle="1" w:styleId="ListLabel82">
    <w:name w:val="ListLabel 82"/>
    <w:qFormat/>
    <w:rPr>
      <w:rFonts w:cs="OpenSymbol"/>
    </w:rPr>
  </w:style>
  <w:style w:type="character" w:customStyle="1" w:styleId="ListLabel81">
    <w:name w:val="ListLabel 81"/>
    <w:qFormat/>
    <w:rPr>
      <w:rFonts w:cs="Symbol"/>
      <w:b w:val="0"/>
      <w:sz w:val="20"/>
    </w:rPr>
  </w:style>
  <w:style w:type="character" w:customStyle="1" w:styleId="ListLabel80">
    <w:name w:val="ListLabel 80"/>
    <w:qFormat/>
    <w:rPr>
      <w:rFonts w:cs="OpenSymbol"/>
    </w:rPr>
  </w:style>
  <w:style w:type="character" w:customStyle="1" w:styleId="ListLabel79">
    <w:name w:val="ListLabel 79"/>
    <w:qFormat/>
    <w:rPr>
      <w:rFonts w:cs="OpenSymbol"/>
    </w:rPr>
  </w:style>
  <w:style w:type="character" w:customStyle="1" w:styleId="ListLabel78">
    <w:name w:val="ListLabel 78"/>
    <w:qFormat/>
    <w:rPr>
      <w:rFonts w:cs="Symbol"/>
      <w:b w:val="0"/>
      <w:sz w:val="20"/>
    </w:rPr>
  </w:style>
  <w:style w:type="character" w:customStyle="1" w:styleId="ListLabel77">
    <w:name w:val="ListLabel 77"/>
    <w:qFormat/>
    <w:rPr>
      <w:rFonts w:cs="OpenSymbol"/>
    </w:rPr>
  </w:style>
  <w:style w:type="character" w:customStyle="1" w:styleId="ListLabel76">
    <w:name w:val="ListLabel 76"/>
    <w:qFormat/>
    <w:rPr>
      <w:rFonts w:cs="OpenSymbol"/>
    </w:rPr>
  </w:style>
  <w:style w:type="character" w:customStyle="1" w:styleId="ListLabel75">
    <w:name w:val="ListLabel 75"/>
    <w:qFormat/>
    <w:rPr>
      <w:rFonts w:cs="Symbol"/>
      <w:b w:val="0"/>
      <w:sz w:val="20"/>
    </w:rPr>
  </w:style>
  <w:style w:type="character" w:customStyle="1" w:styleId="Internetovodkaz">
    <w:name w:val="Internetový odkaz"/>
    <w:basedOn w:val="Standardnpsmoodstavce"/>
    <w:rPr>
      <w:color w:val="0000FF"/>
      <w:u w:val="single"/>
    </w:rPr>
  </w:style>
  <w:style w:type="character" w:customStyle="1" w:styleId="ListLabel74">
    <w:name w:val="ListLabel 74"/>
    <w:qFormat/>
    <w:rPr>
      <w:rFonts w:cs="OpenSymbol"/>
    </w:rPr>
  </w:style>
  <w:style w:type="character" w:customStyle="1" w:styleId="ListLabel73">
    <w:name w:val="ListLabel 73"/>
    <w:qFormat/>
    <w:rPr>
      <w:rFonts w:cs="OpenSymbol"/>
    </w:rPr>
  </w:style>
  <w:style w:type="character" w:customStyle="1" w:styleId="ListLabel72">
    <w:name w:val="ListLabel 72"/>
    <w:qFormat/>
    <w:rPr>
      <w:rFonts w:cs="Symbol"/>
    </w:rPr>
  </w:style>
  <w:style w:type="character" w:customStyle="1" w:styleId="ListLabel71">
    <w:name w:val="ListLabel 71"/>
    <w:qFormat/>
    <w:rPr>
      <w:rFonts w:cs="OpenSymbol"/>
    </w:rPr>
  </w:style>
  <w:style w:type="character" w:customStyle="1" w:styleId="ListLabel70">
    <w:name w:val="ListLabel 70"/>
    <w:qFormat/>
    <w:rPr>
      <w:rFonts w:cs="OpenSymbol"/>
    </w:rPr>
  </w:style>
  <w:style w:type="character" w:customStyle="1" w:styleId="ListLabel69">
    <w:name w:val="ListLabel 69"/>
    <w:qFormat/>
    <w:rPr>
      <w:rFonts w:cs="Symbol"/>
    </w:rPr>
  </w:style>
  <w:style w:type="character" w:customStyle="1" w:styleId="ListLabel68">
    <w:name w:val="ListLabel 68"/>
    <w:qFormat/>
    <w:rPr>
      <w:rFonts w:cs="OpenSymbol"/>
    </w:rPr>
  </w:style>
  <w:style w:type="character" w:customStyle="1" w:styleId="ListLabel67">
    <w:name w:val="ListLabel 67"/>
    <w:qFormat/>
    <w:rPr>
      <w:rFonts w:cs="OpenSymbol"/>
    </w:rPr>
  </w:style>
  <w:style w:type="character" w:customStyle="1" w:styleId="ListLabel66">
    <w:name w:val="ListLabel 66"/>
    <w:qFormat/>
    <w:rPr>
      <w:rFonts w:cs="Symbol"/>
    </w:rPr>
  </w:style>
  <w:style w:type="character" w:customStyle="1" w:styleId="ListLabel65">
    <w:name w:val="ListLabel 65"/>
    <w:qFormat/>
    <w:rPr>
      <w:rFonts w:cs="OpenSymbol"/>
    </w:rPr>
  </w:style>
  <w:style w:type="character" w:customStyle="1" w:styleId="ListLabel64">
    <w:name w:val="ListLabel 64"/>
    <w:qFormat/>
    <w:rPr>
      <w:rFonts w:cs="OpenSymbol"/>
    </w:rPr>
  </w:style>
  <w:style w:type="character" w:customStyle="1" w:styleId="ListLabel63">
    <w:name w:val="ListLabel 63"/>
    <w:qFormat/>
    <w:rPr>
      <w:rFonts w:cs="Symbol"/>
    </w:rPr>
  </w:style>
  <w:style w:type="character" w:customStyle="1" w:styleId="ListLabel62">
    <w:name w:val="ListLabel 62"/>
    <w:qFormat/>
    <w:rPr>
      <w:rFonts w:cs="OpenSymbol"/>
    </w:rPr>
  </w:style>
  <w:style w:type="character" w:customStyle="1" w:styleId="ListLabel61">
    <w:name w:val="ListLabel 61"/>
    <w:qFormat/>
    <w:rPr>
      <w:rFonts w:cs="OpenSymbol"/>
    </w:rPr>
  </w:style>
  <w:style w:type="character" w:customStyle="1" w:styleId="ListLabel60">
    <w:name w:val="ListLabel 60"/>
    <w:qFormat/>
    <w:rPr>
      <w:rFonts w:cs="Symbol"/>
    </w:rPr>
  </w:style>
  <w:style w:type="character" w:customStyle="1" w:styleId="ListLabel59">
    <w:name w:val="ListLabel 59"/>
    <w:qFormat/>
    <w:rPr>
      <w:rFonts w:cs="OpenSymbol"/>
    </w:rPr>
  </w:style>
  <w:style w:type="character" w:customStyle="1" w:styleId="ListLabel58">
    <w:name w:val="ListLabel 58"/>
    <w:qFormat/>
    <w:rPr>
      <w:rFonts w:cs="OpenSymbol"/>
    </w:rPr>
  </w:style>
  <w:style w:type="character" w:customStyle="1" w:styleId="ListLabel57">
    <w:name w:val="ListLabel 57"/>
    <w:qFormat/>
    <w:rPr>
      <w:rFonts w:cs="Symbol"/>
    </w:rPr>
  </w:style>
  <w:style w:type="character" w:customStyle="1" w:styleId="ListLabel56">
    <w:name w:val="ListLabel 56"/>
    <w:qFormat/>
    <w:rPr>
      <w:rFonts w:cs="OpenSymbol"/>
    </w:rPr>
  </w:style>
  <w:style w:type="character" w:customStyle="1" w:styleId="ListLabel55">
    <w:name w:val="ListLabel 55"/>
    <w:qFormat/>
    <w:rPr>
      <w:rFonts w:cs="OpenSymbol"/>
    </w:rPr>
  </w:style>
  <w:style w:type="character" w:customStyle="1" w:styleId="ListLabel54">
    <w:name w:val="ListLabel 54"/>
    <w:qFormat/>
    <w:rPr>
      <w:rFonts w:cs="Symbol"/>
    </w:rPr>
  </w:style>
  <w:style w:type="character" w:customStyle="1" w:styleId="ListLabel53">
    <w:name w:val="ListLabel 53"/>
    <w:qFormat/>
    <w:rPr>
      <w:rFonts w:cs="OpenSymbol"/>
    </w:rPr>
  </w:style>
  <w:style w:type="character" w:customStyle="1" w:styleId="ListLabel52">
    <w:name w:val="ListLabel 52"/>
    <w:qFormat/>
    <w:rPr>
      <w:rFonts w:cs="OpenSymbol"/>
    </w:rPr>
  </w:style>
  <w:style w:type="character" w:customStyle="1" w:styleId="ListLabel51">
    <w:name w:val="ListLabel 51"/>
    <w:qFormat/>
    <w:rPr>
      <w:rFonts w:cs="Symbol"/>
    </w:rPr>
  </w:style>
  <w:style w:type="character" w:customStyle="1" w:styleId="ListLabel50">
    <w:name w:val="ListLabel 50"/>
    <w:qFormat/>
    <w:rPr>
      <w:rFonts w:cs="OpenSymbol"/>
    </w:rPr>
  </w:style>
  <w:style w:type="character" w:customStyle="1" w:styleId="ListLabel49">
    <w:name w:val="ListLabel 49"/>
    <w:qFormat/>
    <w:rPr>
      <w:rFonts w:cs="OpenSymbol"/>
    </w:rPr>
  </w:style>
  <w:style w:type="character" w:customStyle="1" w:styleId="ListLabel48">
    <w:name w:val="ListLabel 48"/>
    <w:qFormat/>
    <w:rPr>
      <w:rFonts w:cs="Symbol"/>
    </w:rPr>
  </w:style>
  <w:style w:type="character" w:customStyle="1" w:styleId="ListLabel47">
    <w:name w:val="ListLabel 47"/>
    <w:qFormat/>
    <w:rPr>
      <w:rFonts w:cs="OpenSymbol"/>
    </w:rPr>
  </w:style>
  <w:style w:type="character" w:customStyle="1" w:styleId="ListLabel46">
    <w:name w:val="ListLabel 46"/>
    <w:qFormat/>
    <w:rPr>
      <w:rFonts w:cs="OpenSymbol"/>
    </w:rPr>
  </w:style>
  <w:style w:type="character" w:customStyle="1" w:styleId="ListLabel45">
    <w:name w:val="ListLabel 45"/>
    <w:qFormat/>
    <w:rPr>
      <w:rFonts w:cs="Symbol"/>
    </w:rPr>
  </w:style>
  <w:style w:type="character" w:customStyle="1" w:styleId="ListLabel44">
    <w:name w:val="ListLabel 44"/>
    <w:qFormat/>
    <w:rPr>
      <w:rFonts w:cs="OpenSymbol"/>
    </w:rPr>
  </w:style>
  <w:style w:type="character" w:customStyle="1" w:styleId="ListLabel43">
    <w:name w:val="ListLabel 43"/>
    <w:qFormat/>
    <w:rPr>
      <w:rFonts w:cs="OpenSymbol"/>
    </w:rPr>
  </w:style>
  <w:style w:type="character" w:customStyle="1" w:styleId="ListLabel42">
    <w:name w:val="ListLabel 42"/>
    <w:qFormat/>
    <w:rPr>
      <w:rFonts w:cs="Symbol"/>
    </w:rPr>
  </w:style>
  <w:style w:type="character" w:customStyle="1" w:styleId="ListLabel41">
    <w:name w:val="ListLabel 41"/>
    <w:qFormat/>
    <w:rPr>
      <w:rFonts w:cs="OpenSymbol"/>
    </w:rPr>
  </w:style>
  <w:style w:type="character" w:customStyle="1" w:styleId="ListLabel40">
    <w:name w:val="ListLabel 40"/>
    <w:qFormat/>
    <w:rPr>
      <w:rFonts w:cs="OpenSymbol"/>
    </w:rPr>
  </w:style>
  <w:style w:type="character" w:customStyle="1" w:styleId="ListLabel39">
    <w:name w:val="ListLabel 39"/>
    <w:qFormat/>
    <w:rPr>
      <w:rFonts w:cs="Symbol"/>
    </w:rPr>
  </w:style>
  <w:style w:type="character" w:customStyle="1" w:styleId="ListLabel38">
    <w:name w:val="ListLabel 38"/>
    <w:qFormat/>
    <w:rPr>
      <w:rFonts w:cs="OpenSymbol"/>
    </w:rPr>
  </w:style>
  <w:style w:type="character" w:customStyle="1" w:styleId="ListLabel37">
    <w:name w:val="ListLabel 37"/>
    <w:qFormat/>
    <w:rPr>
      <w:rFonts w:cs="OpenSymbol"/>
    </w:rPr>
  </w:style>
  <w:style w:type="character" w:customStyle="1" w:styleId="ListLabel36">
    <w:name w:val="ListLabel 36"/>
    <w:qFormat/>
    <w:rPr>
      <w:rFonts w:cs="Symbol"/>
    </w:rPr>
  </w:style>
  <w:style w:type="character" w:customStyle="1" w:styleId="ListLabel35">
    <w:name w:val="ListLabel 35"/>
    <w:qFormat/>
    <w:rPr>
      <w:rFonts w:cs="OpenSymbol"/>
    </w:rPr>
  </w:style>
  <w:style w:type="character" w:customStyle="1" w:styleId="ListLabel34">
    <w:name w:val="ListLabel 34"/>
    <w:qFormat/>
    <w:rPr>
      <w:rFonts w:cs="OpenSymbol"/>
    </w:rPr>
  </w:style>
  <w:style w:type="character" w:customStyle="1" w:styleId="ListLabel33">
    <w:name w:val="ListLabel 33"/>
    <w:qFormat/>
    <w:rPr>
      <w:rFonts w:cs="Symbol"/>
    </w:rPr>
  </w:style>
  <w:style w:type="character" w:customStyle="1" w:styleId="ListLabel32">
    <w:name w:val="ListLabel 32"/>
    <w:qFormat/>
    <w:rPr>
      <w:rFonts w:cs="OpenSymbol"/>
    </w:rPr>
  </w:style>
  <w:style w:type="character" w:customStyle="1" w:styleId="ListLabel31">
    <w:name w:val="ListLabel 31"/>
    <w:qFormat/>
    <w:rPr>
      <w:rFonts w:cs="OpenSymbol"/>
    </w:rPr>
  </w:style>
  <w:style w:type="character" w:customStyle="1" w:styleId="ListLabel30">
    <w:name w:val="ListLabel 30"/>
    <w:qFormat/>
    <w:rPr>
      <w:rFonts w:cs="Symbol"/>
    </w:rPr>
  </w:style>
  <w:style w:type="character" w:customStyle="1" w:styleId="ListLabel29">
    <w:name w:val="ListLabel 29"/>
    <w:qFormat/>
    <w:rPr>
      <w:rFonts w:cs="OpenSymbol"/>
    </w:rPr>
  </w:style>
  <w:style w:type="character" w:customStyle="1" w:styleId="ListLabel28">
    <w:name w:val="ListLabel 28"/>
    <w:qFormat/>
    <w:rPr>
      <w:rFonts w:cs="OpenSymbol"/>
    </w:rPr>
  </w:style>
  <w:style w:type="character" w:customStyle="1" w:styleId="ListLabel27">
    <w:name w:val="ListLabel 27"/>
    <w:qFormat/>
    <w:rPr>
      <w:rFonts w:cs="Symbol"/>
      <w:b w:val="0"/>
      <w:sz w:val="20"/>
    </w:rPr>
  </w:style>
  <w:style w:type="character" w:customStyle="1" w:styleId="ListLabel26">
    <w:name w:val="ListLabel 26"/>
    <w:qFormat/>
    <w:rPr>
      <w:rFonts w:cs="OpenSymbol"/>
    </w:rPr>
  </w:style>
  <w:style w:type="character" w:customStyle="1" w:styleId="ListLabel25">
    <w:name w:val="ListLabel 25"/>
    <w:qFormat/>
    <w:rPr>
      <w:rFonts w:cs="OpenSymbol"/>
    </w:rPr>
  </w:style>
  <w:style w:type="character" w:customStyle="1" w:styleId="ListLabel24">
    <w:name w:val="ListLabel 24"/>
    <w:qFormat/>
    <w:rPr>
      <w:rFonts w:cs="Symbol"/>
      <w:b w:val="0"/>
      <w:sz w:val="20"/>
    </w:rPr>
  </w:style>
  <w:style w:type="character" w:customStyle="1" w:styleId="ListLabel23">
    <w:name w:val="ListLabel 23"/>
    <w:qFormat/>
    <w:rPr>
      <w:rFonts w:cs="OpenSymbol"/>
    </w:rPr>
  </w:style>
  <w:style w:type="character" w:customStyle="1" w:styleId="ListLabel22">
    <w:name w:val="ListLabel 22"/>
    <w:qFormat/>
    <w:rPr>
      <w:rFonts w:cs="OpenSymbol"/>
    </w:rPr>
  </w:style>
  <w:style w:type="character" w:customStyle="1" w:styleId="ListLabel21">
    <w:name w:val="ListLabel 21"/>
    <w:qFormat/>
    <w:rPr>
      <w:rFonts w:cs="Symbol"/>
      <w:b w:val="0"/>
      <w:sz w:val="20"/>
    </w:rPr>
  </w:style>
  <w:style w:type="character" w:customStyle="1" w:styleId="ListLabel20">
    <w:name w:val="ListLabel 20"/>
    <w:qFormat/>
    <w:rPr>
      <w:rFonts w:cs="Symbol"/>
    </w:rPr>
  </w:style>
  <w:style w:type="character" w:customStyle="1" w:styleId="ListLabel19">
    <w:name w:val="ListLabel 19"/>
    <w:qFormat/>
    <w:rPr>
      <w:rFonts w:cs="OpenSymbol"/>
    </w:rPr>
  </w:style>
  <w:style w:type="character" w:customStyle="1" w:styleId="ListLabel18">
    <w:name w:val="ListLabel 18"/>
    <w:qFormat/>
    <w:rPr>
      <w:rFonts w:cs="Symbol"/>
      <w:b w:val="0"/>
      <w:sz w:val="20"/>
    </w:rPr>
  </w:style>
  <w:style w:type="character" w:customStyle="1" w:styleId="ListLabel17">
    <w:name w:val="ListLabel 17"/>
    <w:qFormat/>
    <w:rPr>
      <w:rFonts w:cs="Symbol"/>
    </w:rPr>
  </w:style>
  <w:style w:type="character" w:customStyle="1" w:styleId="ListLabel16">
    <w:name w:val="ListLabel 16"/>
    <w:qFormat/>
    <w:rPr>
      <w:rFonts w:cs="OpenSymbol"/>
    </w:rPr>
  </w:style>
  <w:style w:type="character" w:customStyle="1" w:styleId="ListLabel15">
    <w:name w:val="ListLabel 15"/>
    <w:qFormat/>
    <w:rPr>
      <w:rFonts w:cs="Symbol"/>
      <w:b w:val="0"/>
      <w:sz w:val="20"/>
    </w:rPr>
  </w:style>
  <w:style w:type="character" w:customStyle="1" w:styleId="ListLabel14">
    <w:name w:val="ListLabel 14"/>
    <w:qFormat/>
    <w:rPr>
      <w:rFonts w:cs="Symbol"/>
      <w:b w:val="0"/>
      <w:sz w:val="20"/>
    </w:rPr>
  </w:style>
  <w:style w:type="character" w:customStyle="1" w:styleId="ListLabel13">
    <w:name w:val="ListLabel 13"/>
    <w:qFormat/>
    <w:rPr>
      <w:rFonts w:cs="OpenSymbol"/>
    </w:rPr>
  </w:style>
  <w:style w:type="character" w:customStyle="1" w:styleId="ListLabel12">
    <w:name w:val="ListLabel 12"/>
    <w:qFormat/>
    <w:rPr>
      <w:rFonts w:cs="Symbol"/>
      <w:b/>
      <w:sz w:val="20"/>
      <w:szCs w:val="20"/>
    </w:rPr>
  </w:style>
  <w:style w:type="character" w:customStyle="1" w:styleId="ListLabel11">
    <w:name w:val="ListLabel 11"/>
    <w:qFormat/>
    <w:rPr>
      <w:rFonts w:cs="Symbol"/>
    </w:rPr>
  </w:style>
  <w:style w:type="character" w:customStyle="1" w:styleId="ListLabel10">
    <w:name w:val="ListLabel 10"/>
    <w:qFormat/>
    <w:rPr>
      <w:rFonts w:cs="Symbol"/>
      <w:b/>
      <w:sz w:val="20"/>
      <w:szCs w:val="20"/>
    </w:rPr>
  </w:style>
  <w:style w:type="character" w:customStyle="1" w:styleId="ListLabel9">
    <w:name w:val="ListLabel 9"/>
    <w:qFormat/>
    <w:rPr>
      <w:rFonts w:cs="Symbol"/>
      <w:b w:val="0"/>
      <w:sz w:val="20"/>
    </w:rPr>
  </w:style>
  <w:style w:type="character" w:customStyle="1" w:styleId="ListLabel8">
    <w:name w:val="ListLabel 8"/>
    <w:qFormat/>
    <w:rPr>
      <w:rFonts w:cs="OpenSymbol"/>
    </w:rPr>
  </w:style>
  <w:style w:type="character" w:customStyle="1" w:styleId="ListLabel7">
    <w:name w:val="ListLabel 7"/>
    <w:qFormat/>
    <w:rPr>
      <w:rFonts w:cs="Symbol"/>
      <w:sz w:val="20"/>
      <w:szCs w:val="20"/>
      <w:highlight w:val="white"/>
    </w:rPr>
  </w:style>
  <w:style w:type="character" w:customStyle="1" w:styleId="Symbolyproslovn">
    <w:name w:val="Symboly pro číslování"/>
    <w:qFormat/>
  </w:style>
  <w:style w:type="character" w:customStyle="1" w:styleId="ListLabel6">
    <w:name w:val="ListLabel 6"/>
    <w:qFormat/>
    <w:rPr>
      <w:rFonts w:ascii="Calibri" w:hAnsi="Calibri" w:cs="Symbol"/>
      <w:b/>
      <w:sz w:val="20"/>
      <w:szCs w:val="20"/>
    </w:rPr>
  </w:style>
  <w:style w:type="character" w:customStyle="1" w:styleId="ListLabel5">
    <w:name w:val="ListLabel 5"/>
    <w:qFormat/>
    <w:rPr>
      <w:rFonts w:ascii="Calibri" w:hAnsi="Calibri" w:cs="Symbol"/>
      <w:b w:val="0"/>
      <w:sz w:val="20"/>
    </w:rPr>
  </w:style>
  <w:style w:type="character" w:customStyle="1" w:styleId="ListLabel4">
    <w:name w:val="ListLabel 4"/>
    <w:qFormat/>
    <w:rPr>
      <w:rFonts w:cs="OpenSymbol"/>
    </w:rPr>
  </w:style>
  <w:style w:type="character" w:customStyle="1" w:styleId="ListLabel3">
    <w:name w:val="ListLabel 3"/>
    <w:qFormat/>
    <w:rPr>
      <w:rFonts w:ascii="Calibri" w:hAnsi="Calibri" w:cs="Symbol"/>
      <w:sz w:val="20"/>
      <w:szCs w:val="20"/>
      <w:highlight w:val="white"/>
    </w:rPr>
  </w:style>
  <w:style w:type="character" w:customStyle="1" w:styleId="ListLabel2">
    <w:name w:val="ListLabel 2"/>
    <w:qFormat/>
    <w:rPr>
      <w:rFonts w:cs="OpenSymbol"/>
    </w:rPr>
  </w:style>
  <w:style w:type="character" w:customStyle="1" w:styleId="ListLabel1">
    <w:name w:val="ListLabel 1"/>
    <w:qFormat/>
    <w:rPr>
      <w:rFonts w:ascii="Calibri" w:hAnsi="Calibri" w:cs="OpenSymbol"/>
      <w:sz w:val="20"/>
      <w:szCs w:val="20"/>
      <w:highlight w:val="white"/>
    </w:rPr>
  </w:style>
  <w:style w:type="character" w:styleId="slostrnky">
    <w:name w:val="page number"/>
    <w:basedOn w:val="Standardnpsmoodstavce"/>
    <w:qFormat/>
  </w:style>
  <w:style w:type="character" w:customStyle="1" w:styleId="FooterChar">
    <w:name w:val="Footer Char"/>
    <w:basedOn w:val="Standardnpsmoodstavce"/>
    <w:qFormat/>
    <w:rPr>
      <w:rFonts w:ascii="Arial" w:eastAsia="SimSun" w:hAnsi="Arial" w:cs="Lucida Sans"/>
      <w:sz w:val="22"/>
      <w:szCs w:val="24"/>
      <w:lang w:eastAsia="zh-CN" w:bidi="hi-IN"/>
    </w:rPr>
  </w:style>
  <w:style w:type="character" w:customStyle="1" w:styleId="HeaderChar">
    <w:name w:val="Header Char"/>
    <w:basedOn w:val="Standardnpsmoodstavce"/>
    <w:qFormat/>
    <w:rPr>
      <w:rFonts w:ascii="Arial" w:eastAsia="SimSun" w:hAnsi="Arial" w:cs="Lucida Sans"/>
      <w:sz w:val="22"/>
      <w:szCs w:val="24"/>
      <w:lang w:eastAsia="zh-CN" w:bidi="hi-IN"/>
    </w:rPr>
  </w:style>
  <w:style w:type="character" w:customStyle="1" w:styleId="Odrky">
    <w:name w:val="Odrážky"/>
    <w:qFormat/>
    <w:rPr>
      <w:rFonts w:ascii="OpenSymbol" w:eastAsia="OpenSymbol" w:hAnsi="OpenSymbol" w:cs="OpenSymbol"/>
    </w:rPr>
  </w:style>
  <w:style w:type="character" w:customStyle="1" w:styleId="BalloonTextChar">
    <w:name w:val="Balloon Text Char"/>
    <w:qFormat/>
    <w:rPr>
      <w:rFonts w:ascii="Tahoma" w:eastAsia="SimSun" w:hAnsi="Tahoma" w:cs="Mangal"/>
      <w:sz w:val="16"/>
      <w:szCs w:val="14"/>
      <w:lang w:eastAsia="zh-CN" w:bidi="hi-IN"/>
    </w:rPr>
  </w:style>
  <w:style w:type="character" w:styleId="Siln">
    <w:name w:val="Strong"/>
    <w:qFormat/>
    <w:rPr>
      <w:b/>
      <w:bCs/>
    </w:rPr>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WW8Num6z0">
    <w:name w:val="WW8Num6z0"/>
    <w:qFormat/>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4z0">
    <w:name w:val="WW8Num4z0"/>
    <w:qFormat/>
    <w:rPr>
      <w:sz w:val="20"/>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3z1">
    <w:name w:val="WW8Num3z1"/>
    <w:qFormat/>
    <w:rPr>
      <w:rFonts w:ascii="OpenSymbol" w:hAnsi="OpenSymbol" w:cs="OpenSymbol"/>
    </w:rPr>
  </w:style>
  <w:style w:type="character" w:customStyle="1" w:styleId="WW8Num3z0">
    <w:name w:val="WW8Num3z0"/>
    <w:qFormat/>
    <w:rPr>
      <w:rFonts w:ascii="Symbol" w:hAnsi="Symbol" w:cs="OpenSymbol"/>
      <w:sz w:val="20"/>
      <w:szCs w:val="20"/>
    </w:rPr>
  </w:style>
  <w:style w:type="character" w:customStyle="1" w:styleId="WW8Num2z1">
    <w:name w:val="WW8Num2z1"/>
    <w:qFormat/>
    <w:rPr>
      <w:rFonts w:ascii="OpenSymbol" w:hAnsi="OpenSymbol" w:cs="OpenSymbol"/>
    </w:rPr>
  </w:style>
  <w:style w:type="character" w:customStyle="1" w:styleId="WW8Num2z0">
    <w:name w:val="WW8Num2z0"/>
    <w:qFormat/>
    <w:rPr>
      <w:rFonts w:ascii="Symbol" w:hAnsi="Symbol" w:cs="OpenSymbol"/>
      <w:sz w:val="20"/>
      <w:szCs w:val="20"/>
      <w:highlight w:val="white"/>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ListLabel2384">
    <w:name w:val="ListLabel 2384"/>
    <w:qFormat/>
    <w:rPr>
      <w:rFonts w:cs="OpenSymbol"/>
      <w:sz w:val="24"/>
    </w:rPr>
  </w:style>
  <w:style w:type="character" w:customStyle="1" w:styleId="ListLabel2385">
    <w:name w:val="ListLabel 2385"/>
    <w:qFormat/>
    <w:rPr>
      <w:rFonts w:cs="OpenSymbol"/>
    </w:rPr>
  </w:style>
  <w:style w:type="character" w:customStyle="1" w:styleId="ListLabel2386">
    <w:name w:val="ListLabel 2386"/>
    <w:qFormat/>
    <w:rPr>
      <w:rFonts w:cs="OpenSymbol"/>
    </w:rPr>
  </w:style>
  <w:style w:type="character" w:customStyle="1" w:styleId="ListLabel2387">
    <w:name w:val="ListLabel 2387"/>
    <w:qFormat/>
    <w:rPr>
      <w:rFonts w:cs="OpenSymbol"/>
    </w:rPr>
  </w:style>
  <w:style w:type="character" w:customStyle="1" w:styleId="ListLabel2388">
    <w:name w:val="ListLabel 2388"/>
    <w:qFormat/>
    <w:rPr>
      <w:rFonts w:cs="OpenSymbol"/>
    </w:rPr>
  </w:style>
  <w:style w:type="character" w:customStyle="1" w:styleId="ListLabel2389">
    <w:name w:val="ListLabel 2389"/>
    <w:qFormat/>
    <w:rPr>
      <w:rFonts w:cs="OpenSymbol"/>
    </w:rPr>
  </w:style>
  <w:style w:type="character" w:customStyle="1" w:styleId="ListLabel2390">
    <w:name w:val="ListLabel 2390"/>
    <w:qFormat/>
    <w:rPr>
      <w:rFonts w:cs="OpenSymbol"/>
    </w:rPr>
  </w:style>
  <w:style w:type="character" w:customStyle="1" w:styleId="ListLabel2391">
    <w:name w:val="ListLabel 2391"/>
    <w:qFormat/>
    <w:rPr>
      <w:rFonts w:cs="OpenSymbol"/>
    </w:rPr>
  </w:style>
  <w:style w:type="character" w:customStyle="1" w:styleId="ListLabel2392">
    <w:name w:val="ListLabel 2392"/>
    <w:qFormat/>
    <w:rPr>
      <w:rFonts w:cs="OpenSymbol"/>
    </w:rPr>
  </w:style>
  <w:style w:type="character" w:customStyle="1" w:styleId="ListLabel2393">
    <w:name w:val="ListLabel 2393"/>
    <w:qFormat/>
    <w:rPr>
      <w:rFonts w:cs="OpenSymbol"/>
      <w:sz w:val="20"/>
    </w:rPr>
  </w:style>
  <w:style w:type="character" w:customStyle="1" w:styleId="ListLabel2394">
    <w:name w:val="ListLabel 2394"/>
    <w:qFormat/>
    <w:rPr>
      <w:rFonts w:cs="OpenSymbol"/>
    </w:rPr>
  </w:style>
  <w:style w:type="character" w:customStyle="1" w:styleId="ListLabel2395">
    <w:name w:val="ListLabel 2395"/>
    <w:qFormat/>
    <w:rPr>
      <w:rFonts w:cs="OpenSymbol"/>
    </w:rPr>
  </w:style>
  <w:style w:type="character" w:customStyle="1" w:styleId="ListLabel2396">
    <w:name w:val="ListLabel 2396"/>
    <w:qFormat/>
    <w:rPr>
      <w:rFonts w:cs="OpenSymbol"/>
    </w:rPr>
  </w:style>
  <w:style w:type="character" w:customStyle="1" w:styleId="ListLabel2397">
    <w:name w:val="ListLabel 2397"/>
    <w:qFormat/>
    <w:rPr>
      <w:rFonts w:cs="OpenSymbol"/>
    </w:rPr>
  </w:style>
  <w:style w:type="character" w:customStyle="1" w:styleId="ListLabel2398">
    <w:name w:val="ListLabel 2398"/>
    <w:qFormat/>
    <w:rPr>
      <w:rFonts w:cs="OpenSymbol"/>
    </w:rPr>
  </w:style>
  <w:style w:type="character" w:customStyle="1" w:styleId="ListLabel2399">
    <w:name w:val="ListLabel 2399"/>
    <w:qFormat/>
    <w:rPr>
      <w:rFonts w:cs="OpenSymbol"/>
    </w:rPr>
  </w:style>
  <w:style w:type="character" w:customStyle="1" w:styleId="ListLabel2400">
    <w:name w:val="ListLabel 2400"/>
    <w:qFormat/>
    <w:rPr>
      <w:rFonts w:cs="OpenSymbol"/>
    </w:rPr>
  </w:style>
  <w:style w:type="character" w:customStyle="1" w:styleId="ListLabel2401">
    <w:name w:val="ListLabel 2401"/>
    <w:qFormat/>
    <w:rPr>
      <w:rFonts w:cs="OpenSymbol"/>
    </w:rPr>
  </w:style>
  <w:style w:type="character" w:customStyle="1" w:styleId="ListLabel2402">
    <w:name w:val="ListLabel 2402"/>
    <w:qFormat/>
    <w:rPr>
      <w:rFonts w:cs="OpenSymbol"/>
      <w:sz w:val="24"/>
    </w:rPr>
  </w:style>
  <w:style w:type="character" w:customStyle="1" w:styleId="ListLabel2403">
    <w:name w:val="ListLabel 2403"/>
    <w:qFormat/>
    <w:rPr>
      <w:rFonts w:cs="OpenSymbol"/>
    </w:rPr>
  </w:style>
  <w:style w:type="character" w:customStyle="1" w:styleId="ListLabel2404">
    <w:name w:val="ListLabel 2404"/>
    <w:qFormat/>
    <w:rPr>
      <w:rFonts w:cs="OpenSymbol"/>
    </w:rPr>
  </w:style>
  <w:style w:type="character" w:customStyle="1" w:styleId="ListLabel2405">
    <w:name w:val="ListLabel 2405"/>
    <w:qFormat/>
    <w:rPr>
      <w:rFonts w:cs="OpenSymbol"/>
    </w:rPr>
  </w:style>
  <w:style w:type="character" w:customStyle="1" w:styleId="ListLabel2406">
    <w:name w:val="ListLabel 2406"/>
    <w:qFormat/>
    <w:rPr>
      <w:rFonts w:cs="OpenSymbol"/>
    </w:rPr>
  </w:style>
  <w:style w:type="character" w:customStyle="1" w:styleId="ListLabel2407">
    <w:name w:val="ListLabel 2407"/>
    <w:qFormat/>
    <w:rPr>
      <w:rFonts w:cs="OpenSymbol"/>
    </w:rPr>
  </w:style>
  <w:style w:type="character" w:customStyle="1" w:styleId="ListLabel2408">
    <w:name w:val="ListLabel 2408"/>
    <w:qFormat/>
    <w:rPr>
      <w:rFonts w:cs="OpenSymbol"/>
    </w:rPr>
  </w:style>
  <w:style w:type="character" w:customStyle="1" w:styleId="ListLabel2409">
    <w:name w:val="ListLabel 2409"/>
    <w:qFormat/>
    <w:rPr>
      <w:rFonts w:cs="OpenSymbol"/>
    </w:rPr>
  </w:style>
  <w:style w:type="character" w:customStyle="1" w:styleId="ListLabel2410">
    <w:name w:val="ListLabel 2410"/>
    <w:qFormat/>
    <w:rPr>
      <w:rFonts w:cs="OpenSymbol"/>
    </w:rPr>
  </w:style>
  <w:style w:type="character" w:customStyle="1" w:styleId="ListLabel2411">
    <w:name w:val="ListLabel 2411"/>
    <w:qFormat/>
    <w:rPr>
      <w:rFonts w:cs="OpenSymbol"/>
      <w:sz w:val="24"/>
    </w:rPr>
  </w:style>
  <w:style w:type="character" w:customStyle="1" w:styleId="ListLabel2412">
    <w:name w:val="ListLabel 2412"/>
    <w:qFormat/>
    <w:rPr>
      <w:rFonts w:cs="OpenSymbol"/>
    </w:rPr>
  </w:style>
  <w:style w:type="character" w:customStyle="1" w:styleId="ListLabel2413">
    <w:name w:val="ListLabel 2413"/>
    <w:qFormat/>
    <w:rPr>
      <w:rFonts w:cs="OpenSymbol"/>
    </w:rPr>
  </w:style>
  <w:style w:type="character" w:customStyle="1" w:styleId="ListLabel2414">
    <w:name w:val="ListLabel 2414"/>
    <w:qFormat/>
    <w:rPr>
      <w:rFonts w:cs="OpenSymbol"/>
    </w:rPr>
  </w:style>
  <w:style w:type="character" w:customStyle="1" w:styleId="ListLabel2415">
    <w:name w:val="ListLabel 2415"/>
    <w:qFormat/>
    <w:rPr>
      <w:rFonts w:cs="OpenSymbol"/>
    </w:rPr>
  </w:style>
  <w:style w:type="character" w:customStyle="1" w:styleId="ListLabel2416">
    <w:name w:val="ListLabel 2416"/>
    <w:qFormat/>
    <w:rPr>
      <w:rFonts w:cs="OpenSymbol"/>
    </w:rPr>
  </w:style>
  <w:style w:type="character" w:customStyle="1" w:styleId="ListLabel2417">
    <w:name w:val="ListLabel 2417"/>
    <w:qFormat/>
    <w:rPr>
      <w:rFonts w:cs="OpenSymbol"/>
    </w:rPr>
  </w:style>
  <w:style w:type="character" w:customStyle="1" w:styleId="ListLabel2418">
    <w:name w:val="ListLabel 2418"/>
    <w:qFormat/>
    <w:rPr>
      <w:rFonts w:cs="OpenSymbol"/>
    </w:rPr>
  </w:style>
  <w:style w:type="character" w:customStyle="1" w:styleId="ListLabel2419">
    <w:name w:val="ListLabel 2419"/>
    <w:qFormat/>
    <w:rPr>
      <w:rFonts w:cs="OpenSymbol"/>
    </w:rPr>
  </w:style>
  <w:style w:type="character" w:customStyle="1" w:styleId="ListLabel2420">
    <w:name w:val="ListLabel 2420"/>
    <w:qFormat/>
    <w:rPr>
      <w:rFonts w:cs="OpenSymbol"/>
      <w:sz w:val="24"/>
    </w:rPr>
  </w:style>
  <w:style w:type="character" w:customStyle="1" w:styleId="ListLabel2421">
    <w:name w:val="ListLabel 2421"/>
    <w:qFormat/>
    <w:rPr>
      <w:rFonts w:cs="OpenSymbol"/>
    </w:rPr>
  </w:style>
  <w:style w:type="character" w:customStyle="1" w:styleId="ListLabel2422">
    <w:name w:val="ListLabel 2422"/>
    <w:qFormat/>
    <w:rPr>
      <w:rFonts w:cs="OpenSymbol"/>
    </w:rPr>
  </w:style>
  <w:style w:type="character" w:customStyle="1" w:styleId="ListLabel2423">
    <w:name w:val="ListLabel 2423"/>
    <w:qFormat/>
    <w:rPr>
      <w:rFonts w:cs="OpenSymbol"/>
    </w:rPr>
  </w:style>
  <w:style w:type="character" w:customStyle="1" w:styleId="ListLabel2424">
    <w:name w:val="ListLabel 2424"/>
    <w:qFormat/>
    <w:rPr>
      <w:rFonts w:cs="OpenSymbol"/>
    </w:rPr>
  </w:style>
  <w:style w:type="character" w:customStyle="1" w:styleId="ListLabel2425">
    <w:name w:val="ListLabel 2425"/>
    <w:qFormat/>
    <w:rPr>
      <w:rFonts w:cs="OpenSymbol"/>
    </w:rPr>
  </w:style>
  <w:style w:type="character" w:customStyle="1" w:styleId="ListLabel2426">
    <w:name w:val="ListLabel 2426"/>
    <w:qFormat/>
    <w:rPr>
      <w:rFonts w:cs="OpenSymbol"/>
    </w:rPr>
  </w:style>
  <w:style w:type="character" w:customStyle="1" w:styleId="ListLabel2427">
    <w:name w:val="ListLabel 2427"/>
    <w:qFormat/>
    <w:rPr>
      <w:rFonts w:cs="OpenSymbol"/>
    </w:rPr>
  </w:style>
  <w:style w:type="character" w:customStyle="1" w:styleId="ListLabel2428">
    <w:name w:val="ListLabel 2428"/>
    <w:qFormat/>
    <w:rPr>
      <w:rFonts w:cs="OpenSymbol"/>
    </w:rPr>
  </w:style>
  <w:style w:type="character" w:customStyle="1" w:styleId="ListLabel2429">
    <w:name w:val="ListLabel 2429"/>
    <w:qFormat/>
    <w:rPr>
      <w:rFonts w:cs="OpenSymbol"/>
      <w:sz w:val="20"/>
    </w:rPr>
  </w:style>
  <w:style w:type="character" w:customStyle="1" w:styleId="ListLabel2430">
    <w:name w:val="ListLabel 2430"/>
    <w:qFormat/>
    <w:rPr>
      <w:rFonts w:cs="OpenSymbol"/>
    </w:rPr>
  </w:style>
  <w:style w:type="character" w:customStyle="1" w:styleId="ListLabel2431">
    <w:name w:val="ListLabel 2431"/>
    <w:qFormat/>
    <w:rPr>
      <w:rFonts w:cs="OpenSymbol"/>
    </w:rPr>
  </w:style>
  <w:style w:type="character" w:customStyle="1" w:styleId="ListLabel2432">
    <w:name w:val="ListLabel 2432"/>
    <w:qFormat/>
    <w:rPr>
      <w:rFonts w:cs="OpenSymbol"/>
    </w:rPr>
  </w:style>
  <w:style w:type="character" w:customStyle="1" w:styleId="ListLabel2433">
    <w:name w:val="ListLabel 2433"/>
    <w:qFormat/>
    <w:rPr>
      <w:rFonts w:cs="OpenSymbol"/>
    </w:rPr>
  </w:style>
  <w:style w:type="character" w:customStyle="1" w:styleId="ListLabel2434">
    <w:name w:val="ListLabel 2434"/>
    <w:qFormat/>
    <w:rPr>
      <w:rFonts w:cs="OpenSymbol"/>
    </w:rPr>
  </w:style>
  <w:style w:type="character" w:customStyle="1" w:styleId="ListLabel2435">
    <w:name w:val="ListLabel 2435"/>
    <w:qFormat/>
    <w:rPr>
      <w:rFonts w:cs="OpenSymbol"/>
    </w:rPr>
  </w:style>
  <w:style w:type="character" w:customStyle="1" w:styleId="ListLabel2436">
    <w:name w:val="ListLabel 2436"/>
    <w:qFormat/>
    <w:rPr>
      <w:rFonts w:cs="OpenSymbol"/>
    </w:rPr>
  </w:style>
  <w:style w:type="character" w:customStyle="1" w:styleId="ListLabel2437">
    <w:name w:val="ListLabel 2437"/>
    <w:qFormat/>
    <w:rPr>
      <w:rFonts w:cs="OpenSymbol"/>
    </w:rPr>
  </w:style>
  <w:style w:type="character" w:customStyle="1" w:styleId="ListLabel2438">
    <w:name w:val="ListLabel 2438"/>
    <w:qFormat/>
    <w:rPr>
      <w:rFonts w:cs="OpenSymbol"/>
      <w:sz w:val="24"/>
    </w:rPr>
  </w:style>
  <w:style w:type="character" w:customStyle="1" w:styleId="ListLabel2439">
    <w:name w:val="ListLabel 2439"/>
    <w:qFormat/>
    <w:rPr>
      <w:rFonts w:cs="OpenSymbol"/>
    </w:rPr>
  </w:style>
  <w:style w:type="character" w:customStyle="1" w:styleId="ListLabel2440">
    <w:name w:val="ListLabel 2440"/>
    <w:qFormat/>
    <w:rPr>
      <w:rFonts w:cs="OpenSymbol"/>
    </w:rPr>
  </w:style>
  <w:style w:type="character" w:customStyle="1" w:styleId="ListLabel2441">
    <w:name w:val="ListLabel 2441"/>
    <w:qFormat/>
    <w:rPr>
      <w:rFonts w:cs="OpenSymbol"/>
    </w:rPr>
  </w:style>
  <w:style w:type="character" w:customStyle="1" w:styleId="ListLabel2442">
    <w:name w:val="ListLabel 2442"/>
    <w:qFormat/>
    <w:rPr>
      <w:rFonts w:cs="OpenSymbol"/>
    </w:rPr>
  </w:style>
  <w:style w:type="character" w:customStyle="1" w:styleId="ListLabel2443">
    <w:name w:val="ListLabel 2443"/>
    <w:qFormat/>
    <w:rPr>
      <w:rFonts w:cs="OpenSymbol"/>
    </w:rPr>
  </w:style>
  <w:style w:type="character" w:customStyle="1" w:styleId="ListLabel2444">
    <w:name w:val="ListLabel 2444"/>
    <w:qFormat/>
    <w:rPr>
      <w:rFonts w:cs="OpenSymbol"/>
    </w:rPr>
  </w:style>
  <w:style w:type="character" w:customStyle="1" w:styleId="ListLabel2445">
    <w:name w:val="ListLabel 2445"/>
    <w:qFormat/>
    <w:rPr>
      <w:rFonts w:cs="OpenSymbol"/>
    </w:rPr>
  </w:style>
  <w:style w:type="character" w:customStyle="1" w:styleId="ListLabel2446">
    <w:name w:val="ListLabel 2446"/>
    <w:qFormat/>
    <w:rPr>
      <w:rFonts w:cs="OpenSymbol"/>
    </w:rPr>
  </w:style>
  <w:style w:type="character" w:customStyle="1" w:styleId="ListLabel2447">
    <w:name w:val="ListLabel 2447"/>
    <w:qFormat/>
    <w:rPr>
      <w:rFonts w:cs="OpenSymbol"/>
      <w:sz w:val="24"/>
    </w:rPr>
  </w:style>
  <w:style w:type="character" w:customStyle="1" w:styleId="ListLabel2448">
    <w:name w:val="ListLabel 2448"/>
    <w:qFormat/>
    <w:rPr>
      <w:rFonts w:cs="OpenSymbol"/>
    </w:rPr>
  </w:style>
  <w:style w:type="character" w:customStyle="1" w:styleId="ListLabel2449">
    <w:name w:val="ListLabel 2449"/>
    <w:qFormat/>
    <w:rPr>
      <w:rFonts w:cs="OpenSymbol"/>
    </w:rPr>
  </w:style>
  <w:style w:type="character" w:customStyle="1" w:styleId="ListLabel2450">
    <w:name w:val="ListLabel 2450"/>
    <w:qFormat/>
    <w:rPr>
      <w:rFonts w:cs="OpenSymbol"/>
    </w:rPr>
  </w:style>
  <w:style w:type="character" w:customStyle="1" w:styleId="ListLabel2451">
    <w:name w:val="ListLabel 2451"/>
    <w:qFormat/>
    <w:rPr>
      <w:rFonts w:cs="OpenSymbol"/>
    </w:rPr>
  </w:style>
  <w:style w:type="character" w:customStyle="1" w:styleId="ListLabel2452">
    <w:name w:val="ListLabel 2452"/>
    <w:qFormat/>
    <w:rPr>
      <w:rFonts w:cs="OpenSymbol"/>
    </w:rPr>
  </w:style>
  <w:style w:type="character" w:customStyle="1" w:styleId="ListLabel2453">
    <w:name w:val="ListLabel 2453"/>
    <w:qFormat/>
    <w:rPr>
      <w:rFonts w:cs="OpenSymbol"/>
    </w:rPr>
  </w:style>
  <w:style w:type="character" w:customStyle="1" w:styleId="ListLabel2454">
    <w:name w:val="ListLabel 2454"/>
    <w:qFormat/>
    <w:rPr>
      <w:rFonts w:cs="OpenSymbol"/>
    </w:rPr>
  </w:style>
  <w:style w:type="character" w:customStyle="1" w:styleId="ListLabel2455">
    <w:name w:val="ListLabel 2455"/>
    <w:qFormat/>
    <w:rPr>
      <w:rFonts w:cs="OpenSymbol"/>
    </w:rPr>
  </w:style>
  <w:style w:type="character" w:customStyle="1" w:styleId="Ukotvenvysvtlivky">
    <w:name w:val="Ukotvení vysvětlivky"/>
    <w:rPr>
      <w:vertAlign w:val="superscript"/>
    </w:rPr>
  </w:style>
  <w:style w:type="character" w:customStyle="1" w:styleId="Znakyprovysvtlivky">
    <w:name w:val="Znaky pro vysvětlivky"/>
    <w:qFormat/>
  </w:style>
  <w:style w:type="character" w:customStyle="1" w:styleId="ListLabel2456">
    <w:name w:val="ListLabel 2456"/>
    <w:qFormat/>
    <w:rPr>
      <w:rFonts w:cs="OpenSymbol"/>
      <w:sz w:val="24"/>
    </w:rPr>
  </w:style>
  <w:style w:type="character" w:customStyle="1" w:styleId="ListLabel2457">
    <w:name w:val="ListLabel 2457"/>
    <w:qFormat/>
    <w:rPr>
      <w:rFonts w:cs="OpenSymbol"/>
    </w:rPr>
  </w:style>
  <w:style w:type="character" w:customStyle="1" w:styleId="ListLabel2458">
    <w:name w:val="ListLabel 2458"/>
    <w:qFormat/>
    <w:rPr>
      <w:rFonts w:cs="OpenSymbol"/>
    </w:rPr>
  </w:style>
  <w:style w:type="character" w:customStyle="1" w:styleId="ListLabel2459">
    <w:name w:val="ListLabel 2459"/>
    <w:qFormat/>
    <w:rPr>
      <w:rFonts w:cs="OpenSymbol"/>
    </w:rPr>
  </w:style>
  <w:style w:type="character" w:customStyle="1" w:styleId="ListLabel2460">
    <w:name w:val="ListLabel 2460"/>
    <w:qFormat/>
    <w:rPr>
      <w:rFonts w:cs="OpenSymbol"/>
    </w:rPr>
  </w:style>
  <w:style w:type="character" w:customStyle="1" w:styleId="ListLabel2461">
    <w:name w:val="ListLabel 2461"/>
    <w:qFormat/>
    <w:rPr>
      <w:rFonts w:cs="OpenSymbol"/>
    </w:rPr>
  </w:style>
  <w:style w:type="character" w:customStyle="1" w:styleId="ListLabel2462">
    <w:name w:val="ListLabel 2462"/>
    <w:qFormat/>
    <w:rPr>
      <w:rFonts w:cs="OpenSymbol"/>
    </w:rPr>
  </w:style>
  <w:style w:type="character" w:customStyle="1" w:styleId="ListLabel2463">
    <w:name w:val="ListLabel 2463"/>
    <w:qFormat/>
    <w:rPr>
      <w:rFonts w:cs="OpenSymbol"/>
    </w:rPr>
  </w:style>
  <w:style w:type="character" w:customStyle="1" w:styleId="ListLabel2464">
    <w:name w:val="ListLabel 2464"/>
    <w:qFormat/>
    <w:rPr>
      <w:rFonts w:cs="OpenSymbol"/>
    </w:rPr>
  </w:style>
  <w:style w:type="character" w:customStyle="1" w:styleId="ListLabel2465">
    <w:name w:val="ListLabel 2465"/>
    <w:qFormat/>
    <w:rPr>
      <w:rFonts w:cs="OpenSymbol"/>
      <w:sz w:val="20"/>
    </w:rPr>
  </w:style>
  <w:style w:type="character" w:customStyle="1" w:styleId="ListLabel2466">
    <w:name w:val="ListLabel 2466"/>
    <w:qFormat/>
    <w:rPr>
      <w:rFonts w:cs="OpenSymbol"/>
    </w:rPr>
  </w:style>
  <w:style w:type="character" w:customStyle="1" w:styleId="ListLabel2467">
    <w:name w:val="ListLabel 2467"/>
    <w:qFormat/>
    <w:rPr>
      <w:rFonts w:cs="OpenSymbol"/>
    </w:rPr>
  </w:style>
  <w:style w:type="character" w:customStyle="1" w:styleId="ListLabel2468">
    <w:name w:val="ListLabel 2468"/>
    <w:qFormat/>
    <w:rPr>
      <w:rFonts w:cs="OpenSymbol"/>
    </w:rPr>
  </w:style>
  <w:style w:type="character" w:customStyle="1" w:styleId="ListLabel2469">
    <w:name w:val="ListLabel 2469"/>
    <w:qFormat/>
    <w:rPr>
      <w:rFonts w:cs="OpenSymbol"/>
    </w:rPr>
  </w:style>
  <w:style w:type="character" w:customStyle="1" w:styleId="ListLabel2470">
    <w:name w:val="ListLabel 2470"/>
    <w:qFormat/>
    <w:rPr>
      <w:rFonts w:cs="OpenSymbol"/>
    </w:rPr>
  </w:style>
  <w:style w:type="character" w:customStyle="1" w:styleId="ListLabel2471">
    <w:name w:val="ListLabel 2471"/>
    <w:qFormat/>
    <w:rPr>
      <w:rFonts w:cs="OpenSymbol"/>
    </w:rPr>
  </w:style>
  <w:style w:type="character" w:customStyle="1" w:styleId="ListLabel2472">
    <w:name w:val="ListLabel 2472"/>
    <w:qFormat/>
    <w:rPr>
      <w:rFonts w:cs="OpenSymbol"/>
    </w:rPr>
  </w:style>
  <w:style w:type="character" w:customStyle="1" w:styleId="ListLabel2473">
    <w:name w:val="ListLabel 2473"/>
    <w:qFormat/>
    <w:rPr>
      <w:rFonts w:cs="OpenSymbol"/>
    </w:rPr>
  </w:style>
  <w:style w:type="character" w:customStyle="1" w:styleId="ListLabel2474">
    <w:name w:val="ListLabel 2474"/>
    <w:qFormat/>
    <w:rPr>
      <w:rFonts w:cs="OpenSymbol"/>
      <w:sz w:val="24"/>
    </w:rPr>
  </w:style>
  <w:style w:type="character" w:customStyle="1" w:styleId="ListLabel2475">
    <w:name w:val="ListLabel 2475"/>
    <w:qFormat/>
    <w:rPr>
      <w:rFonts w:cs="OpenSymbol"/>
    </w:rPr>
  </w:style>
  <w:style w:type="character" w:customStyle="1" w:styleId="ListLabel2476">
    <w:name w:val="ListLabel 2476"/>
    <w:qFormat/>
    <w:rPr>
      <w:rFonts w:cs="OpenSymbol"/>
    </w:rPr>
  </w:style>
  <w:style w:type="character" w:customStyle="1" w:styleId="ListLabel2477">
    <w:name w:val="ListLabel 2477"/>
    <w:qFormat/>
    <w:rPr>
      <w:rFonts w:cs="OpenSymbol"/>
    </w:rPr>
  </w:style>
  <w:style w:type="character" w:customStyle="1" w:styleId="ListLabel2478">
    <w:name w:val="ListLabel 2478"/>
    <w:qFormat/>
    <w:rPr>
      <w:rFonts w:cs="OpenSymbol"/>
    </w:rPr>
  </w:style>
  <w:style w:type="character" w:customStyle="1" w:styleId="ListLabel2479">
    <w:name w:val="ListLabel 2479"/>
    <w:qFormat/>
    <w:rPr>
      <w:rFonts w:cs="OpenSymbol"/>
    </w:rPr>
  </w:style>
  <w:style w:type="character" w:customStyle="1" w:styleId="ListLabel2480">
    <w:name w:val="ListLabel 2480"/>
    <w:qFormat/>
    <w:rPr>
      <w:rFonts w:cs="OpenSymbol"/>
    </w:rPr>
  </w:style>
  <w:style w:type="character" w:customStyle="1" w:styleId="ListLabel2481">
    <w:name w:val="ListLabel 2481"/>
    <w:qFormat/>
    <w:rPr>
      <w:rFonts w:cs="OpenSymbol"/>
    </w:rPr>
  </w:style>
  <w:style w:type="character" w:customStyle="1" w:styleId="ListLabel2482">
    <w:name w:val="ListLabel 2482"/>
    <w:qFormat/>
    <w:rPr>
      <w:rFonts w:cs="OpenSymbol"/>
    </w:rPr>
  </w:style>
  <w:style w:type="character" w:customStyle="1" w:styleId="ListLabel2483">
    <w:name w:val="ListLabel 2483"/>
    <w:qFormat/>
    <w:rPr>
      <w:rFonts w:cs="OpenSymbol"/>
      <w:sz w:val="24"/>
    </w:rPr>
  </w:style>
  <w:style w:type="character" w:customStyle="1" w:styleId="ListLabel2484">
    <w:name w:val="ListLabel 2484"/>
    <w:qFormat/>
    <w:rPr>
      <w:rFonts w:cs="OpenSymbol"/>
    </w:rPr>
  </w:style>
  <w:style w:type="character" w:customStyle="1" w:styleId="ListLabel2485">
    <w:name w:val="ListLabel 2485"/>
    <w:qFormat/>
    <w:rPr>
      <w:rFonts w:cs="OpenSymbol"/>
    </w:rPr>
  </w:style>
  <w:style w:type="character" w:customStyle="1" w:styleId="ListLabel2486">
    <w:name w:val="ListLabel 2486"/>
    <w:qFormat/>
    <w:rPr>
      <w:rFonts w:cs="OpenSymbol"/>
    </w:rPr>
  </w:style>
  <w:style w:type="character" w:customStyle="1" w:styleId="ListLabel2487">
    <w:name w:val="ListLabel 2487"/>
    <w:qFormat/>
    <w:rPr>
      <w:rFonts w:cs="OpenSymbol"/>
    </w:rPr>
  </w:style>
  <w:style w:type="character" w:customStyle="1" w:styleId="ListLabel2488">
    <w:name w:val="ListLabel 2488"/>
    <w:qFormat/>
    <w:rPr>
      <w:rFonts w:cs="OpenSymbol"/>
    </w:rPr>
  </w:style>
  <w:style w:type="character" w:customStyle="1" w:styleId="ListLabel2489">
    <w:name w:val="ListLabel 2489"/>
    <w:qFormat/>
    <w:rPr>
      <w:rFonts w:cs="OpenSymbol"/>
    </w:rPr>
  </w:style>
  <w:style w:type="character" w:customStyle="1" w:styleId="ListLabel2490">
    <w:name w:val="ListLabel 2490"/>
    <w:qFormat/>
    <w:rPr>
      <w:rFonts w:cs="OpenSymbol"/>
    </w:rPr>
  </w:style>
  <w:style w:type="character" w:customStyle="1" w:styleId="ListLabel2491">
    <w:name w:val="ListLabel 2491"/>
    <w:qFormat/>
    <w:rPr>
      <w:rFonts w:cs="OpenSymbol"/>
    </w:rPr>
  </w:style>
  <w:style w:type="paragraph" w:customStyle="1" w:styleId="Nadpis">
    <w:name w:val="Nadpis"/>
    <w:basedOn w:val="Normln"/>
    <w:next w:val="Zkladntext"/>
    <w:qFormat/>
    <w:pPr>
      <w:keepNext/>
      <w:spacing w:before="240"/>
    </w:pPr>
    <w:rPr>
      <w:rFonts w:ascii="Arial" w:eastAsia="PingFang SC" w:hAnsi="Arial"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ascii="Arial" w:hAnsi="Arial" w:cs="Lucida Sans"/>
    </w:rPr>
  </w:style>
  <w:style w:type="paragraph" w:styleId="Titulek">
    <w:name w:val="caption"/>
    <w:basedOn w:val="Normln"/>
    <w:qFormat/>
    <w:pPr>
      <w:suppressLineNumbers/>
      <w:spacing w:before="120"/>
    </w:pPr>
    <w:rPr>
      <w:i/>
      <w:iCs/>
      <w:sz w:val="20"/>
    </w:rPr>
  </w:style>
  <w:style w:type="paragraph" w:customStyle="1" w:styleId="Rejstk">
    <w:name w:val="Rejstřík"/>
    <w:basedOn w:val="Normln"/>
    <w:qFormat/>
    <w:pPr>
      <w:suppressLineNumbers/>
    </w:pPr>
    <w:rPr>
      <w:rFonts w:ascii="Arial" w:hAnsi="Arial" w:cs="Lucida Sans"/>
      <w:sz w:val="20"/>
    </w:rPr>
  </w:style>
  <w:style w:type="paragraph" w:styleId="Zhlav">
    <w:name w:val="header"/>
    <w:basedOn w:val="Normln"/>
    <w:link w:val="ZhlavChar"/>
    <w:uiPriority w:val="99"/>
    <w:unhideWhenUsed/>
    <w:rsid w:val="006232C0"/>
    <w:pPr>
      <w:tabs>
        <w:tab w:val="center" w:pos="4536"/>
        <w:tab w:val="right" w:pos="9072"/>
      </w:tabs>
      <w:spacing w:after="0"/>
    </w:pPr>
  </w:style>
  <w:style w:type="paragraph" w:styleId="Zpat">
    <w:name w:val="footer"/>
    <w:basedOn w:val="Normln"/>
    <w:link w:val="ZpatChar"/>
    <w:uiPriority w:val="99"/>
    <w:unhideWhenUsed/>
    <w:rsid w:val="006232C0"/>
    <w:pPr>
      <w:tabs>
        <w:tab w:val="center" w:pos="4536"/>
        <w:tab w:val="right" w:pos="9072"/>
      </w:tabs>
      <w:spacing w:after="0"/>
    </w:pPr>
  </w:style>
  <w:style w:type="paragraph" w:styleId="Normlnweb">
    <w:name w:val="Normal (Web)"/>
    <w:basedOn w:val="Normln"/>
    <w:uiPriority w:val="99"/>
    <w:semiHidden/>
    <w:unhideWhenUsed/>
    <w:qFormat/>
    <w:rsid w:val="00106170"/>
    <w:pPr>
      <w:spacing w:beforeAutospacing="1" w:afterAutospacing="1"/>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0D32AF"/>
    <w:pPr>
      <w:spacing w:after="0"/>
    </w:pPr>
    <w:rPr>
      <w:sz w:val="20"/>
      <w:szCs w:val="20"/>
    </w:rPr>
  </w:style>
  <w:style w:type="paragraph" w:styleId="Textbubliny">
    <w:name w:val="Balloon Text"/>
    <w:basedOn w:val="Normln"/>
    <w:link w:val="TextbublinyChar"/>
    <w:uiPriority w:val="99"/>
    <w:semiHidden/>
    <w:unhideWhenUsed/>
    <w:qFormat/>
    <w:rsid w:val="003823A7"/>
    <w:pPr>
      <w:spacing w:after="0"/>
    </w:pPr>
    <w:rPr>
      <w:rFonts w:ascii="Segoe UI" w:hAnsi="Segoe UI" w:cs="Segoe UI"/>
      <w:sz w:val="18"/>
      <w:szCs w:val="18"/>
    </w:rPr>
  </w:style>
  <w:style w:type="paragraph" w:styleId="Textkomente">
    <w:name w:val="annotation text"/>
    <w:basedOn w:val="Normln"/>
    <w:link w:val="TextkomenteChar"/>
    <w:uiPriority w:val="99"/>
    <w:unhideWhenUsed/>
    <w:qFormat/>
    <w:rsid w:val="002A5829"/>
    <w:rPr>
      <w:sz w:val="20"/>
      <w:szCs w:val="20"/>
    </w:rPr>
  </w:style>
  <w:style w:type="paragraph" w:styleId="Pedmtkomente">
    <w:name w:val="annotation subject"/>
    <w:basedOn w:val="Textkomente"/>
    <w:next w:val="Textkomente"/>
    <w:link w:val="PedmtkomenteChar"/>
    <w:uiPriority w:val="99"/>
    <w:semiHidden/>
    <w:unhideWhenUsed/>
    <w:qFormat/>
    <w:rsid w:val="002A5829"/>
    <w:rPr>
      <w:b/>
      <w:bCs/>
    </w:r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 w:type="paragraph" w:customStyle="1" w:styleId="Odsazen">
    <w:name w:val="Odsazený"/>
    <w:basedOn w:val="Normln"/>
    <w:qFormat/>
    <w:pPr>
      <w:spacing w:after="0"/>
      <w:ind w:left="850" w:hanging="567"/>
    </w:pPr>
  </w:style>
  <w:style w:type="paragraph" w:customStyle="1" w:styleId="Obsahrmce">
    <w:name w:val="Obsah rámce"/>
    <w:basedOn w:val="Normln"/>
    <w:qFormat/>
  </w:style>
  <w:style w:type="paragraph" w:customStyle="1" w:styleId="Footer1">
    <w:name w:val="Footer1"/>
    <w:basedOn w:val="Normln"/>
    <w:qFormat/>
    <w:pPr>
      <w:tabs>
        <w:tab w:val="center" w:pos="4153"/>
        <w:tab w:val="right" w:pos="8306"/>
      </w:tabs>
    </w:pPr>
    <w:rPr>
      <w:rFonts w:ascii="Calibri" w:hAnsi="Calibri"/>
      <w:sz w:val="20"/>
    </w:rPr>
  </w:style>
  <w:style w:type="paragraph" w:customStyle="1" w:styleId="Header1">
    <w:name w:val="Header1"/>
    <w:basedOn w:val="Normln"/>
    <w:qFormat/>
    <w:pPr>
      <w:tabs>
        <w:tab w:val="center" w:pos="4153"/>
        <w:tab w:val="right" w:pos="8306"/>
      </w:tabs>
    </w:pPr>
  </w:style>
  <w:style w:type="paragraph" w:customStyle="1" w:styleId="Subtitle1">
    <w:name w:val="Subtitle1"/>
    <w:basedOn w:val="Nadpis"/>
    <w:qFormat/>
    <w:pPr>
      <w:spacing w:before="60"/>
      <w:jc w:val="center"/>
    </w:pPr>
    <w:rPr>
      <w:sz w:val="36"/>
      <w:szCs w:val="36"/>
    </w:rPr>
  </w:style>
  <w:style w:type="paragraph" w:customStyle="1" w:styleId="Title1">
    <w:name w:val="Title1"/>
    <w:basedOn w:val="Nadpis"/>
    <w:qFormat/>
    <w:pPr>
      <w:jc w:val="center"/>
    </w:pPr>
    <w:rPr>
      <w:b/>
      <w:bCs/>
      <w:sz w:val="56"/>
      <w:szCs w:val="56"/>
    </w:rPr>
  </w:style>
  <w:style w:type="paragraph" w:customStyle="1" w:styleId="Citace">
    <w:name w:val="Citace"/>
    <w:basedOn w:val="Normln"/>
    <w:qFormat/>
    <w:pPr>
      <w:spacing w:after="283"/>
      <w:ind w:left="567" w:right="567"/>
    </w:pPr>
  </w:style>
  <w:style w:type="paragraph" w:customStyle="1" w:styleId="Caption1">
    <w:name w:val="Caption1"/>
    <w:basedOn w:val="Normln"/>
    <w:qFormat/>
    <w:pPr>
      <w:suppressLineNumbers/>
      <w:spacing w:before="120"/>
    </w:pPr>
    <w:rPr>
      <w:i/>
      <w:iCs/>
      <w:sz w:val="20"/>
    </w:rPr>
  </w:style>
  <w:style w:type="paragraph" w:customStyle="1" w:styleId="List1">
    <w:name w:val="List1"/>
    <w:basedOn w:val="BodyText1"/>
    <w:qFormat/>
  </w:style>
  <w:style w:type="paragraph" w:customStyle="1" w:styleId="BodyText1">
    <w:name w:val="Body Text1"/>
    <w:basedOn w:val="Normln"/>
    <w:qFormat/>
    <w:pPr>
      <w:spacing w:after="57" w:line="288" w:lineRule="auto"/>
    </w:pPr>
    <w:rPr>
      <w:rFonts w:ascii="Calibri" w:hAnsi="Calibri"/>
    </w:rPr>
  </w:style>
  <w:style w:type="paragraph" w:customStyle="1" w:styleId="Heading31">
    <w:name w:val="Heading 31"/>
    <w:basedOn w:val="Nadpis"/>
    <w:qFormat/>
    <w:pPr>
      <w:spacing w:before="140"/>
      <w:outlineLvl w:val="2"/>
    </w:pPr>
    <w:rPr>
      <w:b/>
      <w:sz w:val="24"/>
    </w:rPr>
  </w:style>
  <w:style w:type="paragraph" w:customStyle="1" w:styleId="Heading21">
    <w:name w:val="Heading 21"/>
    <w:basedOn w:val="Nadpis"/>
    <w:qFormat/>
    <w:pPr>
      <w:spacing w:before="200"/>
      <w:outlineLvl w:val="1"/>
    </w:pPr>
    <w:rPr>
      <w:b/>
      <w:bCs/>
      <w:sz w:val="32"/>
      <w:szCs w:val="32"/>
    </w:rPr>
  </w:style>
  <w:style w:type="paragraph" w:customStyle="1" w:styleId="Heading11">
    <w:name w:val="Heading 11"/>
    <w:basedOn w:val="Nadpis"/>
    <w:qFormat/>
    <w:pPr>
      <w:outlineLvl w:val="0"/>
    </w:pPr>
    <w:rPr>
      <w:b/>
      <w:bCs/>
      <w:sz w:val="36"/>
      <w:szCs w:val="36"/>
    </w:rPr>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EF2D1-11B8-4EE2-A20B-72A1D62CF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10044</Words>
  <Characters>59261</Characters>
  <Application>Microsoft Office Word</Application>
  <DocSecurity>0</DocSecurity>
  <Lines>493</Lines>
  <Paragraphs>138</Paragraphs>
  <ScaleCrop>false</ScaleCrop>
  <HeadingPairs>
    <vt:vector size="2" baseType="variant">
      <vt:variant>
        <vt:lpstr>Název</vt:lpstr>
      </vt:variant>
      <vt:variant>
        <vt:i4>1</vt:i4>
      </vt:variant>
    </vt:vector>
  </HeadingPairs>
  <TitlesOfParts>
    <vt:vector size="1" baseType="lpstr">
      <vt:lpstr/>
    </vt:vector>
  </TitlesOfParts>
  <Company>IM CAS</Company>
  <LinksUpToDate>false</LinksUpToDate>
  <CharactersWithSpaces>69167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Rákosník</dc:creator>
  <dc:description/>
  <cp:lastModifiedBy>sekretariat</cp:lastModifiedBy>
  <cp:revision>3</cp:revision>
  <cp:lastPrinted>2019-06-26T18:35:00Z</cp:lastPrinted>
  <dcterms:created xsi:type="dcterms:W3CDTF">2020-06-15T07:41:00Z</dcterms:created>
  <dcterms:modified xsi:type="dcterms:W3CDTF">2020-06-15T07:45:00Z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IM CAS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