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50" w:type="dxa"/>
        <w:tblInd w:w="-863" w:type="dxa"/>
        <w:tblCellMar>
          <w:top w:w="0" w:type="dxa"/>
          <w:left w:w="3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361"/>
        <w:gridCol w:w="1363"/>
        <w:gridCol w:w="5485"/>
        <w:gridCol w:w="850"/>
        <w:gridCol w:w="924"/>
        <w:gridCol w:w="1056"/>
        <w:gridCol w:w="1511"/>
      </w:tblGrid>
      <w:tr w:rsidR="00FB7A0C">
        <w:trPr>
          <w:trHeight w:val="782"/>
        </w:trPr>
        <w:tc>
          <w:tcPr>
            <w:tcW w:w="3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vAlign w:val="center"/>
          </w:tcPr>
          <w:p w:rsidR="00FB7A0C" w:rsidRDefault="00A50D6F">
            <w:pPr>
              <w:ind w:left="276"/>
            </w:pPr>
            <w:r>
              <w:rPr>
                <w:b/>
                <w:sz w:val="30"/>
              </w:rPr>
              <w:t xml:space="preserve">Rozpočet změnový list č. 5 - </w:t>
            </w:r>
            <w:proofErr w:type="spellStart"/>
            <w:r>
              <w:rPr>
                <w:b/>
                <w:sz w:val="30"/>
              </w:rPr>
              <w:t>odstanění</w:t>
            </w:r>
            <w:proofErr w:type="spellEnd"/>
            <w:r>
              <w:rPr>
                <w:b/>
                <w:sz w:val="30"/>
              </w:rPr>
              <w:t xml:space="preserve"> PVC podložky</w:t>
            </w:r>
          </w:p>
        </w:tc>
        <w:tc>
          <w:tcPr>
            <w:tcW w:w="1512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6"/>
        </w:trPr>
        <w:tc>
          <w:tcPr>
            <w:tcW w:w="35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5"/>
              <w:jc w:val="both"/>
            </w:pP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</w:p>
        </w:tc>
        <w:tc>
          <w:tcPr>
            <w:tcW w:w="1364" w:type="dxa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tabs>
                <w:tab w:val="center" w:pos="2723"/>
                <w:tab w:val="center" w:pos="5893"/>
                <w:tab w:val="center" w:pos="6778"/>
                <w:tab w:val="center" w:pos="7769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popis</w:t>
            </w:r>
            <w:r>
              <w:tab/>
              <w:t>MJ</w:t>
            </w:r>
            <w:r>
              <w:tab/>
              <w:t>počet MJ</w:t>
            </w:r>
            <w:r>
              <w:tab/>
              <w:t>JC</w:t>
            </w:r>
          </w:p>
        </w:tc>
        <w:tc>
          <w:tcPr>
            <w:tcW w:w="1512" w:type="dxa"/>
            <w:tcBorders>
              <w:top w:val="single" w:sz="14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3"/>
              <w:jc w:val="center"/>
            </w:pPr>
            <w:r>
              <w:t>celkem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776041800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rFonts w:ascii="Times New Roman" w:eastAsia="Times New Roman" w:hAnsi="Times New Roman" w:cs="Times New Roman"/>
                <w:sz w:val="17"/>
              </w:rPr>
              <w:t>Demontáž PVC příplatek za podložku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m2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166,33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59,00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9 813,47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633811119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rFonts w:ascii="Times New Roman" w:eastAsia="Times New Roman" w:hAnsi="Times New Roman" w:cs="Times New Roman"/>
                <w:sz w:val="17"/>
              </w:rPr>
              <w:t>Broušení podlah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m2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159,54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83,50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13 321,59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Základ pro DPH</w:t>
            </w: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18"/>
              <w:jc w:val="right"/>
            </w:pPr>
            <w:r>
              <w:rPr>
                <w:b/>
              </w:rPr>
              <w:t>23 135,06 Kč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21% DPH</w:t>
            </w: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18"/>
              <w:jc w:val="right"/>
            </w:pPr>
            <w:r>
              <w:rPr>
                <w:b/>
              </w:rPr>
              <w:t>4 858,36 Kč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Celkem vč. DPH</w:t>
            </w: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18"/>
              <w:jc w:val="right"/>
            </w:pPr>
            <w:r>
              <w:rPr>
                <w:b/>
              </w:rPr>
              <w:t>27 993,42 Kč</w:t>
            </w:r>
          </w:p>
        </w:tc>
      </w:tr>
      <w:tr w:rsidR="00FB7A0C">
        <w:trPr>
          <w:trHeight w:val="782"/>
        </w:trPr>
        <w:tc>
          <w:tcPr>
            <w:tcW w:w="3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7263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vAlign w:val="center"/>
          </w:tcPr>
          <w:p w:rsidR="00FB7A0C" w:rsidRDefault="00A50D6F">
            <w:pPr>
              <w:ind w:left="0" w:right="125"/>
              <w:jc w:val="right"/>
            </w:pPr>
            <w:r>
              <w:rPr>
                <w:b/>
                <w:sz w:val="30"/>
              </w:rPr>
              <w:t>Rozpočet změnový list č. 6 - malby a nátěry</w:t>
            </w:r>
          </w:p>
        </w:tc>
        <w:tc>
          <w:tcPr>
            <w:tcW w:w="1056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5"/>
              <w:jc w:val="both"/>
            </w:pP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</w:p>
        </w:tc>
        <w:tc>
          <w:tcPr>
            <w:tcW w:w="1364" w:type="dxa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7263" w:type="dxa"/>
            <w:gridSpan w:val="3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tabs>
                <w:tab w:val="center" w:pos="2723"/>
                <w:tab w:val="center" w:pos="5893"/>
                <w:tab w:val="right" w:pos="7214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popis</w:t>
            </w:r>
            <w:r>
              <w:tab/>
              <w:t>MJ</w:t>
            </w:r>
            <w:r>
              <w:tab/>
              <w:t>počet MJ</w:t>
            </w:r>
          </w:p>
        </w:tc>
        <w:tc>
          <w:tcPr>
            <w:tcW w:w="1056" w:type="dxa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4"/>
              <w:jc w:val="center"/>
            </w:pPr>
            <w:r>
              <w:t>JC</w:t>
            </w:r>
          </w:p>
        </w:tc>
        <w:tc>
          <w:tcPr>
            <w:tcW w:w="1512" w:type="dxa"/>
            <w:tcBorders>
              <w:top w:val="single" w:sz="14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3"/>
              <w:jc w:val="center"/>
            </w:pPr>
            <w:r>
              <w:t>celkem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08"/>
            </w:pPr>
            <w:r>
              <w:rPr>
                <w:sz w:val="17"/>
              </w:rPr>
              <w:t>1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>783212100R00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 xml:space="preserve">Nátěr olejový kovových konstrukcí dvojnásobný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7"/>
              <w:jc w:val="center"/>
            </w:pPr>
            <w:r>
              <w:rPr>
                <w:sz w:val="15"/>
              </w:rPr>
              <w:t>m2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2"/>
              <w:jc w:val="right"/>
            </w:pPr>
            <w:r>
              <w:rPr>
                <w:sz w:val="15"/>
              </w:rPr>
              <w:t>16,55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2"/>
              <w:jc w:val="right"/>
            </w:pPr>
            <w:r>
              <w:rPr>
                <w:sz w:val="15"/>
              </w:rPr>
              <w:t>120,00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3"/>
              <w:jc w:val="right"/>
            </w:pPr>
            <w:r>
              <w:rPr>
                <w:sz w:val="15"/>
              </w:rPr>
              <w:t>1 986,00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08"/>
            </w:pPr>
            <w:r>
              <w:rPr>
                <w:sz w:val="17"/>
              </w:rPr>
              <w:t>2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>783226100R00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 xml:space="preserve">Nátěr syntetický kovových konstrukcí základní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7"/>
              <w:jc w:val="center"/>
            </w:pPr>
            <w:r>
              <w:rPr>
                <w:sz w:val="15"/>
              </w:rPr>
              <w:t>m2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2"/>
              <w:jc w:val="right"/>
            </w:pPr>
            <w:r>
              <w:rPr>
                <w:sz w:val="15"/>
              </w:rPr>
              <w:t>16,55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2"/>
              <w:jc w:val="right"/>
            </w:pPr>
            <w:r>
              <w:rPr>
                <w:sz w:val="15"/>
              </w:rPr>
              <w:t>65,00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3"/>
              <w:jc w:val="right"/>
            </w:pPr>
            <w:r>
              <w:rPr>
                <w:sz w:val="15"/>
              </w:rPr>
              <w:t>1 075,75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08"/>
            </w:pPr>
            <w:r>
              <w:rPr>
                <w:sz w:val="17"/>
              </w:rPr>
              <w:t>3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>784111701RZ1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 xml:space="preserve">Penetrace podkladu nátěrem sádrokarton, omítka 1x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7"/>
              <w:jc w:val="center"/>
            </w:pPr>
            <w:r>
              <w:rPr>
                <w:sz w:val="15"/>
              </w:rPr>
              <w:t>m2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2"/>
              <w:jc w:val="right"/>
            </w:pPr>
            <w:r>
              <w:rPr>
                <w:sz w:val="15"/>
              </w:rPr>
              <w:t>154,45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2"/>
              <w:jc w:val="right"/>
            </w:pPr>
            <w:r>
              <w:rPr>
                <w:sz w:val="15"/>
              </w:rPr>
              <w:t>15,00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3"/>
              <w:jc w:val="right"/>
            </w:pPr>
            <w:r>
              <w:rPr>
                <w:sz w:val="15"/>
              </w:rPr>
              <w:t>2 316,75</w:t>
            </w:r>
          </w:p>
        </w:tc>
      </w:tr>
      <w:tr w:rsidR="00FB7A0C">
        <w:trPr>
          <w:trHeight w:val="236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08"/>
            </w:pPr>
            <w:r>
              <w:rPr>
                <w:sz w:val="17"/>
              </w:rPr>
              <w:t>4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>784115722RZ1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 xml:space="preserve">Malba sádrokarton, omítka, bez penetrace, 2x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7"/>
              <w:jc w:val="center"/>
            </w:pPr>
            <w:r>
              <w:rPr>
                <w:sz w:val="15"/>
              </w:rPr>
              <w:t>m2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2"/>
              <w:jc w:val="right"/>
            </w:pPr>
            <w:r>
              <w:rPr>
                <w:sz w:val="15"/>
              </w:rPr>
              <w:t>154,45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2"/>
              <w:jc w:val="right"/>
            </w:pPr>
            <w:r>
              <w:rPr>
                <w:sz w:val="15"/>
              </w:rPr>
              <w:t>45,00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 w:right="13"/>
              <w:jc w:val="right"/>
            </w:pPr>
            <w:r>
              <w:rPr>
                <w:sz w:val="15"/>
              </w:rPr>
              <w:t>6 950,25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7263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05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7263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Základ pro DPH</w:t>
            </w:r>
          </w:p>
        </w:tc>
        <w:tc>
          <w:tcPr>
            <w:tcW w:w="105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18"/>
              <w:jc w:val="right"/>
            </w:pPr>
            <w:r>
              <w:rPr>
                <w:b/>
              </w:rPr>
              <w:t>12 328,75 Kč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7263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21% DPH</w:t>
            </w:r>
          </w:p>
        </w:tc>
        <w:tc>
          <w:tcPr>
            <w:tcW w:w="105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18"/>
              <w:jc w:val="right"/>
            </w:pPr>
            <w:r>
              <w:rPr>
                <w:b/>
              </w:rPr>
              <w:t>2 589,04 Kč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7263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Celkem vč. DPH</w:t>
            </w:r>
          </w:p>
        </w:tc>
        <w:tc>
          <w:tcPr>
            <w:tcW w:w="105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18"/>
              <w:jc w:val="right"/>
            </w:pPr>
            <w:r>
              <w:rPr>
                <w:b/>
              </w:rPr>
              <w:t>14 917,79 Kč</w:t>
            </w:r>
          </w:p>
        </w:tc>
      </w:tr>
      <w:tr w:rsidR="00FB7A0C">
        <w:trPr>
          <w:trHeight w:val="783"/>
        </w:trPr>
        <w:tc>
          <w:tcPr>
            <w:tcW w:w="171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vAlign w:val="center"/>
          </w:tcPr>
          <w:p w:rsidR="00FB7A0C" w:rsidRDefault="00A50D6F">
            <w:pPr>
              <w:ind w:left="209"/>
            </w:pPr>
            <w:r>
              <w:rPr>
                <w:b/>
                <w:sz w:val="30"/>
              </w:rPr>
              <w:t>Rozpočet změnový list č. 7 - vyrovnání výtahové stěny</w:t>
            </w:r>
          </w:p>
        </w:tc>
        <w:tc>
          <w:tcPr>
            <w:tcW w:w="1512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1719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5"/>
            </w:pP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</w:p>
        </w:tc>
        <w:tc>
          <w:tcPr>
            <w:tcW w:w="8319" w:type="dxa"/>
            <w:gridSpan w:val="4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tabs>
                <w:tab w:val="center" w:pos="2723"/>
                <w:tab w:val="center" w:pos="5893"/>
                <w:tab w:val="center" w:pos="6778"/>
                <w:tab w:val="center" w:pos="7769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popis</w:t>
            </w:r>
            <w:r>
              <w:tab/>
              <w:t>MJ</w:t>
            </w:r>
            <w:r>
              <w:tab/>
              <w:t>počet MJ</w:t>
            </w:r>
            <w:r>
              <w:tab/>
              <w:t>JC</w:t>
            </w:r>
          </w:p>
        </w:tc>
        <w:tc>
          <w:tcPr>
            <w:tcW w:w="1512" w:type="dxa"/>
            <w:tcBorders>
              <w:top w:val="single" w:sz="14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16"/>
              <w:jc w:val="center"/>
            </w:pPr>
            <w:r>
              <w:t>celkem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08"/>
            </w:pPr>
            <w:r>
              <w:rPr>
                <w:sz w:val="17"/>
              </w:rPr>
              <w:t>1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>R00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 xml:space="preserve">Vyrovnání výtahové stěny VC maltou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>. 2-10cm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9"/>
              <w:jc w:val="center"/>
            </w:pPr>
            <w:r>
              <w:rPr>
                <w:sz w:val="15"/>
              </w:rPr>
              <w:t>m2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  <w:jc w:val="right"/>
            </w:pPr>
            <w:r>
              <w:rPr>
                <w:sz w:val="15"/>
              </w:rPr>
              <w:t>58,00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  <w:jc w:val="right"/>
            </w:pPr>
            <w:r>
              <w:rPr>
                <w:sz w:val="15"/>
              </w:rPr>
              <w:t>420,36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  <w:jc w:val="right"/>
            </w:pPr>
            <w:r>
              <w:rPr>
                <w:sz w:val="15"/>
              </w:rPr>
              <w:t>24 380,88</w:t>
            </w:r>
          </w:p>
        </w:tc>
      </w:tr>
      <w:tr w:rsidR="00FB7A0C">
        <w:trPr>
          <w:trHeight w:val="235"/>
        </w:trPr>
        <w:tc>
          <w:tcPr>
            <w:tcW w:w="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08"/>
            </w:pPr>
            <w:r>
              <w:rPr>
                <w:sz w:val="17"/>
              </w:rPr>
              <w:t>2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>784111701</w:t>
            </w:r>
          </w:p>
        </w:tc>
        <w:tc>
          <w:tcPr>
            <w:tcW w:w="5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</w:pPr>
            <w:r>
              <w:rPr>
                <w:sz w:val="15"/>
              </w:rPr>
              <w:t>Penetrace podkladu nátěrem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19"/>
              <w:jc w:val="center"/>
            </w:pPr>
            <w:r>
              <w:rPr>
                <w:sz w:val="15"/>
              </w:rPr>
              <w:t>m2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  <w:jc w:val="right"/>
            </w:pPr>
            <w:r>
              <w:rPr>
                <w:sz w:val="15"/>
              </w:rPr>
              <w:t>11,60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  <w:jc w:val="right"/>
            </w:pPr>
            <w:r>
              <w:rPr>
                <w:sz w:val="15"/>
              </w:rPr>
              <w:t>15,00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7A0C" w:rsidRDefault="00A50D6F">
            <w:pPr>
              <w:ind w:left="0"/>
              <w:jc w:val="right"/>
            </w:pPr>
            <w:r>
              <w:rPr>
                <w:sz w:val="15"/>
              </w:rPr>
              <w:t>174,00</w:t>
            </w:r>
          </w:p>
        </w:tc>
      </w:tr>
      <w:tr w:rsidR="00FB7A0C">
        <w:trPr>
          <w:trHeight w:val="235"/>
        </w:trPr>
        <w:tc>
          <w:tcPr>
            <w:tcW w:w="17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B7A0C" w:rsidRDefault="00FB7A0C">
            <w:pPr>
              <w:spacing w:after="160"/>
              <w:ind w:left="0"/>
            </w:pPr>
          </w:p>
        </w:tc>
      </w:tr>
      <w:tr w:rsidR="00FB7A0C">
        <w:trPr>
          <w:trHeight w:val="235"/>
        </w:trPr>
        <w:tc>
          <w:tcPr>
            <w:tcW w:w="17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Základ pro DPH</w:t>
            </w: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6"/>
              <w:jc w:val="right"/>
            </w:pPr>
            <w:r>
              <w:rPr>
                <w:b/>
              </w:rPr>
              <w:t>24 554,88 Kč</w:t>
            </w:r>
          </w:p>
        </w:tc>
      </w:tr>
      <w:tr w:rsidR="00FB7A0C">
        <w:trPr>
          <w:trHeight w:val="235"/>
        </w:trPr>
        <w:tc>
          <w:tcPr>
            <w:tcW w:w="17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21% DPH</w:t>
            </w: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6"/>
              <w:jc w:val="right"/>
            </w:pPr>
            <w:r>
              <w:rPr>
                <w:b/>
              </w:rPr>
              <w:t>5 156,52 Kč</w:t>
            </w:r>
          </w:p>
        </w:tc>
      </w:tr>
      <w:tr w:rsidR="00FB7A0C">
        <w:trPr>
          <w:trHeight w:val="235"/>
        </w:trPr>
        <w:tc>
          <w:tcPr>
            <w:tcW w:w="17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FB7A0C">
            <w:pPr>
              <w:spacing w:after="160"/>
              <w:ind w:left="0"/>
            </w:pPr>
          </w:p>
        </w:tc>
        <w:tc>
          <w:tcPr>
            <w:tcW w:w="831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FB7A0C" w:rsidRDefault="00A50D6F">
            <w:pPr>
              <w:ind w:left="2"/>
            </w:pPr>
            <w:r>
              <w:rPr>
                <w:b/>
                <w:i/>
                <w:sz w:val="17"/>
              </w:rPr>
              <w:t>Celkem vč. DPH</w:t>
            </w: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7A0C" w:rsidRDefault="00A50D6F">
            <w:pPr>
              <w:ind w:left="0" w:right="6"/>
              <w:jc w:val="right"/>
            </w:pPr>
            <w:r>
              <w:rPr>
                <w:b/>
              </w:rPr>
              <w:t>29 711,40 Kč</w:t>
            </w:r>
          </w:p>
        </w:tc>
      </w:tr>
    </w:tbl>
    <w:p w:rsidR="00FB7A0C" w:rsidRDefault="00FB7A0C">
      <w:bookmarkStart w:id="0" w:name="_GoBack"/>
      <w:bookmarkEnd w:id="0"/>
    </w:p>
    <w:sectPr w:rsidR="00FB7A0C" w:rsidSect="00A50D6F">
      <w:pgSz w:w="11906" w:h="16838"/>
      <w:pgMar w:top="1440" w:right="863" w:bottom="1440" w:left="933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0C"/>
    <w:rsid w:val="00A50D6F"/>
    <w:rsid w:val="00F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10D47-8E81-495A-9B6F-1AC35D8A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6421"/>
    </w:pPr>
    <w:rPr>
      <w:rFonts w:ascii="Arial" w:eastAsia="Arial" w:hAnsi="Arial" w:cs="Arial"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Účet Microsoft</cp:lastModifiedBy>
  <cp:revision>2</cp:revision>
  <dcterms:created xsi:type="dcterms:W3CDTF">2020-06-15T11:57:00Z</dcterms:created>
  <dcterms:modified xsi:type="dcterms:W3CDTF">2020-06-15T11:57:00Z</dcterms:modified>
</cp:coreProperties>
</file>