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48FB" w:rsidRDefault="004548FB" w:rsidP="004548FB">
      <w:pPr>
        <w:rPr>
          <w:rFonts w:asciiTheme="minorHAnsi" w:hAnsiTheme="minorHAnsi" w:cstheme="minorHAnsi"/>
          <w:b/>
          <w:sz w:val="32"/>
          <w:szCs w:val="32"/>
        </w:rPr>
      </w:pPr>
      <w:r>
        <w:rPr>
          <w:rFonts w:asciiTheme="minorHAnsi" w:hAnsiTheme="minorHAnsi" w:cstheme="minorHAnsi"/>
          <w:b/>
          <w:sz w:val="32"/>
          <w:szCs w:val="32"/>
        </w:rPr>
        <w:t xml:space="preserve">Příloha č. 11 AKCIONÁŘSKÉ DOHODY </w:t>
      </w:r>
    </w:p>
    <w:p w:rsidR="004548FB" w:rsidRDefault="004548FB" w:rsidP="00920095">
      <w:pPr>
        <w:jc w:val="center"/>
        <w:rPr>
          <w:rFonts w:asciiTheme="minorHAnsi" w:hAnsiTheme="minorHAnsi" w:cstheme="minorHAnsi"/>
          <w:b/>
          <w:sz w:val="32"/>
          <w:szCs w:val="32"/>
        </w:rPr>
      </w:pPr>
    </w:p>
    <w:p w:rsidR="00FA31FE" w:rsidRPr="00920095" w:rsidRDefault="00FA31FE" w:rsidP="00920095">
      <w:pPr>
        <w:jc w:val="center"/>
        <w:rPr>
          <w:sz w:val="32"/>
          <w:szCs w:val="32"/>
        </w:rPr>
      </w:pPr>
      <w:r w:rsidRPr="00920095">
        <w:rPr>
          <w:rFonts w:asciiTheme="minorHAnsi" w:hAnsiTheme="minorHAnsi" w:cstheme="minorHAnsi"/>
          <w:b/>
          <w:sz w:val="32"/>
          <w:szCs w:val="32"/>
        </w:rPr>
        <w:t>Prohlášení a záruky Investora</w:t>
      </w:r>
    </w:p>
    <w:p w:rsidR="00AF415A" w:rsidRPr="00920095" w:rsidRDefault="00AF415A" w:rsidP="00920095">
      <w:pPr>
        <w:numPr>
          <w:ilvl w:val="1"/>
          <w:numId w:val="2"/>
        </w:numPr>
        <w:spacing w:before="120" w:after="120" w:line="240" w:lineRule="auto"/>
        <w:ind w:left="567" w:hanging="567"/>
        <w:jc w:val="both"/>
        <w:rPr>
          <w:rFonts w:asciiTheme="minorHAnsi" w:eastAsia="Calibri" w:hAnsiTheme="minorHAnsi" w:cstheme="minorHAnsi"/>
          <w:sz w:val="20"/>
          <w:szCs w:val="18"/>
        </w:rPr>
      </w:pPr>
      <w:r w:rsidRPr="00920095">
        <w:rPr>
          <w:rFonts w:asciiTheme="minorHAnsi" w:eastAsia="Calibri" w:hAnsiTheme="minorHAnsi" w:cstheme="minorHAnsi"/>
          <w:sz w:val="20"/>
          <w:szCs w:val="18"/>
        </w:rPr>
        <w:t xml:space="preserve">Tato Prohlášení a záruky </w:t>
      </w:r>
      <w:r>
        <w:rPr>
          <w:rFonts w:asciiTheme="minorHAnsi" w:eastAsia="Calibri" w:hAnsiTheme="minorHAnsi" w:cstheme="minorHAnsi"/>
          <w:sz w:val="20"/>
          <w:szCs w:val="18"/>
        </w:rPr>
        <w:t xml:space="preserve">Investora </w:t>
      </w:r>
      <w:r w:rsidRPr="00920095">
        <w:rPr>
          <w:rFonts w:asciiTheme="minorHAnsi" w:eastAsia="Calibri" w:hAnsiTheme="minorHAnsi" w:cstheme="minorHAnsi"/>
          <w:sz w:val="20"/>
          <w:szCs w:val="18"/>
        </w:rPr>
        <w:t>tvoří nedílnou součást Dohody.</w:t>
      </w:r>
    </w:p>
    <w:p w:rsidR="00AF415A" w:rsidRPr="00AF415A" w:rsidRDefault="00AF415A">
      <w:pPr>
        <w:numPr>
          <w:ilvl w:val="1"/>
          <w:numId w:val="2"/>
        </w:numPr>
        <w:spacing w:before="120" w:after="120" w:line="240" w:lineRule="auto"/>
        <w:ind w:left="567" w:hanging="567"/>
        <w:jc w:val="both"/>
        <w:rPr>
          <w:rFonts w:asciiTheme="minorHAnsi" w:eastAsia="Calibri" w:hAnsiTheme="minorHAnsi" w:cstheme="minorHAnsi"/>
          <w:sz w:val="20"/>
          <w:szCs w:val="18"/>
        </w:rPr>
      </w:pPr>
      <w:r w:rsidRPr="00920095">
        <w:rPr>
          <w:rFonts w:asciiTheme="minorHAnsi" w:eastAsia="Calibri" w:hAnsiTheme="minorHAnsi" w:cstheme="minorHAnsi"/>
          <w:sz w:val="20"/>
          <w:szCs w:val="18"/>
        </w:rPr>
        <w:t>Výrazy s počátečními velkými písmeny mají stejný význam, jaký je těmto výrazům přisuzován v Dohodě.</w:t>
      </w:r>
    </w:p>
    <w:p w:rsidR="000E6213" w:rsidRPr="00AE4BF3" w:rsidRDefault="000E6213" w:rsidP="000E6213">
      <w:pPr>
        <w:numPr>
          <w:ilvl w:val="1"/>
          <w:numId w:val="2"/>
        </w:numPr>
        <w:spacing w:before="120" w:after="120" w:line="240" w:lineRule="auto"/>
        <w:ind w:left="567" w:hanging="567"/>
        <w:jc w:val="both"/>
        <w:rPr>
          <w:rFonts w:asciiTheme="minorHAnsi" w:hAnsiTheme="minorHAnsi" w:cstheme="minorHAnsi"/>
          <w:sz w:val="20"/>
          <w:szCs w:val="18"/>
          <w:lang w:eastAsia="en-US"/>
        </w:rPr>
      </w:pPr>
      <w:r w:rsidRPr="000A15B2">
        <w:rPr>
          <w:rFonts w:asciiTheme="minorHAnsi" w:eastAsia="Calibri" w:hAnsiTheme="minorHAnsi" w:cstheme="minorHAnsi"/>
          <w:sz w:val="20"/>
          <w:szCs w:val="18"/>
        </w:rPr>
        <w:t>Investor je společností s ručením omezeným řádně založenou, vzniklou a platně existující v souladu s</w:t>
      </w:r>
      <w:r w:rsidRPr="00AE4BF3">
        <w:rPr>
          <w:rFonts w:asciiTheme="minorHAnsi" w:eastAsia="Calibri" w:hAnsiTheme="minorHAnsi" w:cstheme="minorHAnsi"/>
          <w:sz w:val="20"/>
          <w:szCs w:val="18"/>
        </w:rPr>
        <w:t> platnými právními předpisy České republiky.</w:t>
      </w:r>
    </w:p>
    <w:p w:rsidR="000E6213" w:rsidRPr="00A14688" w:rsidRDefault="000E6213" w:rsidP="000E6213">
      <w:pPr>
        <w:numPr>
          <w:ilvl w:val="1"/>
          <w:numId w:val="2"/>
        </w:numPr>
        <w:spacing w:before="120" w:after="120" w:line="240" w:lineRule="auto"/>
        <w:ind w:left="567" w:hanging="567"/>
        <w:jc w:val="both"/>
        <w:rPr>
          <w:rFonts w:asciiTheme="minorHAnsi" w:hAnsiTheme="minorHAnsi" w:cstheme="minorHAnsi"/>
          <w:sz w:val="20"/>
          <w:szCs w:val="18"/>
          <w:lang w:eastAsia="en-US"/>
        </w:rPr>
      </w:pPr>
      <w:r w:rsidRPr="00D07523">
        <w:rPr>
          <w:rFonts w:asciiTheme="minorHAnsi" w:hAnsiTheme="minorHAnsi" w:cstheme="minorHAnsi"/>
          <w:sz w:val="20"/>
          <w:szCs w:val="18"/>
          <w:lang w:eastAsia="en-US"/>
        </w:rPr>
        <w:t>Investor je plně svéprávný a je oprávněn k uzavření Dohody a jakýchkoli dokumentů uzavíraných na základě Dohody či v souvislosti s ní, jakož i k výkonu práv a plnění závazků vyplývajících</w:t>
      </w:r>
      <w:r w:rsidRPr="00A14688">
        <w:rPr>
          <w:rFonts w:asciiTheme="minorHAnsi" w:hAnsiTheme="minorHAnsi" w:cstheme="minorHAnsi"/>
          <w:sz w:val="20"/>
          <w:szCs w:val="18"/>
          <w:lang w:eastAsia="en-US"/>
        </w:rPr>
        <w:t xml:space="preserve"> z Dohody nebo</w:t>
      </w:r>
      <w:r w:rsidR="00730C50">
        <w:rPr>
          <w:rFonts w:asciiTheme="minorHAnsi" w:hAnsiTheme="minorHAnsi" w:cstheme="minorHAnsi"/>
          <w:sz w:val="20"/>
          <w:szCs w:val="18"/>
          <w:lang w:eastAsia="en-US"/>
        </w:rPr>
        <w:t> </w:t>
      </w:r>
      <w:r w:rsidRPr="00A14688">
        <w:rPr>
          <w:rFonts w:asciiTheme="minorHAnsi" w:hAnsiTheme="minorHAnsi" w:cstheme="minorHAnsi"/>
          <w:sz w:val="20"/>
          <w:szCs w:val="18"/>
          <w:lang w:eastAsia="en-US"/>
        </w:rPr>
        <w:t>jakýchkoli dokumentů uzavíraných na základě Dohody či v souvislosti s ní.</w:t>
      </w:r>
    </w:p>
    <w:p w:rsidR="000E6213" w:rsidRPr="00A14688" w:rsidRDefault="000E6213" w:rsidP="000E6213">
      <w:pPr>
        <w:numPr>
          <w:ilvl w:val="1"/>
          <w:numId w:val="2"/>
        </w:numPr>
        <w:spacing w:before="120" w:after="120" w:line="240" w:lineRule="auto"/>
        <w:ind w:left="567" w:hanging="567"/>
        <w:jc w:val="both"/>
        <w:rPr>
          <w:rFonts w:asciiTheme="minorHAnsi" w:hAnsiTheme="minorHAnsi" w:cstheme="minorHAnsi"/>
          <w:sz w:val="20"/>
          <w:szCs w:val="18"/>
          <w:lang w:eastAsia="en-US"/>
        </w:rPr>
      </w:pPr>
      <w:r w:rsidRPr="00A14688">
        <w:rPr>
          <w:rFonts w:asciiTheme="minorHAnsi" w:hAnsiTheme="minorHAnsi" w:cstheme="minorHAnsi"/>
          <w:sz w:val="20"/>
          <w:szCs w:val="18"/>
          <w:lang w:eastAsia="en-US"/>
        </w:rPr>
        <w:t>Uzavření Dohody ze strany Investora nepředstavuje porušení žádného právního předpisu, smluvního nebo jiného závazku nebo rozhodnutí kompetentního státního nebo jiného správního orgánu vztahujících se na Investora.</w:t>
      </w:r>
    </w:p>
    <w:p w:rsidR="000E6213" w:rsidRPr="00A14688" w:rsidRDefault="000E6213" w:rsidP="000E6213">
      <w:pPr>
        <w:numPr>
          <w:ilvl w:val="1"/>
          <w:numId w:val="2"/>
        </w:numPr>
        <w:spacing w:before="120" w:after="120" w:line="240" w:lineRule="auto"/>
        <w:ind w:left="567" w:hanging="567"/>
        <w:jc w:val="both"/>
        <w:rPr>
          <w:rFonts w:asciiTheme="minorHAnsi" w:hAnsiTheme="minorHAnsi" w:cstheme="minorHAnsi"/>
          <w:sz w:val="20"/>
          <w:szCs w:val="18"/>
          <w:lang w:eastAsia="en-US"/>
        </w:rPr>
      </w:pPr>
      <w:r w:rsidRPr="00A14688">
        <w:rPr>
          <w:rFonts w:asciiTheme="minorHAnsi" w:hAnsiTheme="minorHAnsi" w:cstheme="minorHAnsi"/>
          <w:sz w:val="20"/>
          <w:szCs w:val="18"/>
          <w:lang w:eastAsia="en-US"/>
        </w:rPr>
        <w:t xml:space="preserve">Investor není v úpadku, hrozícím úpadku, v platební neschopnosti a není předlužen ve smyslu </w:t>
      </w:r>
      <w:r w:rsidR="009D7259" w:rsidRPr="009D7259">
        <w:rPr>
          <w:rFonts w:asciiTheme="minorHAnsi" w:hAnsiTheme="minorHAnsi" w:cstheme="minorHAnsi"/>
          <w:sz w:val="20"/>
          <w:szCs w:val="18"/>
          <w:lang w:eastAsia="en-US"/>
        </w:rPr>
        <w:t>zákona č.</w:t>
      </w:r>
      <w:r w:rsidR="009D7259">
        <w:rPr>
          <w:rFonts w:asciiTheme="minorHAnsi" w:hAnsiTheme="minorHAnsi" w:cstheme="minorHAnsi"/>
          <w:sz w:val="20"/>
          <w:szCs w:val="18"/>
          <w:lang w:eastAsia="en-US"/>
        </w:rPr>
        <w:t> </w:t>
      </w:r>
      <w:r w:rsidR="009D7259" w:rsidRPr="009D7259">
        <w:rPr>
          <w:rFonts w:asciiTheme="minorHAnsi" w:hAnsiTheme="minorHAnsi" w:cstheme="minorHAnsi"/>
          <w:sz w:val="20"/>
          <w:szCs w:val="18"/>
          <w:lang w:eastAsia="en-US"/>
        </w:rPr>
        <w:t>182/2006 Sb., o úpadku a způsobech jeho řešení (insolvenční zákon), ve znění pozdějších předpisů (dále jen „</w:t>
      </w:r>
      <w:r w:rsidR="009D7259" w:rsidRPr="009D7259">
        <w:rPr>
          <w:rFonts w:asciiTheme="minorHAnsi" w:hAnsiTheme="minorHAnsi" w:cstheme="minorHAnsi"/>
          <w:b/>
          <w:bCs/>
          <w:sz w:val="20"/>
          <w:szCs w:val="18"/>
          <w:lang w:eastAsia="en-US"/>
        </w:rPr>
        <w:t>Insolvenční zákon</w:t>
      </w:r>
      <w:r w:rsidR="009D7259" w:rsidRPr="009D7259">
        <w:rPr>
          <w:rFonts w:asciiTheme="minorHAnsi" w:hAnsiTheme="minorHAnsi" w:cstheme="minorHAnsi"/>
          <w:sz w:val="20"/>
          <w:szCs w:val="18"/>
          <w:lang w:eastAsia="en-US"/>
        </w:rPr>
        <w:t>“)</w:t>
      </w:r>
      <w:r w:rsidRPr="00A14688">
        <w:rPr>
          <w:rFonts w:asciiTheme="minorHAnsi" w:hAnsiTheme="minorHAnsi" w:cstheme="minorHAnsi"/>
          <w:sz w:val="20"/>
          <w:szCs w:val="18"/>
          <w:lang w:eastAsia="en-US"/>
        </w:rPr>
        <w:t>, ani nezastavil platby, není v prodlení se splněním žádného dluhu významné majetkové hodnoty a ani není neschopen platit své dluhy řádně a včas.</w:t>
      </w:r>
    </w:p>
    <w:p w:rsidR="000E6213" w:rsidRPr="00A14688" w:rsidRDefault="000E6213" w:rsidP="000E6213">
      <w:pPr>
        <w:numPr>
          <w:ilvl w:val="1"/>
          <w:numId w:val="2"/>
        </w:numPr>
        <w:spacing w:before="120" w:after="120" w:line="240" w:lineRule="auto"/>
        <w:ind w:left="567" w:hanging="567"/>
        <w:jc w:val="both"/>
        <w:rPr>
          <w:rFonts w:asciiTheme="minorHAnsi" w:hAnsiTheme="minorHAnsi" w:cstheme="minorHAnsi"/>
          <w:sz w:val="20"/>
          <w:szCs w:val="18"/>
          <w:lang w:eastAsia="en-US"/>
        </w:rPr>
      </w:pPr>
      <w:r w:rsidRPr="00A14688">
        <w:rPr>
          <w:rFonts w:asciiTheme="minorHAnsi" w:hAnsiTheme="minorHAnsi" w:cstheme="minorHAnsi"/>
          <w:sz w:val="20"/>
          <w:szCs w:val="18"/>
          <w:lang w:eastAsia="en-US"/>
        </w:rPr>
        <w:t>Vůči Investorovi nebyl podán důvodný insolvenční návrh ani návrh na vyhlášení moratoria ve smyslu Insolvenčního zákona a žádný soud nezamítl insolvenční návrh ani nezastavil insolvenční řízení pro nedostatek majetku Investora.</w:t>
      </w:r>
    </w:p>
    <w:p w:rsidR="000E6213" w:rsidRPr="00A14688" w:rsidRDefault="000E6213" w:rsidP="000E6213">
      <w:pPr>
        <w:numPr>
          <w:ilvl w:val="1"/>
          <w:numId w:val="2"/>
        </w:numPr>
        <w:spacing w:before="120" w:after="120" w:line="240" w:lineRule="auto"/>
        <w:ind w:left="567" w:hanging="567"/>
        <w:jc w:val="both"/>
        <w:rPr>
          <w:rFonts w:asciiTheme="minorHAnsi" w:hAnsiTheme="minorHAnsi" w:cstheme="minorHAnsi"/>
          <w:sz w:val="20"/>
          <w:szCs w:val="18"/>
          <w:lang w:eastAsia="en-US"/>
        </w:rPr>
      </w:pPr>
      <w:r w:rsidRPr="00A14688">
        <w:rPr>
          <w:rFonts w:asciiTheme="minorHAnsi" w:hAnsiTheme="minorHAnsi" w:cstheme="minorHAnsi"/>
          <w:sz w:val="20"/>
          <w:szCs w:val="18"/>
          <w:lang w:eastAsia="en-US"/>
        </w:rPr>
        <w:t>Investor je platebně schopný v tom smyslu, že neexistují žádné okolnosti, z nichž by dle definic obsažených v Insolvenčním zákoně vyplývalo, že je Investor v úpadku, nebo mu úpadek hrozí.</w:t>
      </w:r>
    </w:p>
    <w:p w:rsidR="000E6213" w:rsidRPr="00A14688" w:rsidRDefault="000E6213" w:rsidP="000E6213">
      <w:pPr>
        <w:numPr>
          <w:ilvl w:val="1"/>
          <w:numId w:val="2"/>
        </w:numPr>
        <w:spacing w:before="120" w:after="120" w:line="240" w:lineRule="auto"/>
        <w:ind w:left="567" w:hanging="567"/>
        <w:jc w:val="both"/>
        <w:rPr>
          <w:rFonts w:asciiTheme="minorHAnsi" w:hAnsiTheme="minorHAnsi" w:cstheme="minorHAnsi"/>
          <w:sz w:val="20"/>
          <w:szCs w:val="18"/>
        </w:rPr>
      </w:pPr>
      <w:r w:rsidRPr="00A14688">
        <w:rPr>
          <w:rFonts w:asciiTheme="minorHAnsi" w:hAnsiTheme="minorHAnsi" w:cstheme="minorHAnsi"/>
          <w:sz w:val="20"/>
          <w:szCs w:val="18"/>
          <w:lang w:eastAsia="en-US"/>
        </w:rPr>
        <w:t xml:space="preserve">Proti Investorovi není vedeno žádné exekuční řízení, řízení o výkonu rozhodnutí či jakékoli jiné vykonávací řízení, v jejichž důsledku by uzavření a plnění </w:t>
      </w:r>
      <w:r w:rsidRPr="00A14688">
        <w:rPr>
          <w:rFonts w:asciiTheme="minorHAnsi" w:hAnsiTheme="minorHAnsi" w:cstheme="minorHAnsi"/>
          <w:sz w:val="20"/>
          <w:szCs w:val="18"/>
        </w:rPr>
        <w:t>Dohody Investorem bylo neplatným nebo zdánlivým právním jednáním.</w:t>
      </w:r>
    </w:p>
    <w:p w:rsidR="000E6213" w:rsidRDefault="000E6213" w:rsidP="000E6213">
      <w:pPr>
        <w:numPr>
          <w:ilvl w:val="1"/>
          <w:numId w:val="2"/>
        </w:numPr>
        <w:spacing w:before="120" w:after="120" w:line="240" w:lineRule="auto"/>
        <w:ind w:left="567" w:hanging="567"/>
        <w:jc w:val="both"/>
        <w:rPr>
          <w:rFonts w:asciiTheme="minorHAnsi" w:hAnsiTheme="minorHAnsi" w:cstheme="minorHAnsi"/>
          <w:sz w:val="20"/>
          <w:szCs w:val="18"/>
          <w:lang w:eastAsia="en-US"/>
        </w:rPr>
      </w:pPr>
      <w:r w:rsidRPr="00A14688">
        <w:rPr>
          <w:rFonts w:asciiTheme="minorHAnsi" w:hAnsiTheme="minorHAnsi" w:cstheme="minorHAnsi"/>
          <w:sz w:val="20"/>
          <w:szCs w:val="18"/>
          <w:lang w:eastAsia="en-US"/>
        </w:rPr>
        <w:t xml:space="preserve">Ke </w:t>
      </w:r>
      <w:r>
        <w:rPr>
          <w:rFonts w:asciiTheme="minorHAnsi" w:hAnsiTheme="minorHAnsi" w:cstheme="minorHAnsi"/>
          <w:sz w:val="20"/>
          <w:szCs w:val="18"/>
          <w:lang w:eastAsia="en-US"/>
        </w:rPr>
        <w:t>dni uzavření Dohody</w:t>
      </w:r>
      <w:r w:rsidRPr="00A14688">
        <w:rPr>
          <w:rFonts w:asciiTheme="minorHAnsi" w:hAnsiTheme="minorHAnsi" w:cstheme="minorHAnsi"/>
          <w:sz w:val="20"/>
          <w:szCs w:val="18"/>
          <w:lang w:eastAsia="en-US"/>
        </w:rPr>
        <w:t xml:space="preserve"> nebyla proti Investorovi, dle jeho vědomí, podána žádná žaloba a ani není </w:t>
      </w:r>
      <w:r w:rsidR="002D3446">
        <w:rPr>
          <w:rFonts w:asciiTheme="minorHAnsi" w:hAnsiTheme="minorHAnsi" w:cstheme="minorHAnsi"/>
          <w:sz w:val="20"/>
          <w:szCs w:val="18"/>
          <w:lang w:eastAsia="en-US"/>
        </w:rPr>
        <w:t>k</w:t>
      </w:r>
      <w:r w:rsidR="002D3446" w:rsidRPr="00A14688">
        <w:rPr>
          <w:rFonts w:asciiTheme="minorHAnsi" w:hAnsiTheme="minorHAnsi" w:cstheme="minorHAnsi"/>
          <w:sz w:val="20"/>
          <w:szCs w:val="18"/>
          <w:lang w:eastAsia="en-US"/>
        </w:rPr>
        <w:t xml:space="preserve">e </w:t>
      </w:r>
      <w:r w:rsidR="002D3446">
        <w:rPr>
          <w:rFonts w:asciiTheme="minorHAnsi" w:hAnsiTheme="minorHAnsi" w:cstheme="minorHAnsi"/>
          <w:sz w:val="20"/>
          <w:szCs w:val="18"/>
          <w:lang w:eastAsia="en-US"/>
        </w:rPr>
        <w:t>dni uzavření Dohody</w:t>
      </w:r>
      <w:r w:rsidR="002D3446" w:rsidRPr="00A14688">
        <w:rPr>
          <w:rFonts w:asciiTheme="minorHAnsi" w:hAnsiTheme="minorHAnsi" w:cstheme="minorHAnsi"/>
          <w:sz w:val="20"/>
          <w:szCs w:val="18"/>
          <w:lang w:eastAsia="en-US"/>
        </w:rPr>
        <w:t xml:space="preserve"> </w:t>
      </w:r>
      <w:r w:rsidRPr="00A14688">
        <w:rPr>
          <w:rFonts w:asciiTheme="minorHAnsi" w:hAnsiTheme="minorHAnsi" w:cstheme="minorHAnsi"/>
          <w:sz w:val="20"/>
          <w:szCs w:val="18"/>
          <w:lang w:eastAsia="en-US"/>
        </w:rPr>
        <w:t>účastníkem žádného soudního, rozhodčího nebo správního řízení, není vyšetřován orgány činnými v trestním řízení nebo jiného řízení vedeného státními orgány či jinými správními úřady, které by mohlo být částečnou nebo úplnou překážkou platnosti, účinnosti nebo vymahatelnosti Dohody nebo plnění Dohody ze strany Investora, ani mu žádné takové řízení nebo vyšetřování dle jeho vědomí nehrozí.</w:t>
      </w:r>
    </w:p>
    <w:p w:rsidR="00B12AFB" w:rsidRPr="00351F5A" w:rsidRDefault="00B12AFB" w:rsidP="001545F6">
      <w:pPr>
        <w:numPr>
          <w:ilvl w:val="1"/>
          <w:numId w:val="2"/>
        </w:numPr>
        <w:spacing w:before="120" w:after="120" w:line="240" w:lineRule="auto"/>
        <w:ind w:left="567" w:hanging="567"/>
        <w:jc w:val="both"/>
        <w:rPr>
          <w:rFonts w:asciiTheme="minorHAnsi" w:hAnsiTheme="minorHAnsi" w:cstheme="minorHAnsi"/>
          <w:sz w:val="20"/>
          <w:szCs w:val="18"/>
          <w:lang w:eastAsia="en-US"/>
        </w:rPr>
      </w:pPr>
      <w:bookmarkStart w:id="0" w:name="_Hlk42524001"/>
      <w:r w:rsidRPr="00512F4B">
        <w:rPr>
          <w:rFonts w:asciiTheme="minorHAnsi" w:hAnsiTheme="minorHAnsi" w:cstheme="minorHAnsi"/>
          <w:sz w:val="20"/>
          <w:szCs w:val="18"/>
          <w:lang w:eastAsia="en-US"/>
        </w:rPr>
        <w:t xml:space="preserve">Osobou ovládající Investora ve smyslu § 74 a násl. ZOK je </w:t>
      </w:r>
      <w:r w:rsidRPr="00512F4B">
        <w:rPr>
          <w:rFonts w:asciiTheme="minorHAnsi" w:hAnsiTheme="minorHAnsi" w:cstheme="minorHAnsi"/>
          <w:bCs/>
          <w:sz w:val="20"/>
          <w:szCs w:val="18"/>
          <w:lang w:eastAsia="en-US"/>
        </w:rPr>
        <w:t xml:space="preserve">pan Petr </w:t>
      </w:r>
      <w:r w:rsidRPr="003D52B9">
        <w:rPr>
          <w:rFonts w:asciiTheme="minorHAnsi" w:hAnsiTheme="minorHAnsi" w:cstheme="minorHAnsi"/>
          <w:bCs/>
          <w:sz w:val="20"/>
          <w:szCs w:val="18"/>
          <w:lang w:eastAsia="en-US"/>
        </w:rPr>
        <w:t>Dědek</w:t>
      </w:r>
      <w:r w:rsidRPr="003D52B9">
        <w:rPr>
          <w:rFonts w:asciiTheme="minorHAnsi" w:hAnsiTheme="minorHAnsi" w:cstheme="minorHAnsi"/>
          <w:sz w:val="20"/>
          <w:szCs w:val="18"/>
          <w:lang w:eastAsia="en-US"/>
        </w:rPr>
        <w:t xml:space="preserve"> (nar. </w:t>
      </w:r>
      <w:r w:rsidR="003D52B9">
        <w:rPr>
          <w:rFonts w:asciiTheme="minorHAnsi" w:hAnsiTheme="minorHAnsi" w:cstheme="minorHAnsi"/>
          <w:sz w:val="20"/>
          <w:szCs w:val="18"/>
          <w:lang w:eastAsia="en-US"/>
        </w:rPr>
        <w:t>XXXXXX</w:t>
      </w:r>
      <w:r w:rsidRPr="003D52B9">
        <w:rPr>
          <w:rFonts w:asciiTheme="minorHAnsi" w:hAnsiTheme="minorHAnsi" w:cstheme="minorHAnsi"/>
          <w:sz w:val="20"/>
          <w:szCs w:val="18"/>
          <w:lang w:eastAsia="en-US"/>
        </w:rPr>
        <w:t xml:space="preserve">, bytem </w:t>
      </w:r>
      <w:r w:rsidR="003D52B9">
        <w:rPr>
          <w:rFonts w:asciiTheme="minorHAnsi" w:hAnsiTheme="minorHAnsi" w:cstheme="minorHAnsi"/>
          <w:sz w:val="20"/>
          <w:szCs w:val="18"/>
          <w:lang w:eastAsia="en-US"/>
        </w:rPr>
        <w:t>XXXXXX</w:t>
      </w:r>
      <w:r w:rsidRPr="003D52B9">
        <w:rPr>
          <w:rFonts w:asciiTheme="minorHAnsi" w:hAnsiTheme="minorHAnsi" w:cstheme="minorHAnsi"/>
          <w:sz w:val="20"/>
          <w:szCs w:val="18"/>
          <w:lang w:eastAsia="en-US"/>
        </w:rPr>
        <w:t xml:space="preserve"> č.p.</w:t>
      </w:r>
      <w:r w:rsidR="003D52B9">
        <w:rPr>
          <w:rFonts w:asciiTheme="minorHAnsi" w:hAnsiTheme="minorHAnsi" w:cstheme="minorHAnsi"/>
          <w:sz w:val="20"/>
          <w:szCs w:val="18"/>
          <w:lang w:eastAsia="en-US"/>
        </w:rPr>
        <w:t>XXXXXX</w:t>
      </w:r>
      <w:r w:rsidRPr="003D52B9">
        <w:rPr>
          <w:rFonts w:asciiTheme="minorHAnsi" w:hAnsiTheme="minorHAnsi" w:cstheme="minorHAnsi"/>
          <w:sz w:val="20"/>
          <w:szCs w:val="18"/>
          <w:lang w:eastAsia="en-US"/>
        </w:rPr>
        <w:t>)</w:t>
      </w:r>
      <w:r w:rsidR="006C4C2F" w:rsidRPr="003D52B9">
        <w:rPr>
          <w:rFonts w:asciiTheme="minorHAnsi" w:hAnsiTheme="minorHAnsi" w:cstheme="minorHAnsi"/>
          <w:sz w:val="20"/>
          <w:szCs w:val="18"/>
          <w:lang w:eastAsia="en-US"/>
        </w:rPr>
        <w:t>.</w:t>
      </w:r>
      <w:r w:rsidR="006C4C2F" w:rsidRPr="00512F4B">
        <w:rPr>
          <w:rFonts w:asciiTheme="minorHAnsi" w:hAnsiTheme="minorHAnsi" w:cstheme="minorHAnsi"/>
          <w:sz w:val="20"/>
          <w:szCs w:val="18"/>
          <w:lang w:eastAsia="en-US"/>
        </w:rPr>
        <w:t xml:space="preserve"> Ke</w:t>
      </w:r>
      <w:r w:rsidRPr="00512F4B">
        <w:rPr>
          <w:rFonts w:asciiTheme="minorHAnsi" w:hAnsiTheme="minorHAnsi" w:cstheme="minorHAnsi"/>
          <w:sz w:val="20"/>
          <w:szCs w:val="18"/>
          <w:lang w:eastAsia="en-US"/>
        </w:rPr>
        <w:t xml:space="preserve"> dni uzavření Dohody je pan Petr Dědek </w:t>
      </w:r>
      <w:r w:rsidR="006C4C2F" w:rsidRPr="00512F4B">
        <w:rPr>
          <w:rFonts w:asciiTheme="minorHAnsi" w:hAnsiTheme="minorHAnsi" w:cstheme="minorHAnsi"/>
          <w:sz w:val="20"/>
          <w:szCs w:val="18"/>
          <w:lang w:eastAsia="en-US"/>
        </w:rPr>
        <w:t xml:space="preserve">jediným společníkem Investora, tj. </w:t>
      </w:r>
      <w:r w:rsidRPr="00512F4B">
        <w:rPr>
          <w:rFonts w:asciiTheme="minorHAnsi" w:hAnsiTheme="minorHAnsi" w:cstheme="minorHAnsi"/>
          <w:sz w:val="20"/>
          <w:szCs w:val="18"/>
          <w:lang w:eastAsia="en-US"/>
        </w:rPr>
        <w:t xml:space="preserve">vlastníkem </w:t>
      </w:r>
      <w:r w:rsidR="006C4C2F" w:rsidRPr="00512F4B">
        <w:rPr>
          <w:rFonts w:asciiTheme="minorHAnsi" w:hAnsiTheme="minorHAnsi" w:cstheme="minorHAnsi"/>
          <w:sz w:val="20"/>
          <w:szCs w:val="18"/>
          <w:lang w:eastAsia="en-US"/>
        </w:rPr>
        <w:t>100 %</w:t>
      </w:r>
      <w:r w:rsidR="005357E2" w:rsidRPr="00512F4B">
        <w:rPr>
          <w:rFonts w:asciiTheme="minorHAnsi" w:hAnsiTheme="minorHAnsi" w:cstheme="minorHAnsi"/>
          <w:sz w:val="20"/>
          <w:szCs w:val="18"/>
          <w:lang w:eastAsia="en-US"/>
        </w:rPr>
        <w:t xml:space="preserve"> podílů</w:t>
      </w:r>
      <w:r w:rsidR="006C4C2F" w:rsidRPr="00512F4B">
        <w:rPr>
          <w:rFonts w:asciiTheme="minorHAnsi" w:hAnsiTheme="minorHAnsi" w:cstheme="minorHAnsi"/>
          <w:sz w:val="20"/>
          <w:szCs w:val="18"/>
          <w:lang w:eastAsia="en-US"/>
        </w:rPr>
        <w:t xml:space="preserve"> </w:t>
      </w:r>
      <w:r w:rsidRPr="00512F4B">
        <w:rPr>
          <w:rFonts w:asciiTheme="minorHAnsi" w:hAnsiTheme="minorHAnsi" w:cstheme="minorHAnsi"/>
          <w:sz w:val="20"/>
          <w:szCs w:val="18"/>
          <w:lang w:eastAsia="en-US"/>
        </w:rPr>
        <w:t xml:space="preserve">v Investorovi, </w:t>
      </w:r>
      <w:r w:rsidR="006C4C2F" w:rsidRPr="00512F4B">
        <w:rPr>
          <w:rFonts w:asciiTheme="minorHAnsi" w:hAnsiTheme="minorHAnsi" w:cstheme="minorHAnsi"/>
          <w:sz w:val="20"/>
          <w:szCs w:val="18"/>
          <w:lang w:eastAsia="en-US"/>
        </w:rPr>
        <w:t>přičemž k doložení tohoto prohlášení je součástí těchto Prohlášení a záruk Investora výpis z obchodního rejst</w:t>
      </w:r>
      <w:r w:rsidR="00C15EB1" w:rsidRPr="00512F4B">
        <w:rPr>
          <w:rFonts w:asciiTheme="minorHAnsi" w:hAnsiTheme="minorHAnsi" w:cstheme="minorHAnsi"/>
          <w:sz w:val="20"/>
          <w:szCs w:val="18"/>
          <w:lang w:eastAsia="en-US"/>
        </w:rPr>
        <w:t>ř</w:t>
      </w:r>
      <w:r w:rsidR="006C4C2F" w:rsidRPr="00512F4B">
        <w:rPr>
          <w:rFonts w:asciiTheme="minorHAnsi" w:hAnsiTheme="minorHAnsi" w:cstheme="minorHAnsi"/>
          <w:sz w:val="20"/>
          <w:szCs w:val="18"/>
          <w:lang w:eastAsia="en-US"/>
        </w:rPr>
        <w:t xml:space="preserve">íku </w:t>
      </w:r>
      <w:r w:rsidR="004F1CF9" w:rsidRPr="00512F4B">
        <w:rPr>
          <w:rFonts w:asciiTheme="minorHAnsi" w:hAnsiTheme="minorHAnsi" w:cstheme="minorHAnsi"/>
          <w:sz w:val="20"/>
          <w:szCs w:val="18"/>
          <w:lang w:eastAsia="en-US"/>
        </w:rPr>
        <w:t>Investora. Investor dále prohlašuje</w:t>
      </w:r>
      <w:r w:rsidR="00936187" w:rsidRPr="00512F4B">
        <w:rPr>
          <w:rFonts w:asciiTheme="minorHAnsi" w:hAnsiTheme="minorHAnsi" w:cstheme="minorHAnsi"/>
          <w:sz w:val="20"/>
          <w:szCs w:val="18"/>
          <w:lang w:eastAsia="en-US"/>
        </w:rPr>
        <w:t xml:space="preserve"> a Smluvní strany berou na vědomí</w:t>
      </w:r>
      <w:r w:rsidR="004F1CF9" w:rsidRPr="00512F4B">
        <w:rPr>
          <w:rFonts w:asciiTheme="minorHAnsi" w:hAnsiTheme="minorHAnsi" w:cstheme="minorHAnsi"/>
          <w:sz w:val="20"/>
          <w:szCs w:val="18"/>
          <w:lang w:eastAsia="en-US"/>
        </w:rPr>
        <w:t xml:space="preserve">, </w:t>
      </w:r>
      <w:r w:rsidRPr="00512F4B">
        <w:rPr>
          <w:rFonts w:asciiTheme="minorHAnsi" w:hAnsiTheme="minorHAnsi" w:cstheme="minorHAnsi"/>
          <w:sz w:val="20"/>
          <w:szCs w:val="18"/>
          <w:lang w:eastAsia="en-US"/>
        </w:rPr>
        <w:t xml:space="preserve">že v budoucnosti může dojít k převodu podílů </w:t>
      </w:r>
      <w:r w:rsidR="004F1CF9" w:rsidRPr="00512F4B">
        <w:rPr>
          <w:rFonts w:asciiTheme="minorHAnsi" w:hAnsiTheme="minorHAnsi" w:cstheme="minorHAnsi"/>
          <w:sz w:val="20"/>
          <w:szCs w:val="18"/>
          <w:lang w:eastAsia="en-US"/>
        </w:rPr>
        <w:t>v</w:t>
      </w:r>
      <w:r w:rsidR="001545F6" w:rsidRPr="00512F4B">
        <w:rPr>
          <w:rFonts w:asciiTheme="minorHAnsi" w:hAnsiTheme="minorHAnsi" w:cstheme="minorHAnsi"/>
          <w:sz w:val="20"/>
          <w:szCs w:val="18"/>
          <w:lang w:eastAsia="en-US"/>
        </w:rPr>
        <w:t> </w:t>
      </w:r>
      <w:r w:rsidR="004F1CF9" w:rsidRPr="00512F4B">
        <w:rPr>
          <w:rFonts w:asciiTheme="minorHAnsi" w:hAnsiTheme="minorHAnsi" w:cstheme="minorHAnsi"/>
          <w:sz w:val="20"/>
          <w:szCs w:val="18"/>
          <w:lang w:eastAsia="en-US"/>
        </w:rPr>
        <w:t>Investorovi</w:t>
      </w:r>
      <w:r w:rsidR="001545F6" w:rsidRPr="00512F4B">
        <w:rPr>
          <w:rFonts w:asciiTheme="minorHAnsi" w:hAnsiTheme="minorHAnsi" w:cstheme="minorHAnsi"/>
          <w:sz w:val="20"/>
          <w:szCs w:val="18"/>
          <w:lang w:eastAsia="en-US"/>
        </w:rPr>
        <w:t xml:space="preserve">, </w:t>
      </w:r>
      <w:r w:rsidR="004F1CF9" w:rsidRPr="00512F4B">
        <w:rPr>
          <w:rFonts w:asciiTheme="minorHAnsi" w:hAnsiTheme="minorHAnsi" w:cstheme="minorHAnsi"/>
          <w:sz w:val="20"/>
          <w:szCs w:val="18"/>
          <w:lang w:eastAsia="en-US"/>
        </w:rPr>
        <w:t xml:space="preserve">aniž by </w:t>
      </w:r>
      <w:r w:rsidR="001545F6" w:rsidRPr="00512F4B">
        <w:rPr>
          <w:rFonts w:asciiTheme="minorHAnsi" w:hAnsiTheme="minorHAnsi" w:cstheme="minorHAnsi"/>
          <w:sz w:val="20"/>
          <w:szCs w:val="18"/>
          <w:lang w:eastAsia="en-US"/>
        </w:rPr>
        <w:t>pan Petr Dědek přestal být osobou ovládající Investora</w:t>
      </w:r>
      <w:r w:rsidR="00936187" w:rsidRPr="00512F4B">
        <w:rPr>
          <w:rFonts w:asciiTheme="minorHAnsi" w:hAnsiTheme="minorHAnsi" w:cstheme="minorHAnsi"/>
          <w:sz w:val="20"/>
          <w:szCs w:val="18"/>
          <w:lang w:eastAsia="en-US"/>
        </w:rPr>
        <w:t xml:space="preserve"> (a tedy bez souhlasu třetích osob)</w:t>
      </w:r>
      <w:r w:rsidR="001545F6" w:rsidRPr="00512F4B">
        <w:rPr>
          <w:rFonts w:asciiTheme="minorHAnsi" w:hAnsiTheme="minorHAnsi" w:cstheme="minorHAnsi"/>
          <w:sz w:val="20"/>
          <w:szCs w:val="18"/>
          <w:lang w:eastAsia="en-US"/>
        </w:rPr>
        <w:t xml:space="preserve">, a to </w:t>
      </w:r>
      <w:r w:rsidR="00936187" w:rsidRPr="00512F4B">
        <w:rPr>
          <w:rFonts w:asciiTheme="minorHAnsi" w:hAnsiTheme="minorHAnsi" w:cstheme="minorHAnsi"/>
          <w:sz w:val="20"/>
          <w:szCs w:val="18"/>
          <w:lang w:eastAsia="en-US"/>
        </w:rPr>
        <w:t>mj.</w:t>
      </w:r>
      <w:r w:rsidR="001545F6" w:rsidRPr="00512F4B">
        <w:rPr>
          <w:rFonts w:asciiTheme="minorHAnsi" w:hAnsiTheme="minorHAnsi" w:cstheme="minorHAnsi"/>
          <w:sz w:val="20"/>
          <w:szCs w:val="18"/>
          <w:lang w:eastAsia="en-US"/>
        </w:rPr>
        <w:t xml:space="preserve"> na pana Mgr. Ondřeje Heřmana, </w:t>
      </w:r>
      <w:r w:rsidR="001545F6" w:rsidRPr="00351F5A">
        <w:rPr>
          <w:rFonts w:asciiTheme="minorHAnsi" w:hAnsiTheme="minorHAnsi" w:cstheme="minorHAnsi"/>
          <w:sz w:val="20"/>
          <w:szCs w:val="18"/>
          <w:lang w:eastAsia="en-US"/>
        </w:rPr>
        <w:t xml:space="preserve">nar. </w:t>
      </w:r>
      <w:r w:rsidR="00351F5A">
        <w:rPr>
          <w:rFonts w:asciiTheme="minorHAnsi" w:hAnsiTheme="minorHAnsi" w:cstheme="minorHAnsi"/>
          <w:sz w:val="20"/>
          <w:szCs w:val="18"/>
          <w:lang w:eastAsia="en-US"/>
        </w:rPr>
        <w:t>XXXXXX</w:t>
      </w:r>
      <w:r w:rsidR="001545F6" w:rsidRPr="00351F5A">
        <w:rPr>
          <w:rFonts w:asciiTheme="minorHAnsi" w:hAnsiTheme="minorHAnsi" w:cstheme="minorHAnsi"/>
          <w:sz w:val="20"/>
          <w:szCs w:val="18"/>
          <w:lang w:eastAsia="en-US"/>
        </w:rPr>
        <w:t xml:space="preserve">, bytem </w:t>
      </w:r>
      <w:r w:rsidR="00351F5A">
        <w:rPr>
          <w:rFonts w:asciiTheme="minorHAnsi" w:hAnsiTheme="minorHAnsi" w:cstheme="minorHAnsi"/>
          <w:sz w:val="20"/>
          <w:szCs w:val="18"/>
          <w:lang w:eastAsia="en-US"/>
        </w:rPr>
        <w:t>XXXXXX</w:t>
      </w:r>
      <w:r w:rsidR="001545F6" w:rsidRPr="00351F5A">
        <w:rPr>
          <w:rFonts w:asciiTheme="minorHAnsi" w:hAnsiTheme="minorHAnsi" w:cstheme="minorHAnsi"/>
          <w:sz w:val="20"/>
          <w:szCs w:val="18"/>
          <w:lang w:eastAsia="en-US"/>
        </w:rPr>
        <w:t xml:space="preserve">, </w:t>
      </w:r>
      <w:r w:rsidR="00351F5A">
        <w:rPr>
          <w:rFonts w:asciiTheme="minorHAnsi" w:hAnsiTheme="minorHAnsi" w:cstheme="minorHAnsi"/>
          <w:sz w:val="20"/>
          <w:szCs w:val="18"/>
          <w:lang w:eastAsia="en-US"/>
        </w:rPr>
        <w:t>XXXXXX</w:t>
      </w:r>
      <w:r w:rsidR="001545F6" w:rsidRPr="00351F5A">
        <w:rPr>
          <w:rFonts w:asciiTheme="minorHAnsi" w:hAnsiTheme="minorHAnsi" w:cstheme="minorHAnsi"/>
          <w:sz w:val="20"/>
          <w:szCs w:val="18"/>
          <w:lang w:eastAsia="en-US"/>
        </w:rPr>
        <w:t xml:space="preserve">, </w:t>
      </w:r>
      <w:r w:rsidR="00351F5A">
        <w:rPr>
          <w:rFonts w:asciiTheme="minorHAnsi" w:hAnsiTheme="minorHAnsi" w:cstheme="minorHAnsi"/>
          <w:sz w:val="20"/>
          <w:szCs w:val="18"/>
          <w:lang w:eastAsia="en-US"/>
        </w:rPr>
        <w:t>XXXXXX</w:t>
      </w:r>
      <w:r w:rsidR="001545F6" w:rsidRPr="00351F5A">
        <w:rPr>
          <w:rFonts w:asciiTheme="minorHAnsi" w:hAnsiTheme="minorHAnsi" w:cstheme="minorHAnsi"/>
          <w:sz w:val="20"/>
          <w:szCs w:val="18"/>
          <w:lang w:eastAsia="en-US"/>
        </w:rPr>
        <w:t xml:space="preserve"> a/nebo pana Aleše Cermana, nar. </w:t>
      </w:r>
      <w:r w:rsidR="00351F5A">
        <w:rPr>
          <w:rFonts w:asciiTheme="minorHAnsi" w:hAnsiTheme="minorHAnsi" w:cstheme="minorHAnsi"/>
          <w:sz w:val="20"/>
          <w:szCs w:val="18"/>
          <w:lang w:eastAsia="en-US"/>
        </w:rPr>
        <w:t>XXXXXXX</w:t>
      </w:r>
      <w:r w:rsidR="001545F6" w:rsidRPr="00351F5A">
        <w:rPr>
          <w:rFonts w:asciiTheme="minorHAnsi" w:hAnsiTheme="minorHAnsi" w:cstheme="minorHAnsi"/>
          <w:sz w:val="20"/>
          <w:szCs w:val="18"/>
          <w:lang w:eastAsia="en-US"/>
        </w:rPr>
        <w:t xml:space="preserve">, bytem </w:t>
      </w:r>
      <w:bookmarkEnd w:id="0"/>
      <w:r w:rsidR="00351F5A">
        <w:rPr>
          <w:rFonts w:asciiTheme="minorHAnsi" w:hAnsiTheme="minorHAnsi" w:cstheme="minorHAnsi"/>
          <w:sz w:val="20"/>
          <w:szCs w:val="18"/>
          <w:lang w:eastAsia="en-US"/>
        </w:rPr>
        <w:t>XXXXXXXXXXXX.</w:t>
      </w:r>
      <w:bookmarkStart w:id="1" w:name="_GoBack"/>
      <w:bookmarkEnd w:id="1"/>
    </w:p>
    <w:p w:rsidR="0043467C" w:rsidRDefault="0043467C" w:rsidP="0043467C">
      <w:pPr>
        <w:spacing w:before="120" w:after="120" w:line="240" w:lineRule="auto"/>
        <w:jc w:val="both"/>
        <w:rPr>
          <w:rFonts w:asciiTheme="minorHAnsi" w:hAnsiTheme="minorHAnsi" w:cstheme="minorHAnsi"/>
          <w:sz w:val="20"/>
          <w:szCs w:val="18"/>
          <w:lang w:eastAsia="en-US"/>
        </w:rPr>
      </w:pPr>
    </w:p>
    <w:p w:rsidR="0043467C" w:rsidRDefault="0043467C" w:rsidP="0043467C">
      <w:pPr>
        <w:spacing w:before="120" w:after="120" w:line="240" w:lineRule="auto"/>
        <w:jc w:val="both"/>
        <w:rPr>
          <w:rFonts w:asciiTheme="minorHAnsi" w:hAnsiTheme="minorHAnsi" w:cstheme="minorHAnsi"/>
          <w:sz w:val="20"/>
          <w:szCs w:val="18"/>
          <w:lang w:eastAsia="en-US"/>
        </w:rPr>
      </w:pPr>
    </w:p>
    <w:p w:rsidR="0043467C" w:rsidRDefault="0043467C" w:rsidP="0043467C">
      <w:pPr>
        <w:spacing w:before="120" w:after="120" w:line="240" w:lineRule="auto"/>
        <w:jc w:val="both"/>
        <w:rPr>
          <w:rFonts w:asciiTheme="minorHAnsi" w:hAnsiTheme="minorHAnsi" w:cstheme="minorHAnsi"/>
          <w:sz w:val="20"/>
          <w:szCs w:val="18"/>
          <w:lang w:eastAsia="en-US"/>
        </w:rPr>
      </w:pPr>
    </w:p>
    <w:p w:rsidR="0043467C" w:rsidRDefault="0043467C" w:rsidP="0043467C">
      <w:pPr>
        <w:spacing w:before="120" w:after="120" w:line="240" w:lineRule="auto"/>
        <w:jc w:val="both"/>
        <w:rPr>
          <w:rFonts w:asciiTheme="minorHAnsi" w:hAnsiTheme="minorHAnsi" w:cstheme="minorHAnsi"/>
          <w:sz w:val="20"/>
          <w:szCs w:val="18"/>
          <w:lang w:eastAsia="en-US"/>
        </w:rPr>
      </w:pPr>
    </w:p>
    <w:p w:rsidR="0043467C" w:rsidRDefault="0043467C" w:rsidP="0043467C">
      <w:pPr>
        <w:spacing w:before="120" w:after="120" w:line="240" w:lineRule="auto"/>
        <w:jc w:val="both"/>
        <w:rPr>
          <w:rFonts w:asciiTheme="minorHAnsi" w:hAnsiTheme="minorHAnsi" w:cstheme="minorHAnsi"/>
          <w:sz w:val="20"/>
          <w:szCs w:val="18"/>
          <w:lang w:eastAsia="en-US"/>
        </w:rPr>
      </w:pPr>
    </w:p>
    <w:p w:rsidR="0043467C" w:rsidRDefault="00D0379C" w:rsidP="0043467C">
      <w:pPr>
        <w:spacing w:before="120" w:after="120" w:line="240" w:lineRule="auto"/>
        <w:jc w:val="both"/>
        <w:rPr>
          <w:rFonts w:asciiTheme="minorHAnsi" w:hAnsiTheme="minorHAnsi" w:cstheme="minorHAnsi"/>
          <w:sz w:val="20"/>
          <w:szCs w:val="18"/>
          <w:lang w:eastAsia="en-US"/>
        </w:rPr>
      </w:pPr>
      <w:r>
        <w:rPr>
          <w:noProof/>
        </w:rPr>
        <w:lastRenderedPageBreak/>
        <w:drawing>
          <wp:inline distT="0" distB="0" distL="0" distR="0" wp14:anchorId="5F6E1FD4" wp14:editId="07550D3C">
            <wp:extent cx="6105525" cy="8612478"/>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07517" cy="8615288"/>
                    </a:xfrm>
                    <a:prstGeom prst="rect">
                      <a:avLst/>
                    </a:prstGeom>
                  </pic:spPr>
                </pic:pic>
              </a:graphicData>
            </a:graphic>
          </wp:inline>
        </w:drawing>
      </w:r>
    </w:p>
    <w:sectPr w:rsidR="0043467C">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2583" w:rsidRDefault="00C42583" w:rsidP="00D50AD2">
      <w:pPr>
        <w:spacing w:after="0" w:line="240" w:lineRule="auto"/>
      </w:pPr>
      <w:r>
        <w:separator/>
      </w:r>
    </w:p>
  </w:endnote>
  <w:endnote w:type="continuationSeparator" w:id="0">
    <w:p w:rsidR="00C42583" w:rsidRDefault="00C42583" w:rsidP="00D50A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2583" w:rsidRDefault="00C42583" w:rsidP="00D50AD2">
      <w:pPr>
        <w:spacing w:after="0" w:line="240" w:lineRule="auto"/>
      </w:pPr>
      <w:r>
        <w:separator/>
      </w:r>
    </w:p>
  </w:footnote>
  <w:footnote w:type="continuationSeparator" w:id="0">
    <w:p w:rsidR="00C42583" w:rsidRDefault="00C42583" w:rsidP="00D50A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0AD2" w:rsidRDefault="00D50AD2" w:rsidP="00920095">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4F3909"/>
    <w:multiLevelType w:val="multilevel"/>
    <w:tmpl w:val="BAE80CA4"/>
    <w:styleLink w:val="Styl1"/>
    <w:lvl w:ilvl="0">
      <w:start w:val="1"/>
      <w:numFmt w:val="decimal"/>
      <w:pStyle w:val="Nadpis1-BS"/>
      <w:lvlText w:val="%1."/>
      <w:lvlJc w:val="left"/>
      <w:pPr>
        <w:ind w:left="1531" w:hanging="1531"/>
      </w:pPr>
      <w:rPr>
        <w:rFonts w:ascii="Calibri" w:hAnsi="Calibri" w:cs="Times New Roman" w:hint="default"/>
        <w:b/>
        <w:i w:val="0"/>
        <w:caps w:val="0"/>
        <w:strike w:val="0"/>
        <w:dstrike w:val="0"/>
        <w:vanish w:val="0"/>
        <w:color w:val="000000"/>
        <w:sz w:val="19"/>
        <w:vertAlign w:val="baseline"/>
      </w:rPr>
    </w:lvl>
    <w:lvl w:ilvl="1">
      <w:start w:val="1"/>
      <w:numFmt w:val="decimal"/>
      <w:pStyle w:val="Nadpis2-BS"/>
      <w:lvlText w:val="%1.%2."/>
      <w:lvlJc w:val="left"/>
      <w:pPr>
        <w:ind w:left="357" w:hanging="357"/>
      </w:pPr>
      <w:rPr>
        <w:rFonts w:ascii="Calibri" w:hAnsi="Calibri" w:cs="Times New Roman" w:hint="default"/>
        <w:b w:val="0"/>
        <w:i w:val="0"/>
        <w:caps w:val="0"/>
        <w:strike w:val="0"/>
        <w:dstrike w:val="0"/>
        <w:vanish w:val="0"/>
        <w:color w:val="auto"/>
        <w:sz w:val="19"/>
        <w:vertAlign w:val="baseline"/>
      </w:rPr>
    </w:lvl>
    <w:lvl w:ilvl="2">
      <w:start w:val="1"/>
      <w:numFmt w:val="lowerRoman"/>
      <w:pStyle w:val="Nadpis3-BS"/>
      <w:lvlText w:val="%3."/>
      <w:lvlJc w:val="right"/>
      <w:pPr>
        <w:ind w:left="357" w:hanging="357"/>
      </w:pPr>
      <w:rPr>
        <w:rFonts w:cs="Times New Roman" w:hint="default"/>
      </w:rPr>
    </w:lvl>
    <w:lvl w:ilvl="3">
      <w:start w:val="1"/>
      <w:numFmt w:val="decimal"/>
      <w:pStyle w:val="Nadpis4-BS"/>
      <w:lvlText w:val="%4."/>
      <w:lvlJc w:val="left"/>
      <w:pPr>
        <w:ind w:left="357" w:hanging="357"/>
      </w:pPr>
      <w:rPr>
        <w:rFonts w:cs="Times New Roman" w:hint="default"/>
      </w:rPr>
    </w:lvl>
    <w:lvl w:ilvl="4">
      <w:start w:val="1"/>
      <w:numFmt w:val="lowerLetter"/>
      <w:pStyle w:val="Nadpis5-BS"/>
      <w:lvlText w:val="%5."/>
      <w:lvlJc w:val="left"/>
      <w:pPr>
        <w:ind w:left="357" w:hanging="357"/>
      </w:pPr>
      <w:rPr>
        <w:rFonts w:cs="Times New Roman" w:hint="default"/>
      </w:rPr>
    </w:lvl>
    <w:lvl w:ilvl="5">
      <w:start w:val="1"/>
      <w:numFmt w:val="lowerRoman"/>
      <w:lvlText w:val="%6."/>
      <w:lvlJc w:val="right"/>
      <w:pPr>
        <w:ind w:left="357" w:hanging="357"/>
      </w:pPr>
      <w:rPr>
        <w:rFonts w:cs="Times New Roman" w:hint="default"/>
      </w:rPr>
    </w:lvl>
    <w:lvl w:ilvl="6">
      <w:start w:val="1"/>
      <w:numFmt w:val="decimal"/>
      <w:lvlText w:val="%7."/>
      <w:lvlJc w:val="left"/>
      <w:pPr>
        <w:ind w:left="357" w:hanging="357"/>
      </w:pPr>
      <w:rPr>
        <w:rFonts w:cs="Times New Roman" w:hint="default"/>
      </w:rPr>
    </w:lvl>
    <w:lvl w:ilvl="7">
      <w:start w:val="1"/>
      <w:numFmt w:val="lowerLetter"/>
      <w:lvlText w:val="%8."/>
      <w:lvlJc w:val="left"/>
      <w:pPr>
        <w:ind w:left="357" w:hanging="357"/>
      </w:pPr>
      <w:rPr>
        <w:rFonts w:cs="Times New Roman" w:hint="default"/>
      </w:rPr>
    </w:lvl>
    <w:lvl w:ilvl="8">
      <w:start w:val="1"/>
      <w:numFmt w:val="lowerRoman"/>
      <w:lvlText w:val="%9."/>
      <w:lvlJc w:val="right"/>
      <w:pPr>
        <w:ind w:left="357" w:hanging="357"/>
      </w:pPr>
      <w:rPr>
        <w:rFonts w:cs="Times New Roman" w:hint="default"/>
      </w:rPr>
    </w:lvl>
  </w:abstractNum>
  <w:abstractNum w:abstractNumId="1" w15:restartNumberingAfterBreak="0">
    <w:nsid w:val="422C5A75"/>
    <w:multiLevelType w:val="multilevel"/>
    <w:tmpl w:val="3BE41FBC"/>
    <w:lvl w:ilvl="0">
      <w:start w:val="1"/>
      <w:numFmt w:val="decimal"/>
      <w:lvlText w:val="%1"/>
      <w:lvlJc w:val="left"/>
      <w:pPr>
        <w:ind w:left="6881" w:hanging="360"/>
      </w:pPr>
      <w:rPr>
        <w:rFonts w:hint="default"/>
      </w:rPr>
    </w:lvl>
    <w:lvl w:ilvl="1">
      <w:start w:val="1"/>
      <w:numFmt w:val="decimal"/>
      <w:lvlText w:val="%1.%2"/>
      <w:lvlJc w:val="left"/>
      <w:pPr>
        <w:ind w:left="-910" w:hanging="432"/>
      </w:pPr>
      <w:rPr>
        <w:rFonts w:hint="default"/>
        <w:b w:val="0"/>
      </w:rPr>
    </w:lvl>
    <w:lvl w:ilvl="2">
      <w:start w:val="1"/>
      <w:numFmt w:val="decimal"/>
      <w:lvlText w:val="%1.%2.%3."/>
      <w:lvlJc w:val="left"/>
      <w:pPr>
        <w:ind w:left="-478" w:hanging="504"/>
      </w:pPr>
      <w:rPr>
        <w:rFonts w:hint="default"/>
      </w:rPr>
    </w:lvl>
    <w:lvl w:ilvl="3">
      <w:start w:val="1"/>
      <w:numFmt w:val="decimal"/>
      <w:lvlText w:val="%1.%2.%3.%4."/>
      <w:lvlJc w:val="left"/>
      <w:pPr>
        <w:ind w:left="26" w:hanging="648"/>
      </w:pPr>
      <w:rPr>
        <w:rFonts w:hint="default"/>
      </w:rPr>
    </w:lvl>
    <w:lvl w:ilvl="4">
      <w:start w:val="1"/>
      <w:numFmt w:val="decimal"/>
      <w:lvlText w:val="%1.%2.%3.%4.%5."/>
      <w:lvlJc w:val="left"/>
      <w:pPr>
        <w:ind w:left="530" w:hanging="792"/>
      </w:pPr>
      <w:rPr>
        <w:rFonts w:hint="default"/>
      </w:rPr>
    </w:lvl>
    <w:lvl w:ilvl="5">
      <w:start w:val="1"/>
      <w:numFmt w:val="decimal"/>
      <w:lvlText w:val="%1.%2.%3.%4.%5.%6."/>
      <w:lvlJc w:val="left"/>
      <w:pPr>
        <w:ind w:left="1034" w:hanging="936"/>
      </w:pPr>
      <w:rPr>
        <w:rFonts w:hint="default"/>
      </w:rPr>
    </w:lvl>
    <w:lvl w:ilvl="6">
      <w:start w:val="1"/>
      <w:numFmt w:val="decimal"/>
      <w:lvlText w:val="%1.%2.%3.%4.%5.%6.%7."/>
      <w:lvlJc w:val="left"/>
      <w:pPr>
        <w:ind w:left="1538" w:hanging="1080"/>
      </w:pPr>
      <w:rPr>
        <w:rFonts w:hint="default"/>
      </w:rPr>
    </w:lvl>
    <w:lvl w:ilvl="7">
      <w:start w:val="1"/>
      <w:numFmt w:val="decimal"/>
      <w:lvlText w:val="%1.%2.%3.%4.%5.%6.%7.%8."/>
      <w:lvlJc w:val="left"/>
      <w:pPr>
        <w:ind w:left="2042" w:hanging="1224"/>
      </w:pPr>
      <w:rPr>
        <w:rFonts w:hint="default"/>
      </w:rPr>
    </w:lvl>
    <w:lvl w:ilvl="8">
      <w:start w:val="1"/>
      <w:numFmt w:val="decimal"/>
      <w:lvlText w:val="%1.%2.%3.%4.%5.%6.%7.%8.%9."/>
      <w:lvlJc w:val="left"/>
      <w:pPr>
        <w:ind w:left="2618"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213"/>
    <w:rsid w:val="000C2017"/>
    <w:rsid w:val="000E6213"/>
    <w:rsid w:val="001545F6"/>
    <w:rsid w:val="002D3446"/>
    <w:rsid w:val="00351F5A"/>
    <w:rsid w:val="003D52B9"/>
    <w:rsid w:val="0043467C"/>
    <w:rsid w:val="004548FB"/>
    <w:rsid w:val="004F1CF9"/>
    <w:rsid w:val="004F2D93"/>
    <w:rsid w:val="00512F4B"/>
    <w:rsid w:val="005357E2"/>
    <w:rsid w:val="0065395F"/>
    <w:rsid w:val="006846AB"/>
    <w:rsid w:val="006C4C2F"/>
    <w:rsid w:val="00730C50"/>
    <w:rsid w:val="007A2563"/>
    <w:rsid w:val="009115BE"/>
    <w:rsid w:val="00920095"/>
    <w:rsid w:val="00936187"/>
    <w:rsid w:val="009D7259"/>
    <w:rsid w:val="00AF415A"/>
    <w:rsid w:val="00B0256C"/>
    <w:rsid w:val="00B12AFB"/>
    <w:rsid w:val="00C15EB1"/>
    <w:rsid w:val="00C42583"/>
    <w:rsid w:val="00D0379C"/>
    <w:rsid w:val="00D179C7"/>
    <w:rsid w:val="00D50AD2"/>
    <w:rsid w:val="00D71E44"/>
    <w:rsid w:val="00F67BA1"/>
    <w:rsid w:val="00FA31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604AB"/>
  <w15:chartTrackingRefBased/>
  <w15:docId w15:val="{2B241709-BA84-4FAA-A109-D2284E419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0E6213"/>
    <w:pPr>
      <w:spacing w:after="200" w:line="252" w:lineRule="auto"/>
    </w:pPr>
    <w:rPr>
      <w:rFonts w:ascii="Cambria" w:eastAsia="Times New Roman" w:hAnsi="Cambria" w:cs="Times New Roman"/>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1-BS">
    <w:name w:val="Nadpis 1 - BS"/>
    <w:next w:val="Nadpis2-BS"/>
    <w:uiPriority w:val="99"/>
    <w:qFormat/>
    <w:rsid w:val="000E6213"/>
    <w:pPr>
      <w:numPr>
        <w:numId w:val="1"/>
      </w:numPr>
      <w:spacing w:before="240" w:after="60" w:line="240" w:lineRule="auto"/>
    </w:pPr>
    <w:rPr>
      <w:rFonts w:ascii="Calibri" w:eastAsia="Times New Roman" w:hAnsi="Calibri" w:cs="Times New Roman"/>
      <w:b/>
      <w:lang w:eastAsia="cs-CZ"/>
    </w:rPr>
  </w:style>
  <w:style w:type="paragraph" w:customStyle="1" w:styleId="Nadpis2-BS">
    <w:name w:val="Nadpis 2 - BS"/>
    <w:basedOn w:val="Nadpis1-BS"/>
    <w:uiPriority w:val="99"/>
    <w:qFormat/>
    <w:rsid w:val="000E6213"/>
    <w:pPr>
      <w:numPr>
        <w:ilvl w:val="1"/>
      </w:numPr>
      <w:jc w:val="both"/>
    </w:pPr>
    <w:rPr>
      <w:b w:val="0"/>
      <w:sz w:val="20"/>
      <w:szCs w:val="20"/>
    </w:rPr>
  </w:style>
  <w:style w:type="paragraph" w:customStyle="1" w:styleId="Nadpis4-BS">
    <w:name w:val="Nadpis 4 - BS"/>
    <w:basedOn w:val="Nadpis2-BS"/>
    <w:uiPriority w:val="99"/>
    <w:qFormat/>
    <w:rsid w:val="000E6213"/>
    <w:pPr>
      <w:numPr>
        <w:ilvl w:val="3"/>
      </w:numPr>
      <w:tabs>
        <w:tab w:val="left" w:pos="1843"/>
      </w:tabs>
    </w:pPr>
  </w:style>
  <w:style w:type="paragraph" w:customStyle="1" w:styleId="Nadpis5-BS">
    <w:name w:val="Nadpis 5 - BS"/>
    <w:basedOn w:val="Nadpis4-BS"/>
    <w:uiPriority w:val="99"/>
    <w:qFormat/>
    <w:rsid w:val="000E6213"/>
    <w:pPr>
      <w:numPr>
        <w:ilvl w:val="4"/>
      </w:numPr>
      <w:tabs>
        <w:tab w:val="num" w:pos="1134"/>
      </w:tabs>
      <w:ind w:left="360" w:hanging="567"/>
    </w:pPr>
  </w:style>
  <w:style w:type="paragraph" w:customStyle="1" w:styleId="Nadpis3-BS">
    <w:name w:val="Nadpis 3 -BS"/>
    <w:basedOn w:val="Nadpis2-BS"/>
    <w:uiPriority w:val="99"/>
    <w:qFormat/>
    <w:rsid w:val="000E6213"/>
    <w:pPr>
      <w:numPr>
        <w:ilvl w:val="2"/>
      </w:numPr>
      <w:tabs>
        <w:tab w:val="left" w:pos="1418"/>
      </w:tabs>
    </w:pPr>
  </w:style>
  <w:style w:type="numbering" w:customStyle="1" w:styleId="Styl1">
    <w:name w:val="Styl1"/>
    <w:rsid w:val="000E6213"/>
    <w:pPr>
      <w:numPr>
        <w:numId w:val="1"/>
      </w:numPr>
    </w:pPr>
  </w:style>
  <w:style w:type="paragraph" w:styleId="Textbubliny">
    <w:name w:val="Balloon Text"/>
    <w:basedOn w:val="Normln"/>
    <w:link w:val="TextbublinyChar"/>
    <w:uiPriority w:val="99"/>
    <w:semiHidden/>
    <w:unhideWhenUsed/>
    <w:rsid w:val="00730C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30C50"/>
    <w:rPr>
      <w:rFonts w:ascii="Segoe UI" w:eastAsia="Times New Roman" w:hAnsi="Segoe UI" w:cs="Segoe UI"/>
      <w:sz w:val="18"/>
      <w:szCs w:val="18"/>
      <w:lang w:eastAsia="cs-CZ"/>
    </w:rPr>
  </w:style>
  <w:style w:type="paragraph" w:styleId="Zhlav">
    <w:name w:val="header"/>
    <w:basedOn w:val="Normln"/>
    <w:link w:val="ZhlavChar"/>
    <w:uiPriority w:val="99"/>
    <w:unhideWhenUsed/>
    <w:rsid w:val="00D50AD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50AD2"/>
    <w:rPr>
      <w:rFonts w:ascii="Cambria" w:eastAsia="Times New Roman" w:hAnsi="Cambria" w:cs="Times New Roman"/>
      <w:lang w:eastAsia="cs-CZ"/>
    </w:rPr>
  </w:style>
  <w:style w:type="paragraph" w:styleId="Zpat">
    <w:name w:val="footer"/>
    <w:basedOn w:val="Normln"/>
    <w:link w:val="ZpatChar"/>
    <w:uiPriority w:val="99"/>
    <w:unhideWhenUsed/>
    <w:rsid w:val="00D50AD2"/>
    <w:pPr>
      <w:tabs>
        <w:tab w:val="center" w:pos="4536"/>
        <w:tab w:val="right" w:pos="9072"/>
      </w:tabs>
      <w:spacing w:after="0" w:line="240" w:lineRule="auto"/>
    </w:pPr>
  </w:style>
  <w:style w:type="character" w:customStyle="1" w:styleId="ZpatChar">
    <w:name w:val="Zápatí Char"/>
    <w:basedOn w:val="Standardnpsmoodstavce"/>
    <w:link w:val="Zpat"/>
    <w:uiPriority w:val="99"/>
    <w:rsid w:val="00D50AD2"/>
    <w:rPr>
      <w:rFonts w:ascii="Cambria" w:eastAsia="Times New Roman" w:hAnsi="Cambria" w:cs="Times New Roman"/>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101285">
      <w:bodyDiv w:val="1"/>
      <w:marLeft w:val="0"/>
      <w:marRight w:val="0"/>
      <w:marTop w:val="0"/>
      <w:marBottom w:val="0"/>
      <w:divBdr>
        <w:top w:val="none" w:sz="0" w:space="0" w:color="auto"/>
        <w:left w:val="none" w:sz="0" w:space="0" w:color="auto"/>
        <w:bottom w:val="none" w:sz="0" w:space="0" w:color="auto"/>
        <w:right w:val="none" w:sz="0" w:space="0" w:color="auto"/>
      </w:divBdr>
      <w:divsChild>
        <w:div w:id="1355881061">
          <w:marLeft w:val="0"/>
          <w:marRight w:val="0"/>
          <w:marTop w:val="0"/>
          <w:marBottom w:val="0"/>
          <w:divBdr>
            <w:top w:val="none" w:sz="0" w:space="0" w:color="auto"/>
            <w:left w:val="none" w:sz="0" w:space="0" w:color="auto"/>
            <w:bottom w:val="none" w:sz="0" w:space="0" w:color="auto"/>
            <w:right w:val="none" w:sz="0" w:space="0" w:color="auto"/>
          </w:divBdr>
          <w:divsChild>
            <w:div w:id="1524661277">
              <w:marLeft w:val="0"/>
              <w:marRight w:val="0"/>
              <w:marTop w:val="0"/>
              <w:marBottom w:val="0"/>
              <w:divBdr>
                <w:top w:val="none" w:sz="0" w:space="0" w:color="auto"/>
                <w:left w:val="none" w:sz="0" w:space="0" w:color="auto"/>
                <w:bottom w:val="none" w:sz="0" w:space="0" w:color="auto"/>
                <w:right w:val="none" w:sz="0" w:space="0" w:color="auto"/>
              </w:divBdr>
            </w:div>
            <w:div w:id="22965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3692">
      <w:bodyDiv w:val="1"/>
      <w:marLeft w:val="0"/>
      <w:marRight w:val="0"/>
      <w:marTop w:val="0"/>
      <w:marBottom w:val="0"/>
      <w:divBdr>
        <w:top w:val="none" w:sz="0" w:space="0" w:color="auto"/>
        <w:left w:val="none" w:sz="0" w:space="0" w:color="auto"/>
        <w:bottom w:val="none" w:sz="0" w:space="0" w:color="auto"/>
        <w:right w:val="none" w:sz="0" w:space="0" w:color="auto"/>
      </w:divBdr>
      <w:divsChild>
        <w:div w:id="1398475866">
          <w:marLeft w:val="0"/>
          <w:marRight w:val="0"/>
          <w:marTop w:val="0"/>
          <w:marBottom w:val="0"/>
          <w:divBdr>
            <w:top w:val="none" w:sz="0" w:space="0" w:color="auto"/>
            <w:left w:val="none" w:sz="0" w:space="0" w:color="auto"/>
            <w:bottom w:val="none" w:sz="0" w:space="0" w:color="auto"/>
            <w:right w:val="none" w:sz="0" w:space="0" w:color="auto"/>
          </w:divBdr>
          <w:divsChild>
            <w:div w:id="238487995">
              <w:marLeft w:val="0"/>
              <w:marRight w:val="0"/>
              <w:marTop w:val="0"/>
              <w:marBottom w:val="0"/>
              <w:divBdr>
                <w:top w:val="none" w:sz="0" w:space="0" w:color="auto"/>
                <w:left w:val="none" w:sz="0" w:space="0" w:color="auto"/>
                <w:bottom w:val="none" w:sz="0" w:space="0" w:color="auto"/>
                <w:right w:val="none" w:sz="0" w:space="0" w:color="auto"/>
              </w:divBdr>
              <w:divsChild>
                <w:div w:id="1238436031">
                  <w:marLeft w:val="0"/>
                  <w:marRight w:val="0"/>
                  <w:marTop w:val="0"/>
                  <w:marBottom w:val="0"/>
                  <w:divBdr>
                    <w:top w:val="none" w:sz="0" w:space="0" w:color="auto"/>
                    <w:left w:val="none" w:sz="0" w:space="0" w:color="auto"/>
                    <w:bottom w:val="none" w:sz="0" w:space="0" w:color="auto"/>
                    <w:right w:val="none" w:sz="0" w:space="0" w:color="auto"/>
                  </w:divBdr>
                  <w:divsChild>
                    <w:div w:id="1633830271">
                      <w:marLeft w:val="0"/>
                      <w:marRight w:val="0"/>
                      <w:marTop w:val="0"/>
                      <w:marBottom w:val="0"/>
                      <w:divBdr>
                        <w:top w:val="none" w:sz="0" w:space="0" w:color="auto"/>
                        <w:left w:val="none" w:sz="0" w:space="0" w:color="auto"/>
                        <w:bottom w:val="none" w:sz="0" w:space="0" w:color="auto"/>
                        <w:right w:val="none" w:sz="0" w:space="0" w:color="auto"/>
                      </w:divBdr>
                    </w:div>
                    <w:div w:id="60839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47F6B-8F7E-47A5-847A-AC024E7DA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450</Words>
  <Characters>2659</Characters>
  <Application>Microsoft Office Word</Application>
  <DocSecurity>0</DocSecurity>
  <Lines>22</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Ondřej Čala</dc:creator>
  <cp:keywords/>
  <dc:description/>
  <cp:lastModifiedBy>Holeková Michaela</cp:lastModifiedBy>
  <cp:revision>5</cp:revision>
  <cp:lastPrinted>2020-06-12T07:54:00Z</cp:lastPrinted>
  <dcterms:created xsi:type="dcterms:W3CDTF">2020-06-12T07:55:00Z</dcterms:created>
  <dcterms:modified xsi:type="dcterms:W3CDTF">2020-06-12T10:39:00Z</dcterms:modified>
</cp:coreProperties>
</file>