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OV20111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30/04/2020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3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5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5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02.04.2020 9:37:01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3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22pt;z-index:50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2"/>
                    </w:rPr>
                    <w:t xml:space="preserve">Stravenky 1511 ks za březen á 90,--Kč</w:t>
                  </w:r>
                  <w:r>
                    <w:rPr>
                      <w:rStyle w:val="Text2"/>
                    </w:rPr>
                    <w:br/>
                    <w:t xml:space="preserve">135.900,--Kč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9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50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2020-04-06T05:43:45Z</dcterms:created>
  <dcterms:modified xsi:type="dcterms:W3CDTF">2020-04-06T05:43:45Z</dcterms:modified>
  <cp:category/>
</cp:coreProperties>
</file>