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AA" w:rsidRDefault="000E38AA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9E7081">
        <w:rPr>
          <w:rFonts w:eastAsia="Arial Unicode MS" w:cs="Arial Unicode MS"/>
          <w:b/>
          <w:sz w:val="26"/>
          <w:szCs w:val="26"/>
          <w:lang w:val="cs-CZ"/>
        </w:rPr>
        <w:t>5</w:t>
      </w:r>
    </w:p>
    <w:p w:rsidR="000A5FC8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 w:rsidR="000E38AA"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2F65CE">
        <w:rPr>
          <w:rFonts w:eastAsia="Arial Unicode MS" w:cs="Arial Unicode MS"/>
          <w:b/>
          <w:sz w:val="26"/>
          <w:szCs w:val="26"/>
          <w:lang w:val="cs-CZ"/>
        </w:rPr>
        <w:t xml:space="preserve"> ZC/0719001</w:t>
      </w:r>
    </w:p>
    <w:p w:rsidR="00D56C93" w:rsidRPr="00436D4D" w:rsidRDefault="00D56C93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Smlouva objednavatele č. </w:t>
      </w:r>
      <w:r w:rsidR="00B6430B">
        <w:rPr>
          <w:rFonts w:eastAsia="Arial Unicode MS" w:cs="Arial Unicode MS"/>
          <w:b/>
          <w:sz w:val="26"/>
          <w:szCs w:val="26"/>
          <w:lang w:val="cs-CZ"/>
        </w:rPr>
        <w:t>0904</w:t>
      </w:r>
      <w:r>
        <w:rPr>
          <w:rFonts w:eastAsia="Arial Unicode MS" w:cs="Arial Unicode MS"/>
          <w:b/>
          <w:sz w:val="26"/>
          <w:szCs w:val="26"/>
          <w:lang w:val="cs-CZ"/>
        </w:rPr>
        <w:t>/19/06/PO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</w:t>
      </w:r>
      <w:r w:rsidR="000E38AA">
        <w:rPr>
          <w:rFonts w:eastAsia="Arial Unicode MS" w:cs="Arial Unicode MS"/>
          <w:b/>
          <w:sz w:val="21"/>
          <w:szCs w:val="21"/>
          <w:lang w:val="cs-CZ"/>
        </w:rPr>
        <w:t> </w:t>
      </w:r>
      <w:r>
        <w:rPr>
          <w:rFonts w:eastAsia="Arial Unicode MS" w:cs="Arial Unicode MS"/>
          <w:b/>
          <w:sz w:val="21"/>
          <w:szCs w:val="21"/>
          <w:lang w:val="cs-CZ"/>
        </w:rPr>
        <w:t>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obchodním rejstříku vedeným Krajským soudem 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28046153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FF1F9A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 – </w:t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J</w:t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ižní předměstí, Edvarda Beneše 1128/13, PSČ 30599</w:t>
      </w:r>
    </w:p>
    <w:p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:rsidR="009C1988" w:rsidRDefault="00BA4B85" w:rsidP="009C1988">
      <w:pPr>
        <w:rPr>
          <w:color w:val="1F497D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E0F8B">
        <w:rPr>
          <w:rFonts w:asciiTheme="minorHAnsi" w:eastAsia="Arial Unicode MS" w:hAnsiTheme="minorHAnsi" w:cstheme="minorHAnsi"/>
          <w:sz w:val="20"/>
          <w:szCs w:val="20"/>
          <w:lang w:val="cs-CZ"/>
        </w:rPr>
        <w:t>viz tabulka</w:t>
      </w:r>
    </w:p>
    <w:p w:rsidR="009C1988" w:rsidRPr="00F5492E" w:rsidRDefault="009C1988" w:rsidP="009C1988">
      <w:pPr>
        <w:rPr>
          <w:color w:val="1F497D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provozovny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Adresa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IČP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Bory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1128/13, 305 99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1000100651</w:t>
            </w:r>
          </w:p>
        </w:tc>
        <w:bookmarkStart w:id="0" w:name="_GoBack"/>
        <w:bookmarkEnd w:id="0"/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Lochotín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Alej Svobody 923/80, 323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1000100677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Lékařská genetika a autodoprava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525/19, 310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1000100669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Detašované pracoviště GPK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Bedřicha Smetany 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118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Soudní lékařství FN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Karlovarská 585/48,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116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Transfúzní oddělení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ul. 17. listopadu 12,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115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Ubytovna Čechova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Čechova 26,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120</w:t>
            </w:r>
          </w:p>
        </w:tc>
      </w:tr>
    </w:tbl>
    <w:p w:rsidR="009C1988" w:rsidRPr="00F5492E" w:rsidRDefault="009C1988">
      <w:pPr>
        <w:rPr>
          <w:rFonts w:asciiTheme="minorHAnsi" w:eastAsia="Arial Unicode MS" w:hAnsiTheme="minorHAnsi" w:cstheme="minorHAnsi"/>
          <w:sz w:val="12"/>
          <w:szCs w:val="12"/>
          <w:lang w:val="cs-CZ"/>
        </w:rPr>
      </w:pP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ČNB: číslo účtu 33739311/0710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F640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8F640C">
        <w:rPr>
          <w:rStyle w:val="Hypertextovodkaz"/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462FD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:rsidR="000D4FAA" w:rsidRPr="005C4A09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,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Ph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0E38AA" w:rsidRDefault="000E38A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Úprava smlouvy</w:t>
      </w:r>
    </w:p>
    <w:p w:rsidR="00D7734D" w:rsidRPr="003A7095" w:rsidRDefault="0019686A" w:rsidP="003A7095">
      <w:pPr>
        <w:pStyle w:val="Odstavecseseznamem"/>
        <w:numPr>
          <w:ilvl w:val="0"/>
          <w:numId w:val="41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smluvní strany se dohodli na změně specifikace a rozsahu splnění dle článku č II smlouvy o poskytnutí služeb v odpadovém hospodářství číslo ZC/0719001, číslo </w:t>
      </w:r>
      <w:proofErr w:type="spellStart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sml</w:t>
      </w:r>
      <w:proofErr w:type="spellEnd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. objednatele 0904/19/06/PO ze dne </w:t>
      </w:r>
      <w:proofErr w:type="gramStart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19.7.2019</w:t>
      </w:r>
      <w:proofErr w:type="gramEnd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.  Nové znění specifikace rozsahu splnění je uvedeno v článku č. II tohoto dodatku.</w:t>
      </w:r>
    </w:p>
    <w:p w:rsidR="002C5570" w:rsidRPr="005C4A09" w:rsidRDefault="002C5570" w:rsidP="003A709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1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0E38AA" w:rsidRDefault="000E38AA" w:rsidP="000E38AA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W w:w="103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352"/>
        <w:gridCol w:w="1444"/>
        <w:gridCol w:w="995"/>
        <w:gridCol w:w="952"/>
        <w:gridCol w:w="1630"/>
        <w:gridCol w:w="1629"/>
      </w:tblGrid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1"/>
          <w:p w:rsidR="009A0B33" w:rsidRPr="009A0B33" w:rsidRDefault="008F640C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  <w:lastRenderedPageBreak/>
              <w:t>xxx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8A1DEC" w:rsidRPr="009A0B33" w:rsidTr="009D1785">
        <w:trPr>
          <w:trHeight w:val="300"/>
          <w:jc w:val="center"/>
        </w:trPr>
        <w:tc>
          <w:tcPr>
            <w:tcW w:w="23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svozové lokality v</w:t>
            </w:r>
            <w:r w:rsidR="000E3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 </w:t>
            </w: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Plzni městě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komodita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objem nádob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počet nádob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počet svozů za 2 roky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cena bez DPH </w:t>
            </w: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br/>
              <w:t>za 2 roky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cena s</w:t>
            </w:r>
            <w:r w:rsidR="000E38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 </w:t>
            </w: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DPH </w:t>
            </w: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br/>
              <w:t>za 2 roky</w:t>
            </w:r>
          </w:p>
        </w:tc>
      </w:tr>
      <w:tr w:rsidR="00AC18AB" w:rsidRPr="009A0B33" w:rsidTr="009D1785">
        <w:trPr>
          <w:trHeight w:val="450"/>
          <w:jc w:val="center"/>
        </w:trPr>
        <w:tc>
          <w:tcPr>
            <w:tcW w:w="23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(l)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9A0B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(ks)</w:t>
            </w: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B33" w:rsidRPr="009A0B33" w:rsidRDefault="009A0B33" w:rsidP="009A0B3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C19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A0B33" w:rsidRPr="009A0B33" w:rsidRDefault="009A0B33" w:rsidP="009C1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A0B33" w:rsidRPr="009A0B33" w:rsidRDefault="009A0B33" w:rsidP="009C19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AA" w:rsidRPr="00AC18AB" w:rsidRDefault="000E38AA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AA" w:rsidRPr="00AC18AB" w:rsidRDefault="000E38AA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AA" w:rsidRPr="00AC18AB" w:rsidRDefault="000E38AA" w:rsidP="000E38A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AA" w:rsidRPr="00AC18AB" w:rsidRDefault="000E38AA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AA" w:rsidRPr="00AC18AB" w:rsidRDefault="000E38AA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0E38AA" w:rsidRPr="00AC18AB" w:rsidRDefault="000E38AA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0E38AA" w:rsidRPr="00AC18AB" w:rsidRDefault="000E38AA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36" w:rsidRPr="00A11D75" w:rsidRDefault="00382536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6" w:rsidRPr="00A11D75" w:rsidRDefault="00382536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36" w:rsidRPr="00A11D75" w:rsidRDefault="00382536" w:rsidP="000E38A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536" w:rsidRPr="00A11D75" w:rsidRDefault="00382536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536" w:rsidRPr="00A11D75" w:rsidRDefault="00382536" w:rsidP="002431D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82536" w:rsidRPr="00A11D75" w:rsidRDefault="00382536" w:rsidP="002431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382536" w:rsidRPr="00A11D75" w:rsidRDefault="00382536" w:rsidP="002431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AC18AB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A0B33" w:rsidRPr="009A0B33" w:rsidRDefault="009A0B33" w:rsidP="009A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9D1785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E7081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E7081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E7081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E7081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E7081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D1785" w:rsidRPr="009E7081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D1785" w:rsidRPr="009E7081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9D1785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E01963" w:rsidRPr="009A0B33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963" w:rsidRPr="009E7081" w:rsidRDefault="00E01963" w:rsidP="009D1785">
            <w:pPr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963" w:rsidRPr="009E7081" w:rsidRDefault="00E01963" w:rsidP="009D1785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963" w:rsidRPr="009E7081" w:rsidRDefault="00E01963" w:rsidP="009D1785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963" w:rsidRPr="009E7081" w:rsidRDefault="00E01963" w:rsidP="009D1785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963" w:rsidRPr="009E7081" w:rsidRDefault="00E01963" w:rsidP="009D1785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E01963" w:rsidRPr="009E7081" w:rsidRDefault="00E01963" w:rsidP="009D178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E01963" w:rsidRPr="009E7081" w:rsidRDefault="00E01963" w:rsidP="009D178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cs-CZ" w:eastAsia="cs-CZ"/>
              </w:rPr>
            </w:pPr>
          </w:p>
        </w:tc>
      </w:tr>
      <w:tr w:rsidR="009D1785" w:rsidRPr="009A0B33" w:rsidTr="00C42806">
        <w:trPr>
          <w:trHeight w:val="31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9D1785" w:rsidRPr="009A0B33" w:rsidTr="00C42806">
        <w:trPr>
          <w:trHeight w:val="300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</w:tr>
      <w:tr w:rsidR="009D1785" w:rsidRPr="009A0B33" w:rsidTr="009D1785">
        <w:trPr>
          <w:trHeight w:val="525"/>
          <w:jc w:val="center"/>
        </w:trPr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785" w:rsidRPr="009A0B33" w:rsidRDefault="009D1785" w:rsidP="009D17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Celkem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9D1785" w:rsidRPr="009A0B33" w:rsidRDefault="00FF6F90" w:rsidP="00940C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5861</w:t>
            </w:r>
            <w:r w:rsidR="00940C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64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,82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9D1785" w:rsidRPr="009A0B33" w:rsidRDefault="00FF6F90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709247,35</w:t>
            </w:r>
          </w:p>
        </w:tc>
      </w:tr>
      <w:tr w:rsidR="009D1785" w:rsidRPr="009A0B33" w:rsidTr="009D1785">
        <w:trPr>
          <w:trHeight w:val="300"/>
          <w:jc w:val="center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785" w:rsidRPr="009A0B33" w:rsidRDefault="009D1785" w:rsidP="009D1785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9D1785" w:rsidRPr="009A0B33" w:rsidTr="009D1785">
        <w:trPr>
          <w:trHeight w:val="765"/>
          <w:jc w:val="center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2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134"/>
              <w:gridCol w:w="1559"/>
              <w:gridCol w:w="992"/>
              <w:gridCol w:w="1134"/>
              <w:gridCol w:w="1701"/>
              <w:gridCol w:w="1701"/>
            </w:tblGrid>
            <w:tr w:rsidR="009D1785" w:rsidRPr="009A0B33" w:rsidTr="00384751">
              <w:trPr>
                <w:trHeight w:val="300"/>
              </w:trPr>
              <w:tc>
                <w:tcPr>
                  <w:tcW w:w="198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svozové lokality v</w:t>
                  </w:r>
                  <w:r w:rsidR="00E019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 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Plzni městě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komodita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objem nádob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počet nádob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počet svozů za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1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rok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cena bez DPH 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br/>
                    <w:t>za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1 měsíc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cena s</w:t>
                  </w:r>
                  <w:r w:rsidR="00E0196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 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DPH </w:t>
                  </w: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br/>
                    <w:t>za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 xml:space="preserve"> 1 měsíc</w:t>
                  </w:r>
                </w:p>
              </w:tc>
            </w:tr>
            <w:tr w:rsidR="009D1785" w:rsidRPr="009A0B33" w:rsidTr="00384751">
              <w:trPr>
                <w:trHeight w:val="450"/>
              </w:trPr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(l)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9A0B3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(ks)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C18AB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AC18AB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A11D75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E7081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E7081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E7081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E7081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E7081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E7081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E7081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E01963" w:rsidRPr="009A0B33" w:rsidTr="00CB6719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1963" w:rsidRPr="009E7081" w:rsidRDefault="00E01963" w:rsidP="009D1785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1963" w:rsidRPr="009E7081" w:rsidRDefault="00E01963" w:rsidP="009D178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1963" w:rsidRPr="009E7081" w:rsidRDefault="00E01963" w:rsidP="009D178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1963" w:rsidRPr="009E7081" w:rsidRDefault="00E01963" w:rsidP="009D178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1963" w:rsidRPr="009E7081" w:rsidRDefault="00E01963" w:rsidP="009D178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E01963" w:rsidRPr="009E7081" w:rsidRDefault="00E01963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highlight w:val="yellow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E01963" w:rsidRPr="009E7081" w:rsidRDefault="00E01963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highlight w:val="yellow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1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C42806">
              <w:trPr>
                <w:trHeight w:val="300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</w:tr>
            <w:tr w:rsidR="009D1785" w:rsidRPr="009A0B33" w:rsidTr="00384751">
              <w:trPr>
                <w:trHeight w:val="525"/>
              </w:trPr>
              <w:tc>
                <w:tcPr>
                  <w:tcW w:w="1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D1785" w:rsidRPr="009A0B33" w:rsidRDefault="009D1785" w:rsidP="009D178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  <w:t>Celkem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1785" w:rsidRPr="009A0B33" w:rsidRDefault="009D1785" w:rsidP="009D178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cs-CZ"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9D1785" w:rsidRPr="009A0B33" w:rsidRDefault="00FF6F90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24 423,13 Kč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vAlign w:val="center"/>
                </w:tcPr>
                <w:p w:rsidR="009D1785" w:rsidRPr="009A0B33" w:rsidRDefault="00E01963" w:rsidP="009D178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cs-CZ" w:eastAsia="cs-CZ"/>
                    </w:rPr>
                    <w:t>29 552,01 Kč</w:t>
                  </w:r>
                </w:p>
              </w:tc>
            </w:tr>
          </w:tbl>
          <w:p w:rsidR="009D1785" w:rsidRPr="009A0B33" w:rsidRDefault="009D1785" w:rsidP="009D17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</w:tr>
    </w:tbl>
    <w:p w:rsidR="00A06B74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Default="00382536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žlutě označené změna s účinností od </w:t>
      </w:r>
      <w:proofErr w:type="gram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</w:t>
      </w:r>
      <w:r w:rsidR="00BB703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5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  <w:r w:rsidR="00FF6F9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6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.20</w:t>
      </w:r>
      <w:r w:rsidR="00A946F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20</w:t>
      </w:r>
      <w:proofErr w:type="gramEnd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– nádoba u pavilonu </w:t>
      </w:r>
      <w:r w:rsidR="00A946F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</w:t>
      </w:r>
      <w:r w:rsidR="00FF6F9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</w:t>
      </w: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Pr="005C4A09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19686A" w:rsidRDefault="0019686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:rsidR="0019686A" w:rsidRPr="003A7095" w:rsidRDefault="0019686A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Všechna ostatní ustanovení smlouvy zůstávají beze změny.</w:t>
      </w:r>
    </w:p>
    <w:p w:rsidR="002D3C2F" w:rsidRPr="003A7095" w:rsidRDefault="002D3C2F" w:rsidP="003A7095">
      <w:pPr>
        <w:pStyle w:val="Odstavecseseznamem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2D3C2F" w:rsidRPr="003A7095" w:rsidRDefault="002D3C2F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Smluvní strany berou na vědomí, že pokud tento dodatek splní podmínky pro uveřejnění dle zákona č. 340/2015 </w:t>
      </w:r>
      <w:proofErr w:type="spellStart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Sb</w:t>
      </w:r>
      <w:proofErr w:type="spellEnd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, o registru smluv, podléhá uveřejnění prostřednictvím registru smluv. Smluvní strany se dohodli, že smlouvu k uveřejnění prostřednictvím registru zašle správci poskytovatel.</w:t>
      </w:r>
    </w:p>
    <w:p w:rsidR="00A32243" w:rsidRPr="003A7095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895BFA" w:rsidRPr="003A7095" w:rsidRDefault="00A32243" w:rsidP="003A7095">
      <w:pPr>
        <w:pStyle w:val="Odstavecseseznamem"/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38253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8B18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FF6F90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6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</w:t>
      </w:r>
      <w:r w:rsidR="008B18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895BFA" w:rsidRDefault="00895BFA" w:rsidP="00895BFA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ento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dodatek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je vyhotoven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, že j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ej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8D7327" w:rsidRPr="005C4A09" w:rsidRDefault="008D7327" w:rsidP="0049028D">
      <w:pPr>
        <w:ind w:left="792"/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proofErr w:type="gramStart"/>
      <w:r w:rsidR="00FF6F90">
        <w:rPr>
          <w:rStyle w:val="Zdraznnjemn"/>
          <w:rFonts w:asciiTheme="minorHAnsi" w:eastAsia="Arial Unicode MS" w:hAnsiTheme="minorHAnsi" w:cstheme="minorHAnsi"/>
          <w:sz w:val="20"/>
          <w:szCs w:val="20"/>
        </w:rPr>
        <w:t>3</w:t>
      </w:r>
      <w:r w:rsidR="00BB7039">
        <w:rPr>
          <w:rStyle w:val="Zdraznnjemn"/>
          <w:rFonts w:asciiTheme="minorHAnsi" w:eastAsia="Arial Unicode MS" w:hAnsiTheme="minorHAnsi" w:cstheme="minorHAnsi"/>
          <w:sz w:val="20"/>
          <w:szCs w:val="20"/>
        </w:rPr>
        <w:t>.</w:t>
      </w:r>
      <w:r w:rsidR="00FF6F90">
        <w:rPr>
          <w:rStyle w:val="Zdraznnjemn"/>
          <w:rFonts w:asciiTheme="minorHAnsi" w:eastAsia="Arial Unicode MS" w:hAnsiTheme="minorHAnsi" w:cstheme="minorHAnsi"/>
          <w:sz w:val="20"/>
          <w:szCs w:val="20"/>
        </w:rPr>
        <w:t>6</w:t>
      </w:r>
      <w:r w:rsidR="0019686A">
        <w:rPr>
          <w:rStyle w:val="Zdraznnjemn"/>
          <w:rFonts w:asciiTheme="minorHAnsi" w:eastAsia="Arial Unicode MS" w:hAnsiTheme="minorHAnsi" w:cstheme="minorHAnsi"/>
          <w:sz w:val="20"/>
          <w:szCs w:val="20"/>
        </w:rPr>
        <w:t>.20</w:t>
      </w:r>
      <w:r w:rsidR="00A946F0">
        <w:rPr>
          <w:rStyle w:val="Zdraznnjemn"/>
          <w:rFonts w:asciiTheme="minorHAnsi" w:eastAsia="Arial Unicode MS" w:hAnsiTheme="minorHAnsi" w:cstheme="minorHAnsi"/>
          <w:sz w:val="20"/>
          <w:szCs w:val="20"/>
        </w:rPr>
        <w:t>20</w:t>
      </w:r>
      <w:proofErr w:type="gramEnd"/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p w:rsidR="00636D71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029DC"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   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A0B3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Fakultní nemocnice Plzeň</w:t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D4" w:rsidRDefault="005350D4" w:rsidP="00760C88">
      <w:r>
        <w:separator/>
      </w:r>
    </w:p>
  </w:endnote>
  <w:endnote w:type="continuationSeparator" w:id="0">
    <w:p w:rsidR="005350D4" w:rsidRDefault="005350D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C42806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C42806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D4" w:rsidRDefault="005350D4" w:rsidP="00760C88">
      <w:r>
        <w:separator/>
      </w:r>
    </w:p>
  </w:footnote>
  <w:footnote w:type="continuationSeparator" w:id="0">
    <w:p w:rsidR="005350D4" w:rsidRDefault="005350D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B0C6F"/>
    <w:multiLevelType w:val="hybridMultilevel"/>
    <w:tmpl w:val="1E6A2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928D0"/>
    <w:multiLevelType w:val="hybridMultilevel"/>
    <w:tmpl w:val="C6764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7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9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41"/>
  </w:num>
  <w:num w:numId="34">
    <w:abstractNumId w:val="14"/>
  </w:num>
  <w:num w:numId="35">
    <w:abstractNumId w:val="17"/>
  </w:num>
  <w:num w:numId="36">
    <w:abstractNumId w:val="40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  <w:num w:numId="41">
    <w:abstractNumId w:val="3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38AA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9686A"/>
    <w:rsid w:val="001A4099"/>
    <w:rsid w:val="001F2F95"/>
    <w:rsid w:val="00210C2E"/>
    <w:rsid w:val="00232299"/>
    <w:rsid w:val="002431D1"/>
    <w:rsid w:val="002463A4"/>
    <w:rsid w:val="00263B53"/>
    <w:rsid w:val="00265293"/>
    <w:rsid w:val="00274BAB"/>
    <w:rsid w:val="002767BF"/>
    <w:rsid w:val="0029400B"/>
    <w:rsid w:val="002A1DA2"/>
    <w:rsid w:val="002A6287"/>
    <w:rsid w:val="002C5570"/>
    <w:rsid w:val="002D3C2F"/>
    <w:rsid w:val="002D5621"/>
    <w:rsid w:val="002E1462"/>
    <w:rsid w:val="002F65CE"/>
    <w:rsid w:val="00322B3E"/>
    <w:rsid w:val="00336C11"/>
    <w:rsid w:val="00346398"/>
    <w:rsid w:val="00350441"/>
    <w:rsid w:val="00350BBD"/>
    <w:rsid w:val="00366B96"/>
    <w:rsid w:val="00382536"/>
    <w:rsid w:val="00387F61"/>
    <w:rsid w:val="003A221B"/>
    <w:rsid w:val="003A7095"/>
    <w:rsid w:val="003B33C5"/>
    <w:rsid w:val="00417891"/>
    <w:rsid w:val="00420811"/>
    <w:rsid w:val="00426F84"/>
    <w:rsid w:val="0043289E"/>
    <w:rsid w:val="00436D4D"/>
    <w:rsid w:val="004403E8"/>
    <w:rsid w:val="00441FA5"/>
    <w:rsid w:val="00455A68"/>
    <w:rsid w:val="00462FDE"/>
    <w:rsid w:val="004756D5"/>
    <w:rsid w:val="004877BB"/>
    <w:rsid w:val="0049028D"/>
    <w:rsid w:val="004A1E67"/>
    <w:rsid w:val="004B45ED"/>
    <w:rsid w:val="004B54EF"/>
    <w:rsid w:val="004D5573"/>
    <w:rsid w:val="004E3617"/>
    <w:rsid w:val="004E5A9C"/>
    <w:rsid w:val="00502881"/>
    <w:rsid w:val="005273CC"/>
    <w:rsid w:val="00530FEF"/>
    <w:rsid w:val="005350D4"/>
    <w:rsid w:val="0053656D"/>
    <w:rsid w:val="005368BE"/>
    <w:rsid w:val="00564633"/>
    <w:rsid w:val="00564F59"/>
    <w:rsid w:val="00572CF8"/>
    <w:rsid w:val="00577E77"/>
    <w:rsid w:val="0059653E"/>
    <w:rsid w:val="005C4A09"/>
    <w:rsid w:val="005C6518"/>
    <w:rsid w:val="005E3CDF"/>
    <w:rsid w:val="005F0CB3"/>
    <w:rsid w:val="005F18D3"/>
    <w:rsid w:val="006121C5"/>
    <w:rsid w:val="00625AC2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2674B"/>
    <w:rsid w:val="00734ABF"/>
    <w:rsid w:val="00745A6B"/>
    <w:rsid w:val="00760C88"/>
    <w:rsid w:val="00775030"/>
    <w:rsid w:val="007A16C6"/>
    <w:rsid w:val="007A680F"/>
    <w:rsid w:val="007C1D56"/>
    <w:rsid w:val="007C2988"/>
    <w:rsid w:val="007D23C6"/>
    <w:rsid w:val="007D7BF2"/>
    <w:rsid w:val="008137D5"/>
    <w:rsid w:val="00814605"/>
    <w:rsid w:val="0083359E"/>
    <w:rsid w:val="00841E9A"/>
    <w:rsid w:val="008616DC"/>
    <w:rsid w:val="00875346"/>
    <w:rsid w:val="00882457"/>
    <w:rsid w:val="008826C4"/>
    <w:rsid w:val="00895BFA"/>
    <w:rsid w:val="008A1DEC"/>
    <w:rsid w:val="008A51FD"/>
    <w:rsid w:val="008B16B8"/>
    <w:rsid w:val="008B186B"/>
    <w:rsid w:val="008D0323"/>
    <w:rsid w:val="008D7327"/>
    <w:rsid w:val="008E28C2"/>
    <w:rsid w:val="008F640C"/>
    <w:rsid w:val="00901956"/>
    <w:rsid w:val="009031C8"/>
    <w:rsid w:val="00940C84"/>
    <w:rsid w:val="0094196F"/>
    <w:rsid w:val="009441BE"/>
    <w:rsid w:val="00966067"/>
    <w:rsid w:val="0097511C"/>
    <w:rsid w:val="00983D1A"/>
    <w:rsid w:val="009A0B33"/>
    <w:rsid w:val="009B18CC"/>
    <w:rsid w:val="009C1988"/>
    <w:rsid w:val="009D1785"/>
    <w:rsid w:val="009D5BF8"/>
    <w:rsid w:val="009E7081"/>
    <w:rsid w:val="009F0B60"/>
    <w:rsid w:val="009F2166"/>
    <w:rsid w:val="009F2E7F"/>
    <w:rsid w:val="00A029DC"/>
    <w:rsid w:val="00A06B74"/>
    <w:rsid w:val="00A07BCB"/>
    <w:rsid w:val="00A11D75"/>
    <w:rsid w:val="00A32243"/>
    <w:rsid w:val="00A32327"/>
    <w:rsid w:val="00A32D81"/>
    <w:rsid w:val="00A5720D"/>
    <w:rsid w:val="00A946F0"/>
    <w:rsid w:val="00AB7D01"/>
    <w:rsid w:val="00AC18AB"/>
    <w:rsid w:val="00AE28E1"/>
    <w:rsid w:val="00AE31B9"/>
    <w:rsid w:val="00B43B79"/>
    <w:rsid w:val="00B50986"/>
    <w:rsid w:val="00B53406"/>
    <w:rsid w:val="00B6430B"/>
    <w:rsid w:val="00B71508"/>
    <w:rsid w:val="00B76391"/>
    <w:rsid w:val="00B96170"/>
    <w:rsid w:val="00BA4B85"/>
    <w:rsid w:val="00BA4D35"/>
    <w:rsid w:val="00BB7039"/>
    <w:rsid w:val="00BC0D67"/>
    <w:rsid w:val="00BD411A"/>
    <w:rsid w:val="00BE0F8B"/>
    <w:rsid w:val="00C0435A"/>
    <w:rsid w:val="00C101A1"/>
    <w:rsid w:val="00C20B4F"/>
    <w:rsid w:val="00C41778"/>
    <w:rsid w:val="00C42806"/>
    <w:rsid w:val="00C44FBF"/>
    <w:rsid w:val="00C47F6E"/>
    <w:rsid w:val="00C51B2E"/>
    <w:rsid w:val="00C6283E"/>
    <w:rsid w:val="00C66A82"/>
    <w:rsid w:val="00C7116C"/>
    <w:rsid w:val="00C85617"/>
    <w:rsid w:val="00CB6719"/>
    <w:rsid w:val="00CD3F53"/>
    <w:rsid w:val="00CE669B"/>
    <w:rsid w:val="00D05BBC"/>
    <w:rsid w:val="00D12A83"/>
    <w:rsid w:val="00D25F14"/>
    <w:rsid w:val="00D56C93"/>
    <w:rsid w:val="00D70496"/>
    <w:rsid w:val="00D7668A"/>
    <w:rsid w:val="00D7734D"/>
    <w:rsid w:val="00DA0FE3"/>
    <w:rsid w:val="00DB3B5B"/>
    <w:rsid w:val="00DE0A10"/>
    <w:rsid w:val="00DE26CB"/>
    <w:rsid w:val="00DF3650"/>
    <w:rsid w:val="00E01963"/>
    <w:rsid w:val="00E1562C"/>
    <w:rsid w:val="00E66A34"/>
    <w:rsid w:val="00E71F7F"/>
    <w:rsid w:val="00EB6671"/>
    <w:rsid w:val="00F06BA9"/>
    <w:rsid w:val="00F5492E"/>
    <w:rsid w:val="00F706F5"/>
    <w:rsid w:val="00FD75C9"/>
    <w:rsid w:val="00FF01EC"/>
    <w:rsid w:val="00FF1F9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DD34-A7BB-4181-A4A5-EBD5A6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62FDE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E708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9A9B-4269-4E69-B8B3-4648698C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3</cp:revision>
  <cp:lastPrinted>2020-06-02T11:44:00Z</cp:lastPrinted>
  <dcterms:created xsi:type="dcterms:W3CDTF">2020-06-11T12:58:00Z</dcterms:created>
  <dcterms:modified xsi:type="dcterms:W3CDTF">2020-06-11T12:59:00Z</dcterms:modified>
</cp:coreProperties>
</file>