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0EEC" w:rsidRDefault="00620EEC">
      <w:pPr>
        <w:autoSpaceDE w:val="0"/>
        <w:autoSpaceDN w:val="0"/>
        <w:adjustRightInd w:val="0"/>
        <w:spacing w:before="240" w:after="120"/>
        <w:jc w:val="center"/>
        <w:rPr>
          <w:rFonts w:ascii="Arial" w:hAnsi="Arial" w:cs="Arial"/>
          <w:b/>
          <w:bCs/>
          <w:sz w:val="44"/>
          <w:szCs w:val="44"/>
        </w:rPr>
      </w:pPr>
      <w:r>
        <w:rPr>
          <w:rFonts w:ascii="Arial" w:hAnsi="Arial" w:cs="Arial"/>
          <w:b/>
          <w:bCs/>
          <w:sz w:val="44"/>
          <w:szCs w:val="44"/>
        </w:rPr>
        <w:t>Smlouva o dílo</w:t>
      </w:r>
    </w:p>
    <w:p w:rsidR="00620EEC" w:rsidRDefault="00620EEC">
      <w:pPr>
        <w:autoSpaceDE w:val="0"/>
        <w:autoSpaceDN w:val="0"/>
        <w:adjustRightInd w:val="0"/>
        <w:spacing w:before="240" w:after="120"/>
        <w:jc w:val="center"/>
        <w:rPr>
          <w:rFonts w:ascii="Arial" w:hAnsi="Arial" w:cs="Arial"/>
          <w:b/>
          <w:bCs/>
          <w:sz w:val="28"/>
          <w:szCs w:val="28"/>
        </w:rPr>
      </w:pPr>
      <w:r>
        <w:rPr>
          <w:rFonts w:ascii="Arial" w:hAnsi="Arial" w:cs="Arial"/>
          <w:b/>
          <w:bCs/>
          <w:sz w:val="28"/>
          <w:szCs w:val="28"/>
        </w:rPr>
        <w:t>„Letní stadion- obruby, sportovní vybavení, šachty odvodnění“</w:t>
      </w:r>
    </w:p>
    <w:p w:rsidR="00620EEC" w:rsidRDefault="00620EEC">
      <w:pPr>
        <w:autoSpaceDE w:val="0"/>
        <w:autoSpaceDN w:val="0"/>
        <w:adjustRightInd w:val="0"/>
        <w:jc w:val="center"/>
        <w:rPr>
          <w:rFonts w:ascii="Arial" w:hAnsi="Arial" w:cs="Arial"/>
          <w:sz w:val="16"/>
          <w:szCs w:val="16"/>
        </w:rPr>
      </w:pPr>
      <w:r>
        <w:rPr>
          <w:rFonts w:ascii="Arial" w:hAnsi="Arial" w:cs="Arial"/>
          <w:sz w:val="16"/>
          <w:szCs w:val="16"/>
        </w:rPr>
        <w:t>uzavřená níže uvedeného dne, měsíce a roku podle § 2586 a násl. zák. č. 89/2012 Sb., občanský zákoník, ve znění pozdějších předpisů</w:t>
      </w:r>
    </w:p>
    <w:p w:rsidR="00620EEC" w:rsidRDefault="00620EEC">
      <w:pPr>
        <w:autoSpaceDE w:val="0"/>
        <w:autoSpaceDN w:val="0"/>
        <w:adjustRightInd w:val="0"/>
        <w:jc w:val="both"/>
        <w:rPr>
          <w:rFonts w:ascii="Arial" w:hAnsi="Arial" w:cs="Arial"/>
          <w:sz w:val="22"/>
          <w:szCs w:val="22"/>
        </w:rPr>
      </w:pPr>
    </w:p>
    <w:p w:rsidR="00620EEC" w:rsidRDefault="00620EEC">
      <w:pPr>
        <w:autoSpaceDE w:val="0"/>
        <w:autoSpaceDN w:val="0"/>
        <w:adjustRightInd w:val="0"/>
        <w:jc w:val="both"/>
        <w:rPr>
          <w:rFonts w:ascii="Arial" w:hAnsi="Arial" w:cs="Arial"/>
          <w:sz w:val="20"/>
          <w:szCs w:val="20"/>
        </w:rPr>
      </w:pPr>
      <w:r>
        <w:rPr>
          <w:rFonts w:ascii="Arial" w:hAnsi="Arial" w:cs="Arial"/>
          <w:sz w:val="20"/>
          <w:szCs w:val="20"/>
        </w:rPr>
        <w:t>číslo smlouvy zhotovitele :</w:t>
      </w:r>
      <w:r>
        <w:rPr>
          <w:rFonts w:ascii="Arial" w:hAnsi="Arial" w:cs="Arial"/>
          <w:sz w:val="22"/>
          <w:szCs w:val="22"/>
        </w:rPr>
        <w:t xml:space="preserve"> 9561900005-sub08062020</w:t>
      </w:r>
      <w:r>
        <w:rPr>
          <w:rFonts w:ascii="Arial" w:hAnsi="Arial" w:cs="Arial"/>
          <w:sz w:val="20"/>
          <w:szCs w:val="20"/>
        </w:rPr>
        <w:tab/>
        <w:t xml:space="preserve">číslo smlouvy objednatele : </w:t>
      </w:r>
      <w:r>
        <w:rPr>
          <w:rFonts w:ascii="Arial" w:hAnsi="Arial" w:cs="Arial"/>
          <w:color w:val="FF0000"/>
          <w:sz w:val="20"/>
          <w:szCs w:val="20"/>
        </w:rPr>
        <w:t>xxx</w:t>
      </w:r>
      <w:r>
        <w:rPr>
          <w:rFonts w:ascii="Arial" w:hAnsi="Arial" w:cs="Arial"/>
          <w:b/>
          <w:bCs/>
          <w:color w:val="FF0000"/>
          <w:sz w:val="20"/>
          <w:szCs w:val="20"/>
        </w:rPr>
        <w:t xml:space="preserve"> </w:t>
      </w:r>
    </w:p>
    <w:p w:rsidR="00620EEC" w:rsidRDefault="00620EEC">
      <w:pPr>
        <w:autoSpaceDE w:val="0"/>
        <w:autoSpaceDN w:val="0"/>
        <w:adjustRightInd w:val="0"/>
        <w:jc w:val="both"/>
        <w:rPr>
          <w:rFonts w:ascii="Arial" w:hAnsi="Arial" w:cs="Arial"/>
          <w:sz w:val="20"/>
          <w:szCs w:val="20"/>
        </w:rPr>
      </w:pPr>
      <w:r>
        <w:rPr>
          <w:rFonts w:ascii="Arial" w:hAnsi="Arial" w:cs="Arial"/>
          <w:sz w:val="20"/>
          <w:szCs w:val="20"/>
        </w:rPr>
        <w:tab/>
      </w:r>
    </w:p>
    <w:p w:rsidR="00620EEC" w:rsidRDefault="00620EEC">
      <w:pPr>
        <w:autoSpaceDE w:val="0"/>
        <w:autoSpaceDN w:val="0"/>
        <w:adjustRightInd w:val="0"/>
        <w:jc w:val="both"/>
        <w:rPr>
          <w:rFonts w:ascii="Arial" w:hAnsi="Arial" w:cs="Arial"/>
          <w:sz w:val="20"/>
          <w:szCs w:val="20"/>
        </w:rPr>
      </w:pPr>
    </w:p>
    <w:p w:rsidR="00620EEC" w:rsidRDefault="00620EEC">
      <w:pPr>
        <w:autoSpaceDE w:val="0"/>
        <w:autoSpaceDN w:val="0"/>
        <w:adjustRightInd w:val="0"/>
        <w:jc w:val="both"/>
        <w:rPr>
          <w:rFonts w:ascii="Arial" w:hAnsi="Arial" w:cs="Arial"/>
          <w:sz w:val="20"/>
          <w:szCs w:val="20"/>
        </w:rPr>
      </w:pPr>
      <w:r>
        <w:rPr>
          <w:rFonts w:ascii="Arial" w:hAnsi="Arial" w:cs="Arial"/>
          <w:sz w:val="20"/>
          <w:szCs w:val="20"/>
        </w:rPr>
        <w:t>zní takto:</w:t>
      </w:r>
    </w:p>
    <w:p w:rsidR="00620EEC" w:rsidRDefault="00620EEC">
      <w:pPr>
        <w:autoSpaceDE w:val="0"/>
        <w:autoSpaceDN w:val="0"/>
        <w:adjustRightInd w:val="0"/>
        <w:jc w:val="both"/>
        <w:rPr>
          <w:rFonts w:ascii="Arial" w:hAnsi="Arial" w:cs="Arial"/>
          <w:sz w:val="20"/>
          <w:szCs w:val="20"/>
        </w:rPr>
      </w:pPr>
    </w:p>
    <w:p w:rsidR="00620EEC" w:rsidRDefault="00620EEC">
      <w:pPr>
        <w:tabs>
          <w:tab w:val="left" w:pos="3402"/>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čl. I. Smluvní strany</w:t>
      </w:r>
    </w:p>
    <w:p w:rsidR="00620EEC" w:rsidRDefault="00620EEC">
      <w:pPr>
        <w:tabs>
          <w:tab w:val="left" w:pos="2694"/>
        </w:tabs>
        <w:spacing w:line="200" w:lineRule="atLeast"/>
        <w:ind w:left="567" w:hanging="567"/>
        <w:jc w:val="both"/>
        <w:rPr>
          <w:rFonts w:ascii="Arial Narrow" w:hAnsi="Arial Narrow" w:cs="Arial"/>
          <w:color w:val="000000"/>
          <w:szCs w:val="20"/>
          <w:lang w:eastAsia="ar-SA"/>
        </w:rPr>
      </w:pPr>
      <w:r>
        <w:rPr>
          <w:rFonts w:ascii="Arial" w:hAnsi="Arial" w:cs="Arial"/>
          <w:b/>
          <w:bCs/>
          <w:sz w:val="20"/>
          <w:szCs w:val="20"/>
        </w:rPr>
        <w:t>Objednatel: Správa sportovišť Kopřivnice</w:t>
      </w:r>
      <w:r>
        <w:rPr>
          <w:rFonts w:ascii="Arial" w:hAnsi="Arial" w:cs="Arial"/>
          <w:b/>
          <w:bCs/>
          <w:sz w:val="20"/>
          <w:szCs w:val="20"/>
        </w:rPr>
        <w:tab/>
      </w:r>
    </w:p>
    <w:p w:rsidR="00620EEC" w:rsidRDefault="00620EEC">
      <w:pPr>
        <w:tabs>
          <w:tab w:val="left" w:pos="2694"/>
        </w:tabs>
        <w:suppressAutoHyphens/>
        <w:spacing w:line="200" w:lineRule="atLeast"/>
        <w:ind w:left="567" w:hanging="567"/>
        <w:jc w:val="both"/>
        <w:rPr>
          <w:rFonts w:ascii="Arial Narrow" w:hAnsi="Arial Narrow" w:cs="Arial"/>
          <w:color w:val="000000"/>
          <w:szCs w:val="20"/>
          <w:lang w:eastAsia="ar-SA"/>
        </w:rPr>
      </w:pPr>
      <w:r>
        <w:rPr>
          <w:rFonts w:ascii="Arial Narrow" w:hAnsi="Arial Narrow" w:cs="Arial"/>
          <w:color w:val="000000"/>
          <w:szCs w:val="20"/>
          <w:lang w:eastAsia="ar-SA"/>
        </w:rPr>
        <w:t>zastoupená: Ing. Milan Gilar, statutární ředitel</w:t>
      </w:r>
      <w:r>
        <w:rPr>
          <w:rFonts w:ascii="Arial Narrow" w:hAnsi="Arial Narrow" w:cs="Arial"/>
          <w:b/>
          <w:color w:val="000000"/>
          <w:szCs w:val="20"/>
          <w:lang w:eastAsia="ar-SA"/>
        </w:rPr>
        <w:tab/>
      </w:r>
    </w:p>
    <w:p w:rsidR="00620EEC" w:rsidRDefault="00620EEC">
      <w:pPr>
        <w:tabs>
          <w:tab w:val="left" w:pos="2694"/>
        </w:tabs>
        <w:suppressAutoHyphens/>
        <w:spacing w:line="200" w:lineRule="atLeast"/>
        <w:ind w:left="567" w:hanging="567"/>
        <w:jc w:val="both"/>
        <w:rPr>
          <w:rFonts w:ascii="Arial Narrow" w:hAnsi="Arial Narrow" w:cs="Arial"/>
          <w:bCs/>
          <w:color w:val="000000"/>
          <w:szCs w:val="20"/>
          <w:lang w:eastAsia="ar-SA"/>
        </w:rPr>
      </w:pPr>
      <w:r>
        <w:rPr>
          <w:rFonts w:ascii="Arial Narrow" w:hAnsi="Arial Narrow" w:cs="Arial"/>
          <w:color w:val="000000"/>
          <w:szCs w:val="20"/>
          <w:lang w:eastAsia="ar-SA"/>
        </w:rPr>
        <w:t>adresa:Masarykovo náměstí 540</w:t>
      </w:r>
      <w:r>
        <w:rPr>
          <w:rFonts w:ascii="Arial Narrow" w:hAnsi="Arial Narrow" w:cs="Arial"/>
          <w:b/>
          <w:color w:val="000000"/>
          <w:szCs w:val="20"/>
          <w:lang w:eastAsia="ar-SA"/>
        </w:rPr>
        <w:tab/>
      </w:r>
    </w:p>
    <w:p w:rsidR="00620EEC" w:rsidRDefault="00620EEC">
      <w:pPr>
        <w:tabs>
          <w:tab w:val="left" w:pos="2694"/>
        </w:tabs>
        <w:suppressAutoHyphens/>
        <w:spacing w:line="200" w:lineRule="atLeast"/>
        <w:ind w:left="567" w:hanging="567"/>
        <w:jc w:val="both"/>
        <w:rPr>
          <w:rFonts w:ascii="Arial Narrow" w:hAnsi="Arial Narrow" w:cs="Arial"/>
          <w:bCs/>
          <w:color w:val="000000"/>
          <w:szCs w:val="20"/>
          <w:lang w:eastAsia="ar-SA"/>
        </w:rPr>
      </w:pPr>
      <w:r>
        <w:rPr>
          <w:rFonts w:ascii="Arial Narrow" w:hAnsi="Arial Narrow" w:cs="Arial"/>
          <w:bCs/>
          <w:color w:val="000000"/>
          <w:szCs w:val="20"/>
          <w:lang w:eastAsia="ar-SA"/>
        </w:rPr>
        <w:tab/>
      </w:r>
      <w:r>
        <w:rPr>
          <w:rFonts w:ascii="Arial Narrow" w:hAnsi="Arial Narrow" w:cs="Arial"/>
          <w:bCs/>
          <w:color w:val="000000"/>
          <w:szCs w:val="20"/>
          <w:lang w:eastAsia="ar-SA"/>
        </w:rPr>
        <w:tab/>
      </w:r>
    </w:p>
    <w:p w:rsidR="00620EEC" w:rsidRDefault="00620EEC">
      <w:pPr>
        <w:tabs>
          <w:tab w:val="left" w:pos="2694"/>
        </w:tabs>
        <w:suppressAutoHyphens/>
        <w:spacing w:line="200" w:lineRule="atLeast"/>
        <w:ind w:left="567" w:hanging="567"/>
        <w:jc w:val="both"/>
        <w:rPr>
          <w:rFonts w:ascii="Arial Narrow" w:hAnsi="Arial Narrow" w:cs="Arial"/>
          <w:bCs/>
          <w:color w:val="000000"/>
          <w:szCs w:val="20"/>
          <w:lang w:eastAsia="ar-SA"/>
        </w:rPr>
      </w:pPr>
      <w:r>
        <w:rPr>
          <w:rFonts w:ascii="Arial Narrow" w:hAnsi="Arial Narrow" w:cs="Arial"/>
          <w:bCs/>
          <w:color w:val="000000"/>
          <w:szCs w:val="20"/>
          <w:lang w:eastAsia="ar-SA"/>
        </w:rPr>
        <w:t>IČO:</w:t>
      </w:r>
      <w:r>
        <w:rPr>
          <w:rFonts w:ascii="Arial Narrow" w:hAnsi="Arial Narrow" w:cs="Arial"/>
          <w:b/>
          <w:bCs/>
          <w:color w:val="000000"/>
          <w:szCs w:val="20"/>
          <w:lang w:eastAsia="ar-SA"/>
        </w:rPr>
        <w:tab/>
        <w:t>62331078</w:t>
      </w:r>
      <w:r>
        <w:rPr>
          <w:rFonts w:ascii="Arial Narrow" w:hAnsi="Arial Narrow" w:cs="Arial"/>
          <w:b/>
          <w:bCs/>
          <w:color w:val="000000"/>
          <w:szCs w:val="20"/>
          <w:lang w:eastAsia="ar-SA"/>
        </w:rPr>
        <w:tab/>
      </w:r>
    </w:p>
    <w:p w:rsidR="00620EEC" w:rsidRDefault="00620EEC">
      <w:pPr>
        <w:rPr>
          <w:rFonts w:ascii="Arial Narrow" w:hAnsi="Arial Narrow" w:cs="Arial"/>
          <w:color w:val="000000"/>
          <w:szCs w:val="20"/>
          <w:lang w:eastAsia="ar-SA"/>
        </w:rPr>
      </w:pPr>
      <w:r>
        <w:rPr>
          <w:rFonts w:ascii="Arial Narrow" w:hAnsi="Arial Narrow" w:cs="Arial"/>
          <w:color w:val="000000"/>
          <w:szCs w:val="20"/>
          <w:lang w:eastAsia="ar-SA"/>
        </w:rPr>
        <w:t>příspěvková organizace města Kopřivnice</w:t>
      </w:r>
    </w:p>
    <w:p w:rsidR="00620EEC" w:rsidRDefault="00620EEC">
      <w:pPr>
        <w:rPr>
          <w:rFonts w:ascii="Arial Narrow" w:hAnsi="Arial Narrow" w:cs="Arial Narrow"/>
        </w:rPr>
      </w:pPr>
    </w:p>
    <w:p w:rsidR="00620EEC" w:rsidRDefault="00620EEC">
      <w:pPr>
        <w:spacing w:line="200" w:lineRule="atLeast"/>
        <w:jc w:val="both"/>
        <w:rPr>
          <w:rFonts w:ascii="Arial" w:hAnsi="Arial" w:cs="Arial"/>
          <w:sz w:val="20"/>
          <w:szCs w:val="20"/>
        </w:rPr>
      </w:pPr>
      <w:r>
        <w:rPr>
          <w:rFonts w:ascii="Arial" w:hAnsi="Arial" w:cs="Arial"/>
          <w:sz w:val="20"/>
          <w:szCs w:val="20"/>
        </w:rPr>
        <w:t xml:space="preserve">Oprávnění zástupci, osoby oprávněné </w:t>
      </w:r>
    </w:p>
    <w:p w:rsidR="00620EEC" w:rsidRDefault="00620EEC">
      <w:pPr>
        <w:autoSpaceDE w:val="0"/>
        <w:autoSpaceDN w:val="0"/>
        <w:adjustRightInd w:val="0"/>
        <w:spacing w:before="120" w:after="120"/>
        <w:ind w:left="425"/>
        <w:jc w:val="both"/>
        <w:rPr>
          <w:rFonts w:ascii="Arial" w:hAnsi="Arial" w:cs="Arial"/>
          <w:sz w:val="20"/>
          <w:szCs w:val="20"/>
        </w:rPr>
      </w:pPr>
      <w:r>
        <w:rPr>
          <w:rFonts w:ascii="Arial" w:hAnsi="Arial" w:cs="Arial"/>
          <w:sz w:val="20"/>
          <w:szCs w:val="20"/>
        </w:rPr>
        <w:t>jednat za objednatele ve věcech stavby: Ing. Milan Gilar</w:t>
      </w:r>
      <w:r>
        <w:rPr>
          <w:rFonts w:ascii="Arial" w:hAnsi="Arial" w:cs="Arial"/>
          <w:sz w:val="20"/>
          <w:szCs w:val="20"/>
        </w:rPr>
        <w:tab/>
      </w:r>
    </w:p>
    <w:p w:rsidR="00620EEC" w:rsidRDefault="00620EEC">
      <w:pPr>
        <w:autoSpaceDE w:val="0"/>
        <w:autoSpaceDN w:val="0"/>
        <w:adjustRightInd w:val="0"/>
        <w:ind w:left="426"/>
        <w:jc w:val="both"/>
        <w:rPr>
          <w:rFonts w:ascii="Arial" w:hAnsi="Arial" w:cs="Arial"/>
          <w:b/>
          <w:bCs/>
          <w:color w:val="FF0000"/>
          <w:sz w:val="20"/>
          <w:szCs w:val="20"/>
        </w:rPr>
      </w:pPr>
      <w:r>
        <w:rPr>
          <w:rFonts w:ascii="Arial" w:hAnsi="Arial" w:cs="Arial"/>
          <w:sz w:val="20"/>
          <w:szCs w:val="20"/>
        </w:rPr>
        <w:t>ve věcech smluvních: Ing. Milan Gilar, statutární ředitel</w:t>
      </w:r>
      <w:r>
        <w:rPr>
          <w:rFonts w:ascii="Arial" w:hAnsi="Arial" w:cs="Arial"/>
          <w:sz w:val="20"/>
          <w:szCs w:val="20"/>
        </w:rPr>
        <w:tab/>
      </w:r>
      <w:r>
        <w:rPr>
          <w:rFonts w:ascii="Arial" w:hAnsi="Arial" w:cs="Arial"/>
          <w:sz w:val="20"/>
          <w:szCs w:val="20"/>
        </w:rPr>
        <w:tab/>
      </w:r>
      <w:r>
        <w:rPr>
          <w:rFonts w:ascii="Arial" w:hAnsi="Arial" w:cs="Arial"/>
          <w:sz w:val="20"/>
          <w:szCs w:val="20"/>
        </w:rPr>
        <w:tab/>
      </w:r>
    </w:p>
    <w:p w:rsidR="00620EEC" w:rsidRDefault="00620EEC">
      <w:pPr>
        <w:autoSpaceDE w:val="0"/>
        <w:autoSpaceDN w:val="0"/>
        <w:adjustRightInd w:val="0"/>
        <w:spacing w:before="120" w:after="120"/>
        <w:ind w:left="425"/>
        <w:jc w:val="both"/>
        <w:rPr>
          <w:rFonts w:ascii="Arial" w:hAnsi="Arial" w:cs="Arial"/>
          <w:sz w:val="20"/>
          <w:szCs w:val="20"/>
        </w:rPr>
      </w:pPr>
      <w:r>
        <w:rPr>
          <w:rFonts w:ascii="Arial" w:hAnsi="Arial" w:cs="Arial"/>
          <w:sz w:val="20"/>
          <w:szCs w:val="20"/>
        </w:rPr>
        <w:t>ve věcech technických: Ing. Milan Gilar. Otakar Marák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20EEC" w:rsidRDefault="00620EEC">
      <w:pPr>
        <w:autoSpaceDE w:val="0"/>
        <w:autoSpaceDN w:val="0"/>
        <w:adjustRightInd w:val="0"/>
        <w:spacing w:before="120" w:after="120"/>
        <w:ind w:left="425"/>
        <w:jc w:val="both"/>
        <w:rPr>
          <w:rFonts w:ascii="Arial" w:hAnsi="Arial" w:cs="Arial"/>
          <w:sz w:val="20"/>
          <w:szCs w:val="20"/>
        </w:rPr>
      </w:pPr>
      <w:r>
        <w:rPr>
          <w:rFonts w:ascii="Arial" w:hAnsi="Arial" w:cs="Arial"/>
          <w:sz w:val="20"/>
          <w:szCs w:val="20"/>
        </w:rPr>
        <w:t xml:space="preserve">Osoba oprávněná k převzetí stavby: Ing. Milan Gilar, Otakar Marák </w:t>
      </w:r>
      <w:r>
        <w:rPr>
          <w:rFonts w:ascii="Arial" w:hAnsi="Arial" w:cs="Arial"/>
          <w:color w:val="FF0000"/>
          <w:sz w:val="20"/>
          <w:szCs w:val="20"/>
        </w:rPr>
        <w:tab/>
      </w:r>
    </w:p>
    <w:p w:rsidR="00620EEC" w:rsidRDefault="00620EEC">
      <w:pPr>
        <w:autoSpaceDE w:val="0"/>
        <w:autoSpaceDN w:val="0"/>
        <w:adjustRightInd w:val="0"/>
        <w:spacing w:before="120" w:after="120"/>
        <w:ind w:left="425"/>
        <w:jc w:val="both"/>
        <w:rPr>
          <w:rFonts w:ascii="Arial" w:hAnsi="Arial" w:cs="Arial"/>
          <w:sz w:val="20"/>
          <w:szCs w:val="20"/>
        </w:rPr>
      </w:pPr>
    </w:p>
    <w:p w:rsidR="00620EEC" w:rsidRDefault="00620EEC">
      <w:pPr>
        <w:autoSpaceDE w:val="0"/>
        <w:autoSpaceDN w:val="0"/>
        <w:adjustRightInd w:val="0"/>
        <w:spacing w:before="240" w:after="120"/>
        <w:ind w:left="425" w:hanging="425"/>
        <w:jc w:val="both"/>
        <w:rPr>
          <w:rFonts w:ascii="Arial" w:hAnsi="Arial" w:cs="Arial"/>
          <w:b/>
          <w:bCs/>
          <w:sz w:val="20"/>
          <w:szCs w:val="20"/>
        </w:rPr>
      </w:pPr>
      <w:r>
        <w:rPr>
          <w:rFonts w:ascii="Arial" w:hAnsi="Arial" w:cs="Arial"/>
          <w:b/>
          <w:bCs/>
          <w:sz w:val="20"/>
          <w:szCs w:val="20"/>
        </w:rPr>
        <w:t>Zhotovitel:SPORT Construction a.s.</w:t>
      </w:r>
      <w:r>
        <w:rPr>
          <w:rFonts w:ascii="Arial" w:hAnsi="Arial" w:cs="Arial"/>
          <w:b/>
          <w:bCs/>
          <w:sz w:val="20"/>
          <w:szCs w:val="20"/>
        </w:rPr>
        <w:tab/>
        <w:t xml:space="preserve">                        </w:t>
      </w:r>
    </w:p>
    <w:p w:rsidR="00620EEC" w:rsidRDefault="00620EEC">
      <w:pPr>
        <w:autoSpaceDE w:val="0"/>
        <w:autoSpaceDN w:val="0"/>
        <w:adjustRightInd w:val="0"/>
        <w:spacing w:before="120" w:after="120"/>
        <w:ind w:left="425"/>
        <w:jc w:val="both"/>
        <w:rPr>
          <w:rFonts w:ascii="Arial" w:hAnsi="Arial" w:cs="Arial"/>
          <w:sz w:val="20"/>
          <w:szCs w:val="20"/>
        </w:rPr>
      </w:pPr>
      <w:r>
        <w:rPr>
          <w:rFonts w:ascii="Arial" w:hAnsi="Arial" w:cs="Arial"/>
          <w:sz w:val="20"/>
          <w:szCs w:val="20"/>
        </w:rPr>
        <w:t>zastoupený Petr Klár, statutární ředitel</w:t>
      </w:r>
      <w:r>
        <w:rPr>
          <w:rFonts w:ascii="Arial" w:hAnsi="Arial" w:cs="Arial"/>
          <w:sz w:val="20"/>
          <w:szCs w:val="20"/>
        </w:rPr>
        <w:tab/>
        <w:t xml:space="preserve">           </w:t>
      </w:r>
    </w:p>
    <w:p w:rsidR="00620EEC" w:rsidRDefault="00620EEC">
      <w:pPr>
        <w:autoSpaceDE w:val="0"/>
        <w:autoSpaceDN w:val="0"/>
        <w:adjustRightInd w:val="0"/>
        <w:ind w:left="426"/>
        <w:jc w:val="both"/>
        <w:rPr>
          <w:rFonts w:ascii="Arial" w:hAnsi="Arial" w:cs="Arial"/>
          <w:sz w:val="20"/>
          <w:szCs w:val="20"/>
        </w:rPr>
      </w:pPr>
      <w:r>
        <w:rPr>
          <w:rFonts w:ascii="Arial" w:hAnsi="Arial" w:cs="Arial"/>
          <w:sz w:val="20"/>
          <w:szCs w:val="20"/>
        </w:rPr>
        <w:t>Sídlo: Jindřižská 2092/28</w:t>
      </w:r>
      <w:r>
        <w:rPr>
          <w:rFonts w:ascii="Arial" w:hAnsi="Arial" w:cs="Arial"/>
          <w:sz w:val="20"/>
          <w:szCs w:val="20"/>
        </w:rPr>
        <w:tab/>
      </w:r>
      <w:r>
        <w:rPr>
          <w:rFonts w:ascii="Arial" w:hAnsi="Arial" w:cs="Arial"/>
          <w:sz w:val="20"/>
          <w:szCs w:val="20"/>
        </w:rPr>
        <w:tab/>
        <w:t xml:space="preserve">           </w:t>
      </w:r>
    </w:p>
    <w:p w:rsidR="00620EEC" w:rsidRDefault="00620EEC">
      <w:pPr>
        <w:autoSpaceDE w:val="0"/>
        <w:autoSpaceDN w:val="0"/>
        <w:adjustRightInd w:val="0"/>
        <w:ind w:left="426"/>
        <w:jc w:val="both"/>
        <w:rPr>
          <w:rFonts w:ascii="Arial" w:hAnsi="Arial" w:cs="Arial"/>
          <w:sz w:val="20"/>
          <w:szCs w:val="20"/>
        </w:rPr>
      </w:pPr>
      <w:r>
        <w:rPr>
          <w:rFonts w:ascii="Arial" w:hAnsi="Arial" w:cs="Arial"/>
          <w:sz w:val="20"/>
          <w:szCs w:val="20"/>
        </w:rPr>
        <w:t>IČ:</w:t>
      </w:r>
      <w:r>
        <w:rPr>
          <w:rFonts w:ascii="Arial" w:hAnsi="Arial" w:cs="Arial"/>
          <w:sz w:val="20"/>
          <w:szCs w:val="20"/>
        </w:rPr>
        <w:tab/>
        <w:t>27752771</w:t>
      </w:r>
      <w:r>
        <w:rPr>
          <w:rFonts w:ascii="Arial" w:hAnsi="Arial" w:cs="Arial"/>
          <w:sz w:val="20"/>
          <w:szCs w:val="20"/>
        </w:rPr>
        <w:tab/>
      </w:r>
      <w:r>
        <w:rPr>
          <w:rFonts w:ascii="Arial" w:hAnsi="Arial" w:cs="Arial"/>
          <w:sz w:val="20"/>
          <w:szCs w:val="20"/>
        </w:rPr>
        <w:tab/>
        <w:t xml:space="preserve">           </w:t>
      </w:r>
    </w:p>
    <w:p w:rsidR="00620EEC" w:rsidRDefault="00620EEC">
      <w:pPr>
        <w:autoSpaceDE w:val="0"/>
        <w:autoSpaceDN w:val="0"/>
        <w:adjustRightInd w:val="0"/>
        <w:ind w:left="426"/>
        <w:jc w:val="both"/>
        <w:rPr>
          <w:rFonts w:ascii="Arial" w:hAnsi="Arial" w:cs="Arial"/>
          <w:sz w:val="20"/>
          <w:szCs w:val="20"/>
        </w:rPr>
      </w:pPr>
      <w:r>
        <w:rPr>
          <w:rFonts w:ascii="Arial" w:hAnsi="Arial" w:cs="Arial"/>
          <w:sz w:val="20"/>
          <w:szCs w:val="20"/>
        </w:rPr>
        <w:t>DIČ:CZ699002976</w:t>
      </w:r>
      <w:r>
        <w:rPr>
          <w:rFonts w:ascii="Arial" w:hAnsi="Arial" w:cs="Arial"/>
          <w:sz w:val="20"/>
          <w:szCs w:val="20"/>
        </w:rPr>
        <w:tab/>
      </w:r>
      <w:r>
        <w:rPr>
          <w:rFonts w:ascii="Arial" w:hAnsi="Arial" w:cs="Arial"/>
          <w:sz w:val="20"/>
          <w:szCs w:val="20"/>
        </w:rPr>
        <w:tab/>
        <w:t xml:space="preserve">           </w:t>
      </w:r>
    </w:p>
    <w:p w:rsidR="00620EEC" w:rsidRDefault="00620EEC">
      <w:pPr>
        <w:autoSpaceDE w:val="0"/>
        <w:autoSpaceDN w:val="0"/>
        <w:adjustRightInd w:val="0"/>
        <w:spacing w:before="120" w:after="120"/>
        <w:ind w:left="425"/>
        <w:jc w:val="both"/>
        <w:rPr>
          <w:rFonts w:ascii="Arial" w:hAnsi="Arial" w:cs="Arial"/>
          <w:sz w:val="20"/>
          <w:szCs w:val="20"/>
        </w:rPr>
      </w:pPr>
      <w:r>
        <w:rPr>
          <w:rFonts w:ascii="Arial" w:hAnsi="Arial" w:cs="Arial"/>
          <w:sz w:val="20"/>
          <w:szCs w:val="20"/>
        </w:rPr>
        <w:t>Společnost je zapsána OR u Městského soudu v Praze, oddíl B, vložka 22904</w:t>
      </w:r>
    </w:p>
    <w:p w:rsidR="00620EEC" w:rsidRDefault="00620EEC">
      <w:pPr>
        <w:autoSpaceDE w:val="0"/>
        <w:autoSpaceDN w:val="0"/>
        <w:adjustRightInd w:val="0"/>
        <w:ind w:left="426"/>
        <w:jc w:val="both"/>
        <w:rPr>
          <w:rFonts w:ascii="Arial" w:hAnsi="Arial" w:cs="Arial"/>
          <w:sz w:val="20"/>
          <w:szCs w:val="20"/>
        </w:rPr>
      </w:pPr>
      <w:r>
        <w:rPr>
          <w:rFonts w:ascii="Arial" w:hAnsi="Arial" w:cs="Arial"/>
          <w:sz w:val="20"/>
          <w:szCs w:val="20"/>
        </w:rPr>
        <w:t xml:space="preserve">Bank.spojení: Komerční banka a,s,, č.ú. 43-1840480267/0100                   </w:t>
      </w:r>
      <w:r>
        <w:rPr>
          <w:rFonts w:ascii="Arial" w:hAnsi="Arial" w:cs="Arial"/>
          <w:sz w:val="20"/>
          <w:szCs w:val="20"/>
        </w:rPr>
        <w:tab/>
      </w:r>
    </w:p>
    <w:p w:rsidR="00620EEC" w:rsidRDefault="00620EEC">
      <w:pPr>
        <w:autoSpaceDE w:val="0"/>
        <w:autoSpaceDN w:val="0"/>
        <w:adjustRightInd w:val="0"/>
        <w:ind w:left="426"/>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620EEC" w:rsidRDefault="00620EEC">
      <w:pPr>
        <w:autoSpaceDE w:val="0"/>
        <w:autoSpaceDN w:val="0"/>
        <w:adjustRightInd w:val="0"/>
        <w:spacing w:before="120" w:after="120"/>
        <w:ind w:left="425"/>
        <w:jc w:val="both"/>
        <w:rPr>
          <w:rFonts w:ascii="Arial" w:hAnsi="Arial" w:cs="Arial"/>
          <w:sz w:val="20"/>
          <w:szCs w:val="20"/>
        </w:rPr>
      </w:pPr>
    </w:p>
    <w:p w:rsidR="00620EEC" w:rsidRDefault="00620EEC">
      <w:pPr>
        <w:autoSpaceDE w:val="0"/>
        <w:autoSpaceDN w:val="0"/>
        <w:adjustRightInd w:val="0"/>
        <w:spacing w:before="120" w:after="120"/>
        <w:ind w:left="425"/>
        <w:jc w:val="both"/>
        <w:rPr>
          <w:rFonts w:ascii="Arial" w:hAnsi="Arial" w:cs="Arial"/>
          <w:sz w:val="20"/>
          <w:szCs w:val="20"/>
        </w:rPr>
      </w:pPr>
      <w:r>
        <w:rPr>
          <w:rFonts w:ascii="Arial" w:hAnsi="Arial" w:cs="Arial"/>
          <w:sz w:val="20"/>
          <w:szCs w:val="20"/>
        </w:rPr>
        <w:t>Oprávnění zástupci, osoby oprávněné jednat ve věcech stavby :</w:t>
      </w:r>
      <w:r>
        <w:rPr>
          <w:rFonts w:ascii="Arial" w:hAnsi="Arial" w:cs="Arial"/>
          <w:sz w:val="20"/>
          <w:szCs w:val="20"/>
        </w:rPr>
        <w:tab/>
      </w:r>
    </w:p>
    <w:p w:rsidR="00620EEC" w:rsidRDefault="00620EEC">
      <w:pPr>
        <w:autoSpaceDE w:val="0"/>
        <w:autoSpaceDN w:val="0"/>
        <w:adjustRightInd w:val="0"/>
        <w:ind w:left="426"/>
        <w:jc w:val="both"/>
        <w:rPr>
          <w:rFonts w:ascii="Arial" w:hAnsi="Arial" w:cs="Arial"/>
          <w:sz w:val="20"/>
          <w:szCs w:val="20"/>
        </w:rPr>
      </w:pPr>
      <w:r>
        <w:rPr>
          <w:rFonts w:ascii="Arial" w:hAnsi="Arial" w:cs="Arial"/>
          <w:sz w:val="20"/>
          <w:szCs w:val="20"/>
        </w:rPr>
        <w:t>ve věcech smluvních:Petr Klár, statutární ředitel</w:t>
      </w:r>
      <w:r>
        <w:rPr>
          <w:rFonts w:ascii="Arial" w:hAnsi="Arial" w:cs="Arial"/>
          <w:sz w:val="20"/>
          <w:szCs w:val="20"/>
        </w:rPr>
        <w:tab/>
        <w:t xml:space="preserve">                </w:t>
      </w:r>
      <w:r>
        <w:rPr>
          <w:rFonts w:ascii="Arial" w:hAnsi="Arial" w:cs="Arial"/>
          <w:sz w:val="20"/>
          <w:szCs w:val="20"/>
        </w:rPr>
        <w:tab/>
      </w:r>
    </w:p>
    <w:p w:rsidR="00620EEC" w:rsidRDefault="00620EEC">
      <w:pPr>
        <w:autoSpaceDE w:val="0"/>
        <w:autoSpaceDN w:val="0"/>
        <w:adjustRightInd w:val="0"/>
        <w:spacing w:before="140"/>
        <w:ind w:left="425"/>
        <w:jc w:val="both"/>
        <w:rPr>
          <w:rFonts w:ascii="Arial" w:hAnsi="Arial" w:cs="Arial"/>
          <w:sz w:val="20"/>
          <w:szCs w:val="20"/>
        </w:rPr>
      </w:pPr>
      <w:r>
        <w:rPr>
          <w:rFonts w:ascii="Arial" w:hAnsi="Arial" w:cs="Arial"/>
          <w:sz w:val="20"/>
          <w:szCs w:val="20"/>
        </w:rPr>
        <w:t>ve věcech technických: Ing. Josef Slámka, Ing. Tomáš Drozdek</w:t>
      </w:r>
      <w:r>
        <w:rPr>
          <w:rFonts w:ascii="Arial" w:hAnsi="Arial" w:cs="Arial"/>
          <w:sz w:val="20"/>
          <w:szCs w:val="20"/>
        </w:rPr>
        <w:tab/>
        <w:t xml:space="preserve">                </w:t>
      </w:r>
      <w:r>
        <w:rPr>
          <w:rFonts w:ascii="Arial" w:hAnsi="Arial" w:cs="Arial"/>
          <w:sz w:val="20"/>
          <w:szCs w:val="20"/>
        </w:rPr>
        <w:tab/>
      </w:r>
    </w:p>
    <w:p w:rsidR="00620EEC" w:rsidRDefault="00620EEC">
      <w:pPr>
        <w:autoSpaceDE w:val="0"/>
        <w:autoSpaceDN w:val="0"/>
        <w:adjustRightInd w:val="0"/>
        <w:spacing w:before="120" w:after="120"/>
        <w:ind w:left="425"/>
        <w:jc w:val="both"/>
        <w:rPr>
          <w:rFonts w:ascii="Arial" w:hAnsi="Arial" w:cs="Arial"/>
          <w:sz w:val="20"/>
          <w:szCs w:val="20"/>
        </w:rPr>
      </w:pPr>
      <w:r>
        <w:rPr>
          <w:rFonts w:ascii="Arial" w:hAnsi="Arial" w:cs="Arial"/>
          <w:sz w:val="20"/>
          <w:szCs w:val="20"/>
        </w:rPr>
        <w:t xml:space="preserve">Osoba oprávněná k převzetí stavby: Ing. Josef Slámka, Ing. Tomáš Drozdek  </w:t>
      </w:r>
      <w:r>
        <w:rPr>
          <w:rFonts w:ascii="Arial" w:hAnsi="Arial" w:cs="Arial"/>
          <w:sz w:val="20"/>
          <w:szCs w:val="20"/>
        </w:rPr>
        <w:tab/>
      </w:r>
    </w:p>
    <w:p w:rsidR="00620EEC" w:rsidRDefault="00620EEC">
      <w:pPr>
        <w:autoSpaceDE w:val="0"/>
        <w:autoSpaceDN w:val="0"/>
        <w:adjustRightInd w:val="0"/>
        <w:ind w:left="426"/>
        <w:jc w:val="both"/>
        <w:rPr>
          <w:rFonts w:ascii="Arial" w:hAnsi="Arial" w:cs="Arial"/>
          <w:sz w:val="20"/>
          <w:szCs w:val="20"/>
        </w:rPr>
      </w:pPr>
    </w:p>
    <w:p w:rsidR="00620EEC" w:rsidRDefault="00620EEC">
      <w:pPr>
        <w:widowControl w:val="0"/>
        <w:autoSpaceDE w:val="0"/>
        <w:autoSpaceDN w:val="0"/>
        <w:adjustRightInd w:val="0"/>
        <w:rPr>
          <w:rFonts w:ascii="Arial" w:hAnsi="Arial" w:cs="Arial"/>
          <w:b/>
          <w:bCs/>
          <w:sz w:val="20"/>
          <w:szCs w:val="20"/>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čl. II. Předmět díla</w:t>
      </w:r>
    </w:p>
    <w:p w:rsidR="00620EEC" w:rsidRDefault="00620EEC">
      <w:pPr>
        <w:numPr>
          <w:ilvl w:val="0"/>
          <w:numId w:val="2"/>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Touto smlouvou se zhotovitel zavazuje k provedení díla a objednatel se zavazuje k zaplacení ceny za dílo.</w:t>
      </w:r>
    </w:p>
    <w:p w:rsidR="00620EEC" w:rsidRDefault="00620EEC">
      <w:pPr>
        <w:numPr>
          <w:ilvl w:val="0"/>
          <w:numId w:val="2"/>
        </w:numPr>
        <w:tabs>
          <w:tab w:val="left" w:pos="426"/>
        </w:tabs>
        <w:autoSpaceDE w:val="0"/>
        <w:autoSpaceDN w:val="0"/>
        <w:adjustRightInd w:val="0"/>
        <w:spacing w:after="120"/>
        <w:jc w:val="both"/>
        <w:rPr>
          <w:rFonts w:ascii="Arial" w:hAnsi="Arial" w:cs="Arial"/>
          <w:b/>
          <w:bCs/>
          <w:sz w:val="20"/>
          <w:szCs w:val="20"/>
        </w:rPr>
      </w:pPr>
      <w:r>
        <w:rPr>
          <w:rFonts w:ascii="Arial" w:hAnsi="Arial" w:cs="Arial"/>
          <w:sz w:val="20"/>
          <w:szCs w:val="20"/>
        </w:rPr>
        <w:t xml:space="preserve">Předmětem plnění dle této smlouvy je dodávka stavebních prací, které jsou předmětem zakázky s názvem </w:t>
      </w:r>
      <w:r>
        <w:rPr>
          <w:rFonts w:ascii="Arial" w:hAnsi="Arial" w:cs="Arial"/>
          <w:b/>
          <w:bCs/>
        </w:rPr>
        <w:t>„Letní stadion- obruby, sportovní vybavení, šachty odvodnění “.</w:t>
      </w:r>
      <w:r>
        <w:rPr>
          <w:rFonts w:ascii="Arial" w:hAnsi="Arial" w:cs="Arial"/>
          <w:b/>
          <w:bCs/>
          <w:sz w:val="20"/>
          <w:szCs w:val="20"/>
        </w:rPr>
        <w:t xml:space="preserve"> </w:t>
      </w:r>
      <w:r>
        <w:rPr>
          <w:rFonts w:ascii="Arial" w:hAnsi="Arial" w:cs="Arial"/>
          <w:sz w:val="20"/>
          <w:szCs w:val="20"/>
        </w:rPr>
        <w:t>v rozsahu specifikovaném v čl. III. (dále též „dílo“)</w:t>
      </w:r>
    </w:p>
    <w:p w:rsidR="00620EEC" w:rsidRDefault="00620EEC">
      <w:pPr>
        <w:pStyle w:val="Odstavecseseznamem"/>
        <w:numPr>
          <w:ilvl w:val="0"/>
          <w:numId w:val="2"/>
        </w:numPr>
        <w:tabs>
          <w:tab w:val="left" w:pos="426"/>
        </w:tabs>
        <w:autoSpaceDE w:val="0"/>
        <w:autoSpaceDN w:val="0"/>
        <w:adjustRightInd w:val="0"/>
        <w:spacing w:after="120"/>
        <w:ind w:left="426"/>
        <w:jc w:val="both"/>
      </w:pPr>
      <w:r>
        <w:rPr>
          <w:rFonts w:ascii="Arial" w:hAnsi="Arial" w:cs="Arial"/>
          <w:sz w:val="20"/>
          <w:szCs w:val="20"/>
        </w:rPr>
        <w:t xml:space="preserve">Místem plnění </w:t>
      </w:r>
      <w:r>
        <w:t>je Kopřivnice letní stadion.</w:t>
      </w: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čl. III. Podklady pro provedení díla</w:t>
      </w:r>
    </w:p>
    <w:p w:rsidR="00620EEC" w:rsidRDefault="00620EEC">
      <w:pPr>
        <w:tabs>
          <w:tab w:val="left" w:pos="426"/>
        </w:tabs>
        <w:autoSpaceDE w:val="0"/>
        <w:autoSpaceDN w:val="0"/>
        <w:adjustRightInd w:val="0"/>
        <w:ind w:left="360"/>
        <w:jc w:val="both"/>
        <w:rPr>
          <w:rFonts w:ascii="Arial" w:hAnsi="Arial" w:cs="Arial"/>
          <w:sz w:val="20"/>
          <w:szCs w:val="20"/>
        </w:rPr>
      </w:pPr>
      <w:r>
        <w:rPr>
          <w:rFonts w:ascii="Arial" w:hAnsi="Arial" w:cs="Arial"/>
          <w:sz w:val="20"/>
          <w:szCs w:val="20"/>
        </w:rPr>
        <w:t>Dílo bude provedeno v rozsahu a kvalitě vyplývající z následujících podkladů: Cenová nabídka zhotovitele – oceněný výkaz výměr, jehož obsahem jsou odsouhlasené ceny za dílo a odsouhlasený nabídkový propočet, který tvoří Přílohu č. 1 jako součást této smlouvy.</w:t>
      </w: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 xml:space="preserve">čl. IV. Cena díla </w:t>
      </w:r>
    </w:p>
    <w:p w:rsidR="00620EEC" w:rsidRDefault="00620EEC">
      <w:pPr>
        <w:numPr>
          <w:ilvl w:val="0"/>
          <w:numId w:val="6"/>
        </w:numPr>
        <w:tabs>
          <w:tab w:val="left" w:pos="426"/>
        </w:tabs>
        <w:autoSpaceDE w:val="0"/>
        <w:autoSpaceDN w:val="0"/>
        <w:adjustRightInd w:val="0"/>
        <w:jc w:val="both"/>
        <w:rPr>
          <w:rFonts w:ascii="Arial" w:hAnsi="Arial" w:cs="Arial"/>
          <w:sz w:val="20"/>
          <w:szCs w:val="20"/>
        </w:rPr>
      </w:pPr>
      <w:r>
        <w:rPr>
          <w:rFonts w:ascii="Arial" w:hAnsi="Arial" w:cs="Arial"/>
          <w:sz w:val="20"/>
          <w:szCs w:val="20"/>
        </w:rPr>
        <w:t>Smluvní cena za dílo podle této smlouvy byla stanovena na základě cenové nabídky zhotovitele a činí:</w:t>
      </w:r>
    </w:p>
    <w:tbl>
      <w:tblPr>
        <w:tblW w:w="0" w:type="auto"/>
        <w:tblInd w:w="108" w:type="dxa"/>
        <w:tblLayout w:type="fixed"/>
        <w:tblLook w:val="0000" w:firstRow="0" w:lastRow="0" w:firstColumn="0" w:lastColumn="0" w:noHBand="0" w:noVBand="0"/>
      </w:tblPr>
      <w:tblGrid>
        <w:gridCol w:w="2869"/>
        <w:gridCol w:w="1985"/>
        <w:gridCol w:w="1984"/>
        <w:gridCol w:w="2158"/>
      </w:tblGrid>
      <w:tr w:rsidR="00620EEC">
        <w:trPr>
          <w:trHeight w:val="279"/>
        </w:trPr>
        <w:tc>
          <w:tcPr>
            <w:tcW w:w="286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after="120"/>
              <w:jc w:val="center"/>
              <w:rPr>
                <w:rFonts w:ascii="Calibri" w:hAnsi="Calibri" w:cs="Calibri"/>
                <w:sz w:val="22"/>
                <w:szCs w:val="22"/>
              </w:rPr>
            </w:pPr>
            <w:r>
              <w:rPr>
                <w:rFonts w:ascii="Arial" w:hAnsi="Arial" w:cs="Arial"/>
                <w:sz w:val="16"/>
                <w:szCs w:val="16"/>
              </w:rPr>
              <w:t>PŘEDMĚT DÍLA</w:t>
            </w:r>
          </w:p>
        </w:tc>
        <w:tc>
          <w:tcPr>
            <w:tcW w:w="612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after="120"/>
              <w:jc w:val="center"/>
              <w:rPr>
                <w:rFonts w:ascii="Calibri" w:hAnsi="Calibri" w:cs="Calibri"/>
                <w:sz w:val="22"/>
                <w:szCs w:val="22"/>
              </w:rPr>
            </w:pPr>
            <w:r>
              <w:rPr>
                <w:rFonts w:ascii="Arial" w:hAnsi="Arial" w:cs="Arial"/>
                <w:sz w:val="16"/>
                <w:szCs w:val="16"/>
              </w:rPr>
              <w:t>CENA DÍLA V Kč</w:t>
            </w:r>
          </w:p>
        </w:tc>
      </w:tr>
      <w:tr w:rsidR="00620EEC">
        <w:trPr>
          <w:trHeight w:val="235"/>
        </w:trPr>
        <w:tc>
          <w:tcPr>
            <w:tcW w:w="286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autoSpaceDE w:val="0"/>
              <w:autoSpaceDN w:val="0"/>
              <w:adjustRightInd w:val="0"/>
              <w:spacing w:after="200" w:line="276" w:lineRule="auto"/>
              <w:rPr>
                <w:rFonts w:ascii="Calibri" w:hAnsi="Calibri" w:cs="Calibri"/>
                <w:sz w:val="22"/>
                <w:szCs w:val="22"/>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after="120"/>
              <w:jc w:val="center"/>
              <w:rPr>
                <w:rFonts w:ascii="Calibri" w:hAnsi="Calibri" w:cs="Calibri"/>
                <w:sz w:val="22"/>
                <w:szCs w:val="22"/>
              </w:rPr>
            </w:pPr>
            <w:r>
              <w:rPr>
                <w:rFonts w:ascii="Arial" w:hAnsi="Arial" w:cs="Arial"/>
                <w:sz w:val="16"/>
                <w:szCs w:val="16"/>
              </w:rPr>
              <w:t>CENA BEZ DPH</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after="120"/>
              <w:jc w:val="center"/>
              <w:rPr>
                <w:rFonts w:ascii="Calibri" w:hAnsi="Calibri" w:cs="Calibri"/>
                <w:sz w:val="22"/>
                <w:szCs w:val="22"/>
              </w:rPr>
            </w:pPr>
            <w:r>
              <w:rPr>
                <w:rFonts w:ascii="Arial" w:hAnsi="Arial" w:cs="Arial"/>
                <w:sz w:val="16"/>
                <w:szCs w:val="16"/>
              </w:rPr>
              <w:t>DPH</w:t>
            </w:r>
          </w:p>
        </w:tc>
        <w:tc>
          <w:tcPr>
            <w:tcW w:w="2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after="120"/>
              <w:jc w:val="center"/>
              <w:rPr>
                <w:rFonts w:ascii="Calibri" w:hAnsi="Calibri" w:cs="Calibri"/>
                <w:sz w:val="22"/>
                <w:szCs w:val="22"/>
              </w:rPr>
            </w:pPr>
            <w:r>
              <w:rPr>
                <w:rFonts w:ascii="Arial" w:hAnsi="Arial" w:cs="Arial"/>
                <w:sz w:val="16"/>
                <w:szCs w:val="16"/>
              </w:rPr>
              <w:t>CENA VČETNĚ DPH</w:t>
            </w:r>
          </w:p>
        </w:tc>
      </w:tr>
      <w:tr w:rsidR="00620EEC">
        <w:trPr>
          <w:trHeight w:val="534"/>
        </w:trPr>
        <w:tc>
          <w:tcPr>
            <w:tcW w:w="28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rPr>
                <w:rFonts w:ascii="Calibri" w:hAnsi="Calibri" w:cs="Calibri"/>
                <w:sz w:val="22"/>
                <w:szCs w:val="22"/>
              </w:rPr>
            </w:pPr>
            <w:r>
              <w:rPr>
                <w:rFonts w:ascii="Arial" w:hAnsi="Arial" w:cs="Arial"/>
                <w:b/>
                <w:bCs/>
                <w:sz w:val="20"/>
                <w:szCs w:val="20"/>
              </w:rPr>
              <w:t>„Letní stadion- obruby, sportovní vybavení, šachty odvodnění</w:t>
            </w:r>
            <w:r>
              <w:rPr>
                <w:rFonts w:ascii="Arial" w:hAnsi="Arial" w:cs="Arial"/>
                <w:b/>
                <w:bCs/>
              </w:rPr>
              <w:t xml:space="preserve"> </w:t>
            </w:r>
            <w:r>
              <w:rPr>
                <w:rFonts w:ascii="Arial" w:hAnsi="Arial" w:cs="Arial"/>
                <w:b/>
                <w:bCs/>
                <w:sz w:val="20"/>
                <w:szCs w:val="20"/>
              </w:rPr>
              <w:t xml:space="preserve">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after="120"/>
              <w:jc w:val="center"/>
              <w:rPr>
                <w:rFonts w:ascii="Calibri" w:hAnsi="Calibri" w:cs="Calibri"/>
                <w:sz w:val="22"/>
                <w:szCs w:val="22"/>
              </w:rPr>
            </w:pPr>
            <w:r>
              <w:rPr>
                <w:rFonts w:ascii="Calibri" w:hAnsi="Calibri" w:cs="Calibri"/>
                <w:sz w:val="22"/>
                <w:szCs w:val="22"/>
              </w:rPr>
              <w:t>321 615,99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after="120"/>
              <w:jc w:val="center"/>
              <w:rPr>
                <w:rFonts w:ascii="Calibri" w:hAnsi="Calibri" w:cs="Calibri"/>
                <w:sz w:val="22"/>
                <w:szCs w:val="22"/>
              </w:rPr>
            </w:pPr>
            <w:r>
              <w:rPr>
                <w:rFonts w:ascii="Calibri" w:hAnsi="Calibri" w:cs="Calibri"/>
                <w:sz w:val="22"/>
                <w:szCs w:val="22"/>
              </w:rPr>
              <w:t>67 539,00</w:t>
            </w:r>
          </w:p>
        </w:tc>
        <w:tc>
          <w:tcPr>
            <w:tcW w:w="2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20EEC" w:rsidRDefault="00620EEC">
            <w:pPr>
              <w:tabs>
                <w:tab w:val="left" w:pos="426"/>
              </w:tabs>
              <w:autoSpaceDE w:val="0"/>
              <w:autoSpaceDN w:val="0"/>
              <w:adjustRightInd w:val="0"/>
              <w:spacing w:before="120" w:after="120"/>
              <w:jc w:val="center"/>
              <w:rPr>
                <w:rFonts w:ascii="Calibri" w:hAnsi="Calibri" w:cs="Calibri"/>
                <w:b/>
                <w:bCs/>
                <w:sz w:val="22"/>
                <w:szCs w:val="22"/>
              </w:rPr>
            </w:pPr>
            <w:r>
              <w:rPr>
                <w:rFonts w:ascii="Calibri" w:hAnsi="Calibri" w:cs="Calibri"/>
                <w:b/>
                <w:bCs/>
                <w:sz w:val="22"/>
                <w:szCs w:val="22"/>
              </w:rPr>
              <w:t>389 1555,-</w:t>
            </w:r>
          </w:p>
        </w:tc>
      </w:tr>
    </w:tbl>
    <w:p w:rsidR="00620EEC" w:rsidRDefault="00620EEC">
      <w:pPr>
        <w:tabs>
          <w:tab w:val="left" w:pos="426"/>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    </w:t>
      </w:r>
    </w:p>
    <w:p w:rsidR="00620EEC" w:rsidRDefault="00620EEC">
      <w:pPr>
        <w:numPr>
          <w:ilvl w:val="0"/>
          <w:numId w:val="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Cena díla se sjednává na základě rozpočtu daného s výhradou nezaručující jeho úplnost, pokud v průběhu realizace díla nastanou situace popsané níže, pro které je možné sjednanou cenu díla překročit. Nedojde-li k situaci popsané níže, na základě které lze překročit cenu stanovenou rozpočtem, má se za to, že cena stanovená rozpočtem zahrnuje veškeré náklady spojené se splněním předmětu veřejné zakázky (smlouvy) v rozsahu stanoveném zadávacími podmínkami zakázky v nabízeném termínu a kvalitě a její změnu lze provést pouze za podmínek vymezených v í dokumentaci objednatele.</w:t>
      </w:r>
    </w:p>
    <w:p w:rsidR="00620EEC" w:rsidRDefault="00620EEC">
      <w:pPr>
        <w:numPr>
          <w:ilvl w:val="0"/>
          <w:numId w:val="6"/>
        </w:numPr>
        <w:tabs>
          <w:tab w:val="left" w:pos="426"/>
        </w:tabs>
        <w:autoSpaceDE w:val="0"/>
        <w:autoSpaceDN w:val="0"/>
        <w:adjustRightInd w:val="0"/>
        <w:jc w:val="both"/>
        <w:rPr>
          <w:rFonts w:ascii="Arial" w:hAnsi="Arial" w:cs="Arial"/>
          <w:sz w:val="20"/>
          <w:szCs w:val="20"/>
        </w:rPr>
      </w:pPr>
      <w:r>
        <w:rPr>
          <w:rFonts w:ascii="Arial" w:hAnsi="Arial" w:cs="Arial"/>
          <w:sz w:val="20"/>
          <w:szCs w:val="20"/>
        </w:rPr>
        <w:t>Cenu lze překročit za podmínek stanovených zadávacími podmínkami veřejné zakázky pouze v těchto případech:</w:t>
      </w:r>
    </w:p>
    <w:p w:rsidR="00620EEC" w:rsidRDefault="00620EEC">
      <w:pPr>
        <w:numPr>
          <w:ilvl w:val="0"/>
          <w:numId w:val="9"/>
        </w:numPr>
        <w:tabs>
          <w:tab w:val="left" w:pos="794"/>
          <w:tab w:val="left" w:pos="851"/>
        </w:tabs>
        <w:autoSpaceDE w:val="0"/>
        <w:autoSpaceDN w:val="0"/>
        <w:adjustRightInd w:val="0"/>
        <w:spacing w:before="120" w:after="120"/>
        <w:jc w:val="both"/>
        <w:rPr>
          <w:rFonts w:ascii="Arial" w:hAnsi="Arial" w:cs="Arial"/>
          <w:sz w:val="20"/>
          <w:szCs w:val="20"/>
        </w:rPr>
      </w:pPr>
      <w:r>
        <w:rPr>
          <w:rFonts w:ascii="Arial" w:hAnsi="Arial" w:cs="Arial"/>
          <w:sz w:val="20"/>
          <w:szCs w:val="20"/>
        </w:rPr>
        <w:t>dojde-li ke změně daňových či jiných právních předpisů majících vliv na výši nabídnuté ceny;</w:t>
      </w:r>
    </w:p>
    <w:p w:rsidR="00620EEC" w:rsidRDefault="00620EEC">
      <w:pPr>
        <w:numPr>
          <w:ilvl w:val="0"/>
          <w:numId w:val="9"/>
        </w:numPr>
        <w:tabs>
          <w:tab w:val="left" w:pos="794"/>
          <w:tab w:val="left" w:pos="851"/>
        </w:tabs>
        <w:autoSpaceDE w:val="0"/>
        <w:autoSpaceDN w:val="0"/>
        <w:adjustRightInd w:val="0"/>
        <w:spacing w:before="120" w:after="120"/>
        <w:jc w:val="both"/>
        <w:rPr>
          <w:rFonts w:ascii="Arial" w:hAnsi="Arial" w:cs="Arial"/>
          <w:sz w:val="20"/>
          <w:szCs w:val="20"/>
        </w:rPr>
      </w:pPr>
      <w:r>
        <w:rPr>
          <w:rFonts w:ascii="Arial" w:hAnsi="Arial" w:cs="Arial"/>
          <w:sz w:val="20"/>
          <w:szCs w:val="20"/>
        </w:rPr>
        <w:t>v případě, že se během provádění díla objeví potřeba změn či úprav provedení díla, na základě zjištěných skrytých překážek, jež nebyly předvídatelné v době uzavření smlouvy a zpracování výkazu výměr v zadávací dokumentaci (např. vyšší kubatury prací zjištěné po odkrytí konstrukcí,  překládky nedokladovaných inženýrských sítí apod.); případné změny či úpravy budou oceňovány podle jednotkových cen obsažených v Příloze č.1;</w:t>
      </w:r>
    </w:p>
    <w:p w:rsidR="00620EEC" w:rsidRDefault="00620EEC">
      <w:pPr>
        <w:numPr>
          <w:ilvl w:val="0"/>
          <w:numId w:val="9"/>
        </w:numPr>
        <w:tabs>
          <w:tab w:val="left" w:pos="794"/>
          <w:tab w:val="left" w:pos="851"/>
        </w:tabs>
        <w:autoSpaceDE w:val="0"/>
        <w:autoSpaceDN w:val="0"/>
        <w:adjustRightInd w:val="0"/>
        <w:spacing w:before="120" w:after="120"/>
        <w:jc w:val="both"/>
        <w:rPr>
          <w:rFonts w:ascii="Arial" w:hAnsi="Arial" w:cs="Arial"/>
          <w:sz w:val="20"/>
          <w:szCs w:val="20"/>
        </w:rPr>
      </w:pPr>
      <w:r>
        <w:rPr>
          <w:rFonts w:ascii="Arial" w:hAnsi="Arial" w:cs="Arial"/>
          <w:sz w:val="20"/>
          <w:szCs w:val="20"/>
        </w:rPr>
        <w:t>v případě, že se během provádění díla objeví potřeba dalších činností do výkazu výměr objednatelem nezahrnutých, jež nebyly předvídatelné v době uzavření smlouvy a zpracování výkazu výměr v zadávací dokumentaci a jsou nezbytné ke zhotovení díla (dále jen „vícepráce“); objem víceprací musí být oběma stranami písemně odsouhlasen; cena těchto prací, pokud ji nebude možno určit z jednotkových cen obsažených ve výkazu výměr, bude stanovena podle cen URS (resp. obdobného cenového předpisu užívaného zhotovitelem) platných v době provádění díla;</w:t>
      </w:r>
    </w:p>
    <w:p w:rsidR="00620EEC" w:rsidRDefault="00620EEC">
      <w:pPr>
        <w:numPr>
          <w:ilvl w:val="0"/>
          <w:numId w:val="9"/>
        </w:numPr>
        <w:tabs>
          <w:tab w:val="left" w:pos="794"/>
          <w:tab w:val="left" w:pos="851"/>
        </w:tabs>
        <w:autoSpaceDE w:val="0"/>
        <w:autoSpaceDN w:val="0"/>
        <w:adjustRightInd w:val="0"/>
        <w:spacing w:before="120" w:after="120"/>
        <w:jc w:val="both"/>
        <w:rPr>
          <w:rFonts w:ascii="Arial" w:hAnsi="Arial" w:cs="Arial"/>
          <w:sz w:val="20"/>
          <w:szCs w:val="20"/>
        </w:rPr>
      </w:pPr>
      <w:r>
        <w:rPr>
          <w:rFonts w:ascii="Arial" w:hAnsi="Arial" w:cs="Arial"/>
          <w:sz w:val="20"/>
          <w:szCs w:val="20"/>
        </w:rPr>
        <w:t>v rozsahu změny standardů vymezených zadávacími podmínkami v zadávací dokumentaci vyvolané průběhem stavby.</w:t>
      </w: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čl. V. Placení a platební podmínky</w:t>
      </w:r>
    </w:p>
    <w:p w:rsidR="00620EEC" w:rsidRDefault="00620EEC">
      <w:pPr>
        <w:numPr>
          <w:ilvl w:val="0"/>
          <w:numId w:val="11"/>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Objednatel se zavazuje, že uhradí smluvní cenu díla dle sjednaných platebních podmínek.  </w:t>
      </w:r>
    </w:p>
    <w:p w:rsidR="00620EEC" w:rsidRDefault="00620EEC">
      <w:pPr>
        <w:numPr>
          <w:ilvl w:val="0"/>
          <w:numId w:val="11"/>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vystaví závěrečnou fakturu (daňový doklad) do 7 dnů od protokolárního předání dokončeného díla. Závěrečná faktura bude obsahovat celkovou cenu díla vč. DPH po odečtení sumy dílčích faktur do té doby vystavených zhotovitelem a uhrazených objednatelem.</w:t>
      </w:r>
    </w:p>
    <w:p w:rsidR="00620EEC" w:rsidRDefault="00620EEC">
      <w:pPr>
        <w:numPr>
          <w:ilvl w:val="0"/>
          <w:numId w:val="11"/>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Splatnost závěrečné faktury (daňového dokladu) a dílčích faktur činí 14 kalendářních dnů ode dne doručení dokladu zadavateli.</w:t>
      </w:r>
    </w:p>
    <w:p w:rsidR="00620EEC" w:rsidRDefault="00620EEC">
      <w:pPr>
        <w:numPr>
          <w:ilvl w:val="0"/>
          <w:numId w:val="11"/>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V případě výskytu víceprací dle čl.IV. odst. 3 písm. c) této smlouvy, musí být jejich cena fakturována zhotovitelem samostatně, pokud se smluvní strany nedohodnou jinak. Faktura za vícepráce musí kromě jiných náležitostí faktury obsahovat i odkaz na dokument, kterým byly vícepráce smluvními stranami písemně sjednány a odsouhlaseny.</w:t>
      </w:r>
      <w:r>
        <w:rPr>
          <w:rFonts w:ascii="Arial" w:hAnsi="Arial" w:cs="Arial"/>
          <w:sz w:val="20"/>
          <w:szCs w:val="20"/>
        </w:rPr>
        <w:tab/>
      </w:r>
    </w:p>
    <w:p w:rsidR="00620EEC" w:rsidRDefault="00620EEC">
      <w:pPr>
        <w:numPr>
          <w:ilvl w:val="0"/>
          <w:numId w:val="11"/>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Pro posouzení včasnosti splnění závazku úhrady ceny díla je rozhodující den připsání fakturované peněžní částky na účet zhotovitele. </w:t>
      </w:r>
    </w:p>
    <w:p w:rsidR="00620EEC" w:rsidRDefault="00620EEC">
      <w:pPr>
        <w:numPr>
          <w:ilvl w:val="0"/>
          <w:numId w:val="11"/>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V případě prodlení objednatele s úhradou ceny díla na základě faktur dle odst. 4 tohoto článku smlouvy, je zhotovitel oprávněn přerušit provádění díla až do doby úplného uhrazení plateb ceny díla, s nimiž je objednatel v prodlení. O dobu takového přerušení se posouvá termín dokončení díla sjednaný v čl.VI, odst. 1., písm. c) této smlouvy a zhotovitel není v prodlení s plněním svých závazků.</w:t>
      </w: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čl. VI. Doba plnění</w:t>
      </w:r>
    </w:p>
    <w:p w:rsidR="00620EEC" w:rsidRDefault="00620EEC">
      <w:pPr>
        <w:numPr>
          <w:ilvl w:val="0"/>
          <w:numId w:val="14"/>
        </w:numPr>
        <w:tabs>
          <w:tab w:val="left" w:pos="426"/>
        </w:tabs>
        <w:autoSpaceDE w:val="0"/>
        <w:autoSpaceDN w:val="0"/>
        <w:adjustRightInd w:val="0"/>
        <w:jc w:val="both"/>
        <w:rPr>
          <w:rFonts w:ascii="Arial" w:hAnsi="Arial" w:cs="Arial"/>
          <w:sz w:val="20"/>
          <w:szCs w:val="20"/>
        </w:rPr>
      </w:pPr>
      <w:r>
        <w:rPr>
          <w:rFonts w:ascii="Arial" w:hAnsi="Arial" w:cs="Arial"/>
          <w:sz w:val="20"/>
          <w:szCs w:val="20"/>
        </w:rPr>
        <w:t xml:space="preserve">Zhotovitel se zavazuje provést dílo ve sjednané době vymezené následujícími termíny: </w:t>
      </w:r>
    </w:p>
    <w:p w:rsidR="00620EEC" w:rsidRDefault="00620EEC">
      <w:pPr>
        <w:numPr>
          <w:ilvl w:val="1"/>
          <w:numId w:val="14"/>
        </w:numPr>
        <w:tabs>
          <w:tab w:val="left" w:pos="426"/>
          <w:tab w:val="left" w:pos="794"/>
          <w:tab w:val="left" w:pos="993"/>
        </w:tabs>
        <w:autoSpaceDE w:val="0"/>
        <w:autoSpaceDN w:val="0"/>
        <w:adjustRightInd w:val="0"/>
        <w:spacing w:before="120"/>
        <w:jc w:val="both"/>
        <w:rPr>
          <w:rFonts w:ascii="Arial" w:hAnsi="Arial" w:cs="Arial"/>
          <w:sz w:val="20"/>
          <w:szCs w:val="20"/>
        </w:rPr>
      </w:pPr>
      <w:r>
        <w:rPr>
          <w:rFonts w:ascii="Arial" w:hAnsi="Arial" w:cs="Arial"/>
          <w:sz w:val="20"/>
          <w:szCs w:val="20"/>
        </w:rPr>
        <w:t>Převzetí staveniště:</w:t>
      </w:r>
      <w:r>
        <w:rPr>
          <w:rFonts w:ascii="Arial" w:hAnsi="Arial" w:cs="Arial"/>
          <w:sz w:val="20"/>
          <w:szCs w:val="20"/>
        </w:rPr>
        <w:tab/>
      </w:r>
      <w:r>
        <w:rPr>
          <w:rFonts w:ascii="Arial" w:hAnsi="Arial" w:cs="Arial"/>
          <w:sz w:val="20"/>
          <w:szCs w:val="20"/>
        </w:rPr>
        <w:tab/>
        <w:t>předpoklad dle dohody, na základě písemné výzvy</w:t>
      </w:r>
    </w:p>
    <w:p w:rsidR="00620EEC" w:rsidRDefault="00620EEC">
      <w:pPr>
        <w:tabs>
          <w:tab w:val="left" w:pos="426"/>
        </w:tabs>
        <w:autoSpaceDE w:val="0"/>
        <w:autoSpaceDN w:val="0"/>
        <w:adjustRightInd w:val="0"/>
        <w:spacing w:after="120"/>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objednatele doručené zhotoviteli  </w:t>
      </w:r>
    </w:p>
    <w:p w:rsidR="00620EEC" w:rsidRDefault="00620EEC">
      <w:pPr>
        <w:numPr>
          <w:ilvl w:val="1"/>
          <w:numId w:val="14"/>
        </w:numPr>
        <w:tabs>
          <w:tab w:val="left" w:pos="426"/>
          <w:tab w:val="left" w:pos="794"/>
          <w:tab w:val="left" w:pos="993"/>
        </w:tabs>
        <w:autoSpaceDE w:val="0"/>
        <w:autoSpaceDN w:val="0"/>
        <w:adjustRightInd w:val="0"/>
        <w:spacing w:before="120" w:after="120"/>
        <w:jc w:val="both"/>
        <w:rPr>
          <w:rFonts w:ascii="Arial" w:hAnsi="Arial" w:cs="Arial"/>
          <w:sz w:val="20"/>
          <w:szCs w:val="20"/>
        </w:rPr>
      </w:pPr>
      <w:r>
        <w:rPr>
          <w:rFonts w:ascii="Arial" w:hAnsi="Arial" w:cs="Arial"/>
          <w:sz w:val="20"/>
          <w:szCs w:val="20"/>
        </w:rPr>
        <w:t>Zahájení prací:</w:t>
      </w:r>
      <w:r>
        <w:rPr>
          <w:rFonts w:ascii="Arial" w:hAnsi="Arial" w:cs="Arial"/>
          <w:sz w:val="20"/>
          <w:szCs w:val="20"/>
        </w:rPr>
        <w:tab/>
      </w:r>
      <w:r>
        <w:rPr>
          <w:rFonts w:ascii="Arial" w:hAnsi="Arial" w:cs="Arial"/>
          <w:sz w:val="20"/>
          <w:szCs w:val="20"/>
        </w:rPr>
        <w:tab/>
        <w:t>15.6.2020</w:t>
      </w:r>
    </w:p>
    <w:p w:rsidR="00620EEC" w:rsidRDefault="00620EEC">
      <w:pPr>
        <w:numPr>
          <w:ilvl w:val="1"/>
          <w:numId w:val="14"/>
        </w:numPr>
        <w:tabs>
          <w:tab w:val="clear" w:pos="1080"/>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Dokončení díla: </w:t>
      </w:r>
      <w:r>
        <w:rPr>
          <w:rFonts w:ascii="Arial" w:hAnsi="Arial" w:cs="Arial"/>
          <w:sz w:val="20"/>
          <w:szCs w:val="20"/>
        </w:rPr>
        <w:tab/>
      </w:r>
      <w:r>
        <w:rPr>
          <w:rFonts w:ascii="Arial" w:hAnsi="Arial" w:cs="Arial"/>
          <w:sz w:val="20"/>
          <w:szCs w:val="20"/>
        </w:rPr>
        <w:tab/>
        <w:t>Termín dokončení stavby je do 30.6.2020</w:t>
      </w:r>
    </w:p>
    <w:p w:rsidR="00620EEC" w:rsidRDefault="00620EEC">
      <w:pPr>
        <w:numPr>
          <w:ilvl w:val="1"/>
          <w:numId w:val="14"/>
        </w:numPr>
        <w:tabs>
          <w:tab w:val="clear" w:pos="1080"/>
        </w:tabs>
        <w:autoSpaceDE w:val="0"/>
        <w:autoSpaceDN w:val="0"/>
        <w:adjustRightInd w:val="0"/>
        <w:spacing w:before="120" w:after="120"/>
        <w:jc w:val="both"/>
        <w:rPr>
          <w:rFonts w:ascii="Arial" w:hAnsi="Arial" w:cs="Arial"/>
          <w:sz w:val="20"/>
          <w:szCs w:val="20"/>
        </w:rPr>
      </w:pPr>
      <w:r>
        <w:rPr>
          <w:rFonts w:ascii="Arial" w:hAnsi="Arial" w:cs="Arial"/>
          <w:sz w:val="20"/>
          <w:szCs w:val="20"/>
        </w:rPr>
        <w:t>Vyklizení staveniště:</w:t>
      </w:r>
      <w:r>
        <w:rPr>
          <w:rFonts w:ascii="Arial" w:hAnsi="Arial" w:cs="Arial"/>
          <w:sz w:val="20"/>
          <w:szCs w:val="20"/>
        </w:rPr>
        <w:tab/>
        <w:t>do 30 -ti dnů od dokončení a předání díla</w:t>
      </w:r>
    </w:p>
    <w:p w:rsidR="00620EEC" w:rsidRDefault="00620EEC">
      <w:pPr>
        <w:numPr>
          <w:ilvl w:val="0"/>
          <w:numId w:val="14"/>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nepřevezme staveniště, pokud nebude způsobilé pro zahájení prací, provádění díla a nebudou splněny podmínky pro předání staveniště požadované v článku IX. Ujednání o provedení díla, odst. 11 této smlouvy.</w:t>
      </w:r>
    </w:p>
    <w:p w:rsidR="00620EEC" w:rsidRDefault="00620EEC">
      <w:pPr>
        <w:numPr>
          <w:ilvl w:val="0"/>
          <w:numId w:val="14"/>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Objednatel má právo v průběhu plnění veřejné zakázky upravovat po dohodě se zhotovitelem termín realizace díla a rozsah díla v závislosti na výši disponibilních finančních prostředků. Dohoda o této změně bude provedena formou písemného dodatku k této smlouvě.</w:t>
      </w:r>
    </w:p>
    <w:p w:rsidR="00620EEC" w:rsidRDefault="00620EEC">
      <w:pPr>
        <w:numPr>
          <w:ilvl w:val="0"/>
          <w:numId w:val="14"/>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Termín předání dokončeného díla uvedený v odst. 1., písm. c) tohoto článku smlouvy se prodlouží přinejmenším o dobu (počet dnů), o kterou bylo nutno posunout termín převzetí staveniště dle odst,. 1., písm. a) tohoto článku smlouvy nebo o dobu, po kterou bylo nutné přerušit provádění díla dle odst. 6., tohoto článku smlouvy, anebo je zhotovitel oprávněn přerušit provádění díla do doby, než objednatel změní svůj příkaz určený zhotoviteli, který byl překážkou  v řádném provedení a dokončení díla.</w:t>
      </w:r>
    </w:p>
    <w:p w:rsidR="00620EEC" w:rsidRDefault="00620EEC">
      <w:pPr>
        <w:numPr>
          <w:ilvl w:val="0"/>
          <w:numId w:val="14"/>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Pro případ, že se termín pro dokončení díla uvedený v odst. 1., písm. c) tohoto článku smlouvy změní z důvodů upravených v odst. 4 a 6 tohoto článku smlouvy a z důvodu uvedeného v čl. V odst. 7 této smlouvy tak, že by zasahoval do období od 1. 12. do 30. 4., v němž nelze očekávat vhodné klimatické podmínky pro realizaci díla, bude nový termín předání dokončeného díla stanoven zhotovitelem tak, že posun termínu bude počítán od 30. 4. roku následujícího po roku, kdy dílo mělo být dokončeno v původním termínu.</w:t>
      </w:r>
    </w:p>
    <w:p w:rsidR="00620EEC" w:rsidRDefault="00620EEC">
      <w:pPr>
        <w:numPr>
          <w:ilvl w:val="0"/>
          <w:numId w:val="14"/>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je povinen přerušit nebo zastavit provádění díla pokud nebudou splněny následující parametry vhodného počasí pro realizaci předmětu díla dle této smlouvy:</w:t>
      </w:r>
    </w:p>
    <w:p w:rsidR="00620EEC" w:rsidRPr="00857966" w:rsidRDefault="00620EEC">
      <w:pPr>
        <w:numPr>
          <w:ilvl w:val="0"/>
          <w:numId w:val="1"/>
        </w:numPr>
        <w:tabs>
          <w:tab w:val="left" w:pos="426"/>
          <w:tab w:val="left" w:pos="993"/>
        </w:tabs>
        <w:autoSpaceDE w:val="0"/>
        <w:autoSpaceDN w:val="0"/>
        <w:adjustRightInd w:val="0"/>
        <w:spacing w:before="120" w:after="120"/>
        <w:ind w:left="567"/>
        <w:jc w:val="both"/>
        <w:rPr>
          <w:rFonts w:ascii="Arial" w:hAnsi="Arial" w:cs="Arial"/>
          <w:sz w:val="20"/>
          <w:szCs w:val="20"/>
          <w:highlight w:val="yellow"/>
        </w:rPr>
      </w:pPr>
      <w:r w:rsidRPr="00857966">
        <w:rPr>
          <w:rFonts w:ascii="Arial" w:hAnsi="Arial" w:cs="Arial"/>
          <w:sz w:val="20"/>
          <w:szCs w:val="20"/>
          <w:highlight w:val="yellow"/>
        </w:rPr>
        <w:t>teploty po celý den (tzn. 24 hod.) nesmí klesnout pod +10°C</w:t>
      </w:r>
    </w:p>
    <w:p w:rsidR="00620EEC" w:rsidRPr="00857966" w:rsidRDefault="00620EEC">
      <w:pPr>
        <w:numPr>
          <w:ilvl w:val="0"/>
          <w:numId w:val="1"/>
        </w:numPr>
        <w:tabs>
          <w:tab w:val="left" w:pos="426"/>
          <w:tab w:val="left" w:pos="993"/>
        </w:tabs>
        <w:autoSpaceDE w:val="0"/>
        <w:autoSpaceDN w:val="0"/>
        <w:adjustRightInd w:val="0"/>
        <w:spacing w:before="120" w:after="120"/>
        <w:ind w:left="567"/>
        <w:jc w:val="both"/>
        <w:rPr>
          <w:rFonts w:ascii="Arial" w:hAnsi="Arial" w:cs="Arial"/>
          <w:sz w:val="20"/>
          <w:szCs w:val="20"/>
          <w:highlight w:val="yellow"/>
        </w:rPr>
      </w:pPr>
      <w:r w:rsidRPr="00857966">
        <w:rPr>
          <w:rFonts w:ascii="Arial" w:hAnsi="Arial" w:cs="Arial"/>
          <w:sz w:val="20"/>
          <w:szCs w:val="20"/>
          <w:highlight w:val="yellow"/>
        </w:rPr>
        <w:t xml:space="preserve">nesmí probíhat a být předpovídané dešťové a sněhové srážky a ranní mlhy </w:t>
      </w:r>
    </w:p>
    <w:p w:rsidR="00620EEC" w:rsidRDefault="00620EEC">
      <w:pPr>
        <w:numPr>
          <w:ilvl w:val="0"/>
          <w:numId w:val="1"/>
        </w:numPr>
        <w:tabs>
          <w:tab w:val="left" w:pos="426"/>
          <w:tab w:val="left" w:pos="993"/>
        </w:tabs>
        <w:autoSpaceDE w:val="0"/>
        <w:autoSpaceDN w:val="0"/>
        <w:adjustRightInd w:val="0"/>
        <w:spacing w:before="120" w:after="120"/>
        <w:ind w:left="567"/>
        <w:jc w:val="both"/>
        <w:rPr>
          <w:rFonts w:ascii="Arial" w:hAnsi="Arial" w:cs="Arial"/>
          <w:sz w:val="20"/>
          <w:szCs w:val="20"/>
        </w:rPr>
      </w:pPr>
      <w:r>
        <w:rPr>
          <w:rFonts w:ascii="Arial" w:hAnsi="Arial" w:cs="Arial"/>
          <w:sz w:val="20"/>
          <w:szCs w:val="20"/>
        </w:rPr>
        <w:t xml:space="preserve">nebudou splněny podmínky pro provádění stavebních prací dle platných norem ČSN, </w:t>
      </w:r>
    </w:p>
    <w:p w:rsidR="00620EEC" w:rsidRDefault="00620EEC">
      <w:pPr>
        <w:tabs>
          <w:tab w:val="left" w:pos="426"/>
          <w:tab w:val="left" w:pos="993"/>
        </w:tabs>
        <w:autoSpaceDE w:val="0"/>
        <w:autoSpaceDN w:val="0"/>
        <w:adjustRightInd w:val="0"/>
        <w:spacing w:before="120" w:after="120"/>
        <w:ind w:left="567"/>
        <w:jc w:val="both"/>
        <w:rPr>
          <w:rFonts w:ascii="Arial" w:hAnsi="Arial" w:cs="Arial"/>
          <w:sz w:val="20"/>
          <w:szCs w:val="20"/>
        </w:rPr>
      </w:pPr>
      <w:r>
        <w:rPr>
          <w:rFonts w:ascii="Arial" w:hAnsi="Arial" w:cs="Arial"/>
          <w:sz w:val="20"/>
          <w:szCs w:val="20"/>
        </w:rPr>
        <w:tab/>
        <w:t xml:space="preserve">norem EN DIN </w:t>
      </w:r>
    </w:p>
    <w:p w:rsidR="00620EEC" w:rsidRDefault="00620EEC">
      <w:pPr>
        <w:numPr>
          <w:ilvl w:val="0"/>
          <w:numId w:val="1"/>
        </w:numPr>
        <w:tabs>
          <w:tab w:val="left" w:pos="426"/>
          <w:tab w:val="left" w:pos="993"/>
        </w:tabs>
        <w:autoSpaceDE w:val="0"/>
        <w:autoSpaceDN w:val="0"/>
        <w:adjustRightInd w:val="0"/>
        <w:spacing w:before="120" w:after="120"/>
        <w:ind w:left="567"/>
        <w:jc w:val="both"/>
        <w:rPr>
          <w:rFonts w:ascii="Arial" w:hAnsi="Arial" w:cs="Arial"/>
          <w:sz w:val="20"/>
          <w:szCs w:val="20"/>
        </w:rPr>
      </w:pPr>
      <w:r>
        <w:rPr>
          <w:rFonts w:ascii="Arial" w:hAnsi="Arial" w:cs="Arial"/>
          <w:sz w:val="20"/>
          <w:szCs w:val="20"/>
        </w:rPr>
        <w:t xml:space="preserve">vlhkost vzduchu od 30% do 70% </w:t>
      </w: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čl. VII. Smluvní sankce</w:t>
      </w:r>
    </w:p>
    <w:p w:rsidR="00620EEC" w:rsidRDefault="00620EEC">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Pro případ prodlení zhotovitele s předáním díla v termínu sjednaném podle článku VI. Doba plnění, odst. 1. písm. c) této smlouvy, se sjednává smluvní pokuta ve výši 500,- za každý započatý kalendářní den, o který bude sjednaný termín překročen.</w:t>
      </w:r>
    </w:p>
    <w:p w:rsidR="00620EEC" w:rsidRDefault="00620EEC">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Pro případ prodlení objednatele s úhradou faktury vystavené zhotovitelem se sjednává úrok z prodlení ve výši 0,05% z dlužné částky za každý započatý kalendářní den, o který bude termín splatnosti uvedený na faktuře překročen.</w:t>
      </w:r>
    </w:p>
    <w:p w:rsidR="00620EEC" w:rsidRDefault="00620EEC">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Doba (počet dnů), po kterou trvá nevhodné počasí pro zhotovování díla dle čl. VI Doba plnění odst. 4 a 6 této smlouvy, a dále období od 1. 12. do 30. 4., po které nelze očekávat vhodné klimatické podmínky pro realizaci díla, se nepočítají jako dny prodlení s plněním či případně předáním dokončeného díla a zhotovitel se po tuto dobu nemůže ocitnout v prodlení s plněním či případně předáním díla. </w:t>
      </w:r>
    </w:p>
    <w:p w:rsidR="00620EEC" w:rsidRDefault="00620EEC">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Pro případ prodlení zhotovitele s vyklizením staveniště se sjednává jednorázová smluvní pokuta ve výši 500 Kč za každý započatý kalendářní den, o který bude sjednaný termín překročen.</w:t>
      </w:r>
    </w:p>
    <w:p w:rsidR="00620EEC" w:rsidRDefault="00620EEC">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Pro případ prodlení zhotovitele s nesplněním dohodnutého termínu k odstranění vad a nedodělků uvedených v předávacím protokolu dokončeného díla se sjednává smluvní pokuta 500 Kč.</w:t>
      </w:r>
    </w:p>
    <w:p w:rsidR="00620EEC" w:rsidRDefault="00620EEC">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Smluvní strany se dohodly na omezení výše sankcí uplatňovaných objednatelem na maximální hodnotu do 5% z celkové ceny díla bez DPH.</w:t>
      </w:r>
    </w:p>
    <w:p w:rsidR="00620EEC" w:rsidRDefault="00620EEC">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se vyviní z povinnosti úhrady sjednané smluvní pokuty prokázáním, že porušení příslušné povinnosti bylo způsobeno existencí nepředvídatelné a nepřekonatelné překážky, která vznikla nezávisle na vůli zhotovitele ve smyslu § 2913 odst. 2 zák. č. 89/2012 Sb., občanský zákoník, ve znění pozdějších předpisů.</w:t>
      </w: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čl. VIII. Odpovědnost za vady - záruky</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Zhotovitel poskytuje záruku za práce na díle v trvání </w:t>
      </w:r>
      <w:r>
        <w:rPr>
          <w:rFonts w:ascii="Arial" w:hAnsi="Arial" w:cs="Arial"/>
          <w:b/>
          <w:bCs/>
          <w:sz w:val="20"/>
          <w:szCs w:val="20"/>
        </w:rPr>
        <w:t>24</w:t>
      </w:r>
      <w:r>
        <w:rPr>
          <w:rFonts w:ascii="Arial" w:hAnsi="Arial" w:cs="Arial"/>
          <w:sz w:val="20"/>
          <w:szCs w:val="20"/>
        </w:rPr>
        <w:t xml:space="preserve"> měsíců na stavební část díla.</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Záruční doba začíná běžet dnem protokolárního předání díla.</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Záruka se nevztahuje na poruchy způsobené mechanickým poškozením objednatelem či jinou osobou (např. jinou než sportovní činností) a dále na poruchy, které vznikly nedodržením pravidel údržby díla. Do záruky nespadá běžné opotřebení díla odpovídající danému zatížení. Pokud je stanovena záruka výrobcem na konkrétní dodaný výrobek nebo materiál nižší než je celková záruční doba, platí záruka stanovená výrobcem konkrétního materiálu nebo výrobku.</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neodpovídá za vady díla, které vzniknou vadou podloží, na němž je dílo zhotovováno.</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Objednatel je povinen bez zbytečného odkladu oznámit písemně zhotoviteli závadu na díle po jejím zjištění. V oznámení musí být vady popsány a dále musí být uvedeno, jak se projevují.</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Zhotovitel je povinen nejpozději do 30 dnů po obdržení oznámení sdělit objednateli termín prohlídky díla. </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Smluvní strany se dohodly pro případ vady díla, že po dobu záruky má objednatel právo požadovat a zhotovitel povinnost bezplatně odstranit vady, pokud nevznikly z důvodů, na které se záruka nevztahuje. Pokud se bude jednat o poruchy nebo vady, na které se záruka nevztahuje, zhotovitel vady či poruchy opraví na základě písemného požadavku objednatele a na jeho náklady.</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Objednatel je povinen od protokolárního předání díla po celou dobu trvání záruky dle odst. 1 tohoto článku smlouvy vést provozní deník díla. Záruční doba končí před uplynutím její délky stanovené v odst. 1 tohoto článku smlouvy porušením povinnosti objednatele vést řádně provozní deník díla. </w:t>
      </w:r>
    </w:p>
    <w:p w:rsidR="00620EEC" w:rsidRDefault="00620EEC">
      <w:pPr>
        <w:numPr>
          <w:ilvl w:val="0"/>
          <w:numId w:val="16"/>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Na žádost zhotovitele je objednatel povinen předložit zhotoviteli provozní deník díla k průběžné kontrole. Smluvní strany výslovně sjednávají, že nevydáním provozního deníku díla nebo zjištěním neoprávněných zásahů do něj, dochází bez dalšího právního jednání některé ze smluvních stran k ukončení běhu záruční doby díla stanovené v odst. 1 nebo odst. 2 tohoto článku smlouvy, a to ke dni, kdy nebyl vydán provozní deník nebo ke dni zjištění neoprávněných zásahů do něj.</w:t>
      </w:r>
    </w:p>
    <w:p w:rsidR="00620EEC" w:rsidRDefault="00620EEC">
      <w:pPr>
        <w:numPr>
          <w:ilvl w:val="0"/>
          <w:numId w:val="16"/>
        </w:numPr>
        <w:tabs>
          <w:tab w:val="left" w:pos="426"/>
        </w:tabs>
        <w:autoSpaceDE w:val="0"/>
        <w:autoSpaceDN w:val="0"/>
        <w:adjustRightInd w:val="0"/>
        <w:spacing w:after="120"/>
        <w:jc w:val="both"/>
        <w:rPr>
          <w:rFonts w:ascii="Arial" w:hAnsi="Arial" w:cs="Arial"/>
          <w:sz w:val="22"/>
          <w:szCs w:val="22"/>
        </w:rPr>
      </w:pPr>
      <w:r>
        <w:rPr>
          <w:rFonts w:ascii="Arial" w:hAnsi="Arial" w:cs="Arial"/>
          <w:sz w:val="20"/>
          <w:szCs w:val="20"/>
        </w:rPr>
        <w:t>Pokud zhotovitel zadá část plnění předmětu smlouvy jiným osobám, provádějí tyto osoby dílo pod osobním vedením zhotovitele.</w:t>
      </w: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čl. IX. Ujednání o provedení díla</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Staveniště je vymezeno hranicemi pozemku objednatele. Objednatel je povinen umožnit, resp. zajistit vjezd techniky zhotovitele na staveniště a určí příjezdovou trasu pro nákladní vozidla. Objednatel zajistí, že řádný průběh realizace díla podle této smlouvy nebude rušen zásahy třetích osob. </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Objednatel předá zhotoviteli staveniště. O předání bude pořízen zápis, ve kterém budou zaznamenány případné omezující podmínky na staveništi, dohodnut způsob odběru energií pro potřeby stavby. Místa připojení energií (el. energie 3×380/220V, voda) budou poskytnuty zhotoviteli včetně medií (el. energie, voda) bezplatně. </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se zavazuje, že naloží na vlastní náklady s odpady vzniklými z činnosti, která je předmětem této smlouvy, dle platných právních předpisů o nakládání s odpady a v souladu s podmínkami stavebního povolení. Zhotovitel je povinen vést evidenci o všech druzích odpadů vzniklých z jeho činnosti a vést evidenci o způsobu jejich zneškodňování.</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se zavazuje na staveništi (pracovišti) dodržovat bezpečnostní, hygienické, požární a ekologické předpisy, zajistit si vlastní dozor nad bezpečností práce, zajistit si vlastní požární dozor u těch prací, kde to předepisují požární předpisy a to i po skončení těchto prací v rozsahu stanoveném příslušnými požárními předpisy.</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je povinen vést stavební deník a předkládat jej k průběžné kontrole oprávněné osobě objednatele jednající ve věcech technických.</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Objednatel zajistí po celou dobu realizace díla sociální zařízení pro pracovníky zhotovitele v areálu staveniště.</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Dodatečné výkony (vícepráce), které byly vyvolány objednatelem nebo okolnostmi, které nemohly být předvídány, budou uhrazeny na základě předchozího písemného schválení a odsouhlasení oprávněnosti objednatelem. Písemné schválení bude provedeno formou zápisu do stavebního deníku nebo dodatkem k této smlouvě. Zhotovitel je oprávněn přerušit provádění díla až do doby písemného schválení a odsouhlasení víceprací objednatelem. O dobu takového přerušení se posouvá termín dokončení díla v čl. VI, odst. 1., písm. c) této smlouvy a zhotovitel není v prodlení s plněním svých závazků. </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Objednatel je povinen zhotoviteli poskytnout nezbytnou součinnost nutnou k řádnému a včasnému provedení díla. Nezbytnou součinností se pro účely této smlouvy rozumí též povinnost objednatele písemně vyzvat zhotovitele k zahájení provádění díla, resp. k převzetí staveniště, v souladu s čl. VI odst. 1 písm. a) této smlouvy. </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Konání kontrolních dnů oznámí zhotovitel zápisem ve stavebním deníku.</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zajistí občasnou přítomnost svého stavebního dozoru (stavbyvedoucího) na stavbě po celou dobu provádění díla.</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Objednatel se zavazuje při předání staveniště dle článku VI. Doba plnění, odst. 1., písm. a) této smlouvy předat zhotoviteli doklady veškeré doklady, které mohou mít vliv na realizaci díla, zejména pak rozhodnutí či jiné doklady vydané orgány veřejné moci týkající se povolení stavby, doklady o vedení všech inženýrských sítí včetně jejich vytýčení, jakož i jakékoliv jiné doklady, které jsou nezbytné k realizaci díla ve sjednaném termínu. </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se zavazuje dodržet při plnění smlouvy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se zavazuje uhradit ze svých prostředků veškeré škody, které svojí činností způsobí v rámci zhotovení díla, a to jak na majetku objednatele, tak i třetím osobám.</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odpovídá za to, že při plnění smlouvy nepoužije žádný materiál, o kterém v době jeho užití věděl, že je škodlivý. Pokud tak zhotovitel učiní, je povinen na písemné vyzvání objednatele provést bez odkladu na své náklady nápravu. Stejně tak zhotovitel odpovídá za to, že k plnění smlouvy nepoužije materiály, které nemají požadovanou certifikaci, je-li pro jejich použití nezbytná podle příslušných předpisů.</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Věci, které jsou potřebné k plnění smlouvy, je povinen opatřit zhotovitel, pokud ve smlouvě není výslovně uvedeno, že je opatří objednatel.</w:t>
      </w:r>
    </w:p>
    <w:p w:rsidR="00620EEC" w:rsidRDefault="00620EEC">
      <w:pPr>
        <w:numPr>
          <w:ilvl w:val="0"/>
          <w:numId w:val="17"/>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Zhotovitel v plné míře zodpovídá za bezpečnost a ochranu zdraví všech osob, které se s jeho vědomím zdržují na staveništi a je povinen zabezpečit jejich vybavení ochrannými pracovními pomůckami. Zhotovitel se zavazuje splnit za investora stavby veškeré povinnosti uložené mu zákonem č. 309/2006 Sb., kterým se upravují další požadavky bezpečnosti a ochrany zdraví při práci, přičemž plnění těchto povinností je zahrnuto v ceně díla. </w:t>
      </w:r>
    </w:p>
    <w:p w:rsidR="00620EEC" w:rsidRDefault="00620EEC">
      <w:pPr>
        <w:tabs>
          <w:tab w:val="left" w:pos="426"/>
        </w:tabs>
        <w:autoSpaceDE w:val="0"/>
        <w:autoSpaceDN w:val="0"/>
        <w:adjustRightInd w:val="0"/>
        <w:spacing w:after="120"/>
        <w:ind w:left="360"/>
        <w:jc w:val="both"/>
        <w:rPr>
          <w:rFonts w:ascii="Arial" w:hAnsi="Arial" w:cs="Arial"/>
          <w:sz w:val="20"/>
          <w:szCs w:val="20"/>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 xml:space="preserve">čl. X. Předání a převzetí díla  </w:t>
      </w:r>
    </w:p>
    <w:p w:rsidR="00620EEC" w:rsidRDefault="00620EEC">
      <w:pPr>
        <w:numPr>
          <w:ilvl w:val="0"/>
          <w:numId w:val="18"/>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vyzve objednatele k předání a převzetí dokončeného díla v místě jeho plnění 3 dny předem.</w:t>
      </w:r>
    </w:p>
    <w:p w:rsidR="00620EEC" w:rsidRDefault="00620EEC">
      <w:pPr>
        <w:numPr>
          <w:ilvl w:val="0"/>
          <w:numId w:val="18"/>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O předání a převzetí díla mezi objednatelem a zhotovitelem se pořídí písemný předávací protokol. V případě výskytu vad a nedodělků bránících užívání díla objednatelem k termínu předání a převzetí díla, nebude dílo převzato až do jejich odstranění.</w:t>
      </w:r>
    </w:p>
    <w:p w:rsidR="00620EEC" w:rsidRDefault="00620EEC">
      <w:pPr>
        <w:numPr>
          <w:ilvl w:val="0"/>
          <w:numId w:val="18"/>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V případě výskytu vad a nedodělků při předání a převzetí díla, které však ať již samy o sobě či ve spojení s jinými vadami a nedodělky nebrání řádnému užívání díla, není objednatel oprávněn převzetí díla odmítnout, je povinen takové dílo převzít a k odstranění vad a nedodělků zhotoviteli poskytnout přiměřenou lhůtu. O tomto bude proveden zápis do předávacího protokolu.</w:t>
      </w:r>
    </w:p>
    <w:p w:rsidR="00620EEC" w:rsidRDefault="00620EEC">
      <w:pPr>
        <w:numPr>
          <w:ilvl w:val="0"/>
          <w:numId w:val="18"/>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Dílo, které nebylo předáno a převzato, nesmí být bez předchozí písemné dohody objednatele a zhotovitele, objednatelem užíváno.</w:t>
      </w: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 xml:space="preserve">čl. XI. Další ujednání </w:t>
      </w:r>
    </w:p>
    <w:p w:rsidR="00620EEC" w:rsidRPr="00857966" w:rsidRDefault="00620EEC">
      <w:pPr>
        <w:numPr>
          <w:ilvl w:val="0"/>
          <w:numId w:val="19"/>
        </w:numPr>
        <w:tabs>
          <w:tab w:val="left" w:pos="426"/>
        </w:tabs>
        <w:autoSpaceDE w:val="0"/>
        <w:autoSpaceDN w:val="0"/>
        <w:adjustRightInd w:val="0"/>
        <w:spacing w:after="120"/>
        <w:jc w:val="both"/>
        <w:rPr>
          <w:rFonts w:ascii="Arial" w:hAnsi="Arial" w:cs="Arial"/>
          <w:sz w:val="20"/>
          <w:szCs w:val="20"/>
          <w:highlight w:val="yellow"/>
        </w:rPr>
      </w:pPr>
      <w:r w:rsidRPr="00857966">
        <w:rPr>
          <w:rFonts w:ascii="Arial" w:hAnsi="Arial" w:cs="Arial"/>
          <w:sz w:val="20"/>
          <w:szCs w:val="20"/>
          <w:highlight w:val="yellow"/>
        </w:rPr>
        <w:t xml:space="preserve">Objednatel je oprávněn odstoupit od této smlouvy v případě, že neobdrží finanční prostředky – dotaci na realizaci díla od poskytovatele dotace, jež měla sloužit k úhradě díla, avšak pouze do termínu sjednaném v článku VI. Doba plnění, odst. 1. písm. a) této smlouvy nebo do doby, než zhotovitel převezme staveniště. </w:t>
      </w:r>
    </w:p>
    <w:p w:rsidR="00620EEC" w:rsidRDefault="00620EEC">
      <w:pPr>
        <w:numPr>
          <w:ilvl w:val="0"/>
          <w:numId w:val="19"/>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Všechny materiály, výrobky a konstrukce použité na stavbě, musí mít vlastnosti požadované v §156 odst.1 zákona č. 183/2006 Sb., o územním plánování a stavebním řádu (stavební zákon), ve znění pozdějších předpisů.</w:t>
      </w:r>
    </w:p>
    <w:p w:rsidR="00620EEC" w:rsidRDefault="00620EEC">
      <w:pPr>
        <w:numPr>
          <w:ilvl w:val="0"/>
          <w:numId w:val="19"/>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Zhotovitel potvrzuje, že disponuje takovými kapacitami a odbornými znalostmi, které jsou k provedení díla nezbytné.</w:t>
      </w:r>
    </w:p>
    <w:p w:rsidR="00620EEC" w:rsidRDefault="00620EEC">
      <w:pPr>
        <w:numPr>
          <w:ilvl w:val="0"/>
          <w:numId w:val="19"/>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Smluvní strany prohlašují, že předem souhlasí, v souladu se zněním zákona č. 106/1999 Sb., o svobodném přístupu k informacím, s možným zpřístupněním, či zveřejněním celé této smlouvy v jejím plném znění, jakož i všech úkonů a okolností s touto smlouvou souvisejících, ke kterému může kdykoliv v budoucnu dojít.</w:t>
      </w:r>
    </w:p>
    <w:p w:rsidR="00620EEC" w:rsidRDefault="00620EEC">
      <w:pPr>
        <w:autoSpaceDE w:val="0"/>
        <w:autoSpaceDN w:val="0"/>
        <w:adjustRightInd w:val="0"/>
        <w:jc w:val="both"/>
        <w:rPr>
          <w:rFonts w:ascii="Arial" w:hAnsi="Arial" w:cs="Arial"/>
          <w:sz w:val="22"/>
          <w:szCs w:val="22"/>
        </w:rPr>
      </w:pPr>
    </w:p>
    <w:p w:rsidR="00620EEC" w:rsidRDefault="00620EEC">
      <w:pPr>
        <w:autoSpaceDE w:val="0"/>
        <w:autoSpaceDN w:val="0"/>
        <w:adjustRightInd w:val="0"/>
        <w:jc w:val="both"/>
        <w:rPr>
          <w:rFonts w:ascii="Arial" w:hAnsi="Arial" w:cs="Arial"/>
          <w:sz w:val="22"/>
          <w:szCs w:val="22"/>
        </w:rPr>
      </w:pPr>
    </w:p>
    <w:p w:rsidR="00620EEC" w:rsidRDefault="00620EEC">
      <w:pPr>
        <w:autoSpaceDE w:val="0"/>
        <w:autoSpaceDN w:val="0"/>
        <w:adjustRightInd w:val="0"/>
        <w:jc w:val="both"/>
        <w:rPr>
          <w:rFonts w:ascii="Arial" w:hAnsi="Arial" w:cs="Arial"/>
          <w:sz w:val="22"/>
          <w:szCs w:val="22"/>
        </w:rPr>
      </w:pPr>
    </w:p>
    <w:p w:rsidR="00620EEC" w:rsidRDefault="00620EEC">
      <w:pPr>
        <w:autoSpaceDE w:val="0"/>
        <w:autoSpaceDN w:val="0"/>
        <w:adjustRightInd w:val="0"/>
        <w:jc w:val="both"/>
        <w:rPr>
          <w:rFonts w:ascii="Arial" w:hAnsi="Arial" w:cs="Arial"/>
          <w:sz w:val="22"/>
          <w:szCs w:val="22"/>
        </w:rPr>
      </w:pPr>
    </w:p>
    <w:p w:rsidR="00620EEC" w:rsidRDefault="00620EEC">
      <w:pPr>
        <w:tabs>
          <w:tab w:val="left" w:pos="1701"/>
          <w:tab w:val="left" w:pos="3402"/>
          <w:tab w:val="left" w:pos="4253"/>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 xml:space="preserve">čl. XII. Závěrečná ustanovení </w:t>
      </w:r>
    </w:p>
    <w:p w:rsidR="00620EEC" w:rsidRDefault="00620EEC">
      <w:pPr>
        <w:numPr>
          <w:ilvl w:val="0"/>
          <w:numId w:val="2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Pokud není v této smlouvě stanoveno jinak, řídí se smlouva ustanoveními zákona č. 89/2012 Sb., občanský zákoník, ve znění pozdějších předpisů.</w:t>
      </w:r>
    </w:p>
    <w:p w:rsidR="00620EEC" w:rsidRDefault="00620EEC">
      <w:pPr>
        <w:numPr>
          <w:ilvl w:val="0"/>
          <w:numId w:val="2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Smlouva nabývá platnosti a účinnosti dnem kladného Rozhodnutí o dotaci, pokud se smluvní strany nedohodnou jinak. </w:t>
      </w:r>
    </w:p>
    <w:p w:rsidR="00620EEC" w:rsidRDefault="00620EEC">
      <w:pPr>
        <w:numPr>
          <w:ilvl w:val="0"/>
          <w:numId w:val="2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Jakákoliv změna smlouvy musí mít písemnou formu a musí být podepsána osobami oprávněnými jednat a podepisovat za objednatele a zhotovitele nebo osobami jimi zmocněnými. Za písemnou změnu smlouvy se považují rovněž zápisy do stavebního deníku. </w:t>
      </w:r>
    </w:p>
    <w:p w:rsidR="00620EEC" w:rsidRDefault="00620EEC">
      <w:pPr>
        <w:numPr>
          <w:ilvl w:val="0"/>
          <w:numId w:val="2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Účastník této smlouvy je oprávněn postoupit svá práva a povinnosti ze smlouvy, nebo z její části ve prospěch třetí osoby pouze s předchozím písemným souhlasem druhého účastníka smlouvy. </w:t>
      </w:r>
    </w:p>
    <w:p w:rsidR="00620EEC" w:rsidRDefault="00620EEC">
      <w:pPr>
        <w:numPr>
          <w:ilvl w:val="0"/>
          <w:numId w:val="2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Smlouva obsahuje 8 stran textu a je sepsána ve čtyřech vyhotoveních, z nichž každá strana obdrží po dvou vyhotoveních.</w:t>
      </w:r>
    </w:p>
    <w:p w:rsidR="00620EEC" w:rsidRDefault="00620EEC">
      <w:pPr>
        <w:numPr>
          <w:ilvl w:val="0"/>
          <w:numId w:val="2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 xml:space="preserve">Přílohy této smlouvy:  </w:t>
      </w:r>
      <w:r>
        <w:rPr>
          <w:rFonts w:ascii="Arial" w:hAnsi="Arial" w:cs="Arial"/>
          <w:sz w:val="20"/>
          <w:szCs w:val="20"/>
        </w:rPr>
        <w:tab/>
      </w:r>
    </w:p>
    <w:p w:rsidR="00620EEC" w:rsidRDefault="00620EEC">
      <w:pPr>
        <w:tabs>
          <w:tab w:val="left" w:pos="426"/>
        </w:tabs>
        <w:autoSpaceDE w:val="0"/>
        <w:autoSpaceDN w:val="0"/>
        <w:adjustRightInd w:val="0"/>
        <w:spacing w:after="120"/>
        <w:ind w:left="426"/>
        <w:jc w:val="both"/>
        <w:rPr>
          <w:rFonts w:ascii="Arial" w:hAnsi="Arial" w:cs="Arial"/>
          <w:sz w:val="20"/>
          <w:szCs w:val="20"/>
        </w:rPr>
      </w:pPr>
      <w:r>
        <w:rPr>
          <w:rFonts w:ascii="Arial" w:hAnsi="Arial" w:cs="Arial"/>
          <w:sz w:val="20"/>
          <w:szCs w:val="20"/>
        </w:rPr>
        <w:t>Příloha č.1 – oceněný výkaz výměr</w:t>
      </w:r>
    </w:p>
    <w:p w:rsidR="00620EEC" w:rsidRDefault="00620EEC">
      <w:pPr>
        <w:tabs>
          <w:tab w:val="left" w:pos="426"/>
        </w:tabs>
        <w:autoSpaceDE w:val="0"/>
        <w:autoSpaceDN w:val="0"/>
        <w:adjustRightInd w:val="0"/>
        <w:spacing w:before="120" w:after="120"/>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20EEC" w:rsidRDefault="00620EEC">
      <w:pPr>
        <w:keepNext/>
        <w:numPr>
          <w:ilvl w:val="0"/>
          <w:numId w:val="1"/>
        </w:numPr>
        <w:autoSpaceDE w:val="0"/>
        <w:autoSpaceDN w:val="0"/>
        <w:adjustRightInd w:val="0"/>
        <w:ind w:left="426"/>
        <w:jc w:val="both"/>
        <w:rPr>
          <w:rFonts w:ascii="Arial" w:hAnsi="Arial" w:cs="Arial"/>
          <w:color w:val="FF0000"/>
          <w:sz w:val="20"/>
          <w:szCs w:val="20"/>
        </w:rPr>
      </w:pPr>
      <w:r>
        <w:rPr>
          <w:rFonts w:ascii="Arial" w:hAnsi="Arial" w:cs="Arial"/>
          <w:sz w:val="20"/>
          <w:szCs w:val="20"/>
        </w:rPr>
        <w:t>V …………………………… dne …………………..</w:t>
      </w:r>
    </w:p>
    <w:p w:rsidR="00620EEC" w:rsidRDefault="00620EEC">
      <w:pPr>
        <w:autoSpaceDE w:val="0"/>
        <w:autoSpaceDN w:val="0"/>
        <w:adjustRightInd w:val="0"/>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4606"/>
        <w:gridCol w:w="4606"/>
      </w:tblGrid>
      <w:tr w:rsidR="00620EEC">
        <w:trPr>
          <w:trHeight w:val="1"/>
        </w:trPr>
        <w:tc>
          <w:tcPr>
            <w:tcW w:w="4606" w:type="dxa"/>
            <w:tcBorders>
              <w:top w:val="single" w:sz="14" w:space="0" w:color="000000"/>
              <w:left w:val="single" w:sz="14" w:space="0" w:color="000000"/>
              <w:bottom w:val="single" w:sz="2" w:space="0" w:color="000000"/>
              <w:right w:val="single" w:sz="2" w:space="0" w:color="000000"/>
            </w:tcBorders>
            <w:shd w:val="clear" w:color="000000" w:fill="FFFFFF"/>
          </w:tcPr>
          <w:p w:rsidR="00620EEC" w:rsidRDefault="00620EEC">
            <w:pPr>
              <w:autoSpaceDE w:val="0"/>
              <w:autoSpaceDN w:val="0"/>
              <w:adjustRightInd w:val="0"/>
              <w:jc w:val="both"/>
              <w:rPr>
                <w:rFonts w:ascii="Arial" w:hAnsi="Arial" w:cs="Arial"/>
                <w:b/>
                <w:bCs/>
                <w:sz w:val="20"/>
                <w:szCs w:val="20"/>
              </w:rPr>
            </w:pPr>
            <w:r>
              <w:rPr>
                <w:rFonts w:ascii="Arial" w:hAnsi="Arial" w:cs="Arial"/>
                <w:b/>
                <w:bCs/>
                <w:sz w:val="20"/>
                <w:szCs w:val="20"/>
              </w:rPr>
              <w:t>Objednatel:</w:t>
            </w:r>
          </w:p>
          <w:p w:rsidR="00620EEC" w:rsidRDefault="00620EEC">
            <w:pPr>
              <w:autoSpaceDE w:val="0"/>
              <w:autoSpaceDN w:val="0"/>
              <w:adjustRightInd w:val="0"/>
              <w:jc w:val="both"/>
              <w:rPr>
                <w:rFonts w:ascii="Arial" w:hAnsi="Arial" w:cs="Arial"/>
                <w:b/>
                <w:bCs/>
                <w:sz w:val="20"/>
                <w:szCs w:val="20"/>
              </w:rPr>
            </w:pPr>
          </w:p>
          <w:p w:rsidR="00620EEC" w:rsidRDefault="00620EEC">
            <w:pPr>
              <w:autoSpaceDE w:val="0"/>
              <w:autoSpaceDN w:val="0"/>
              <w:adjustRightInd w:val="0"/>
              <w:jc w:val="both"/>
              <w:rPr>
                <w:rFonts w:ascii="Arial" w:hAnsi="Arial" w:cs="Arial"/>
                <w:b/>
                <w:bCs/>
                <w:sz w:val="20"/>
                <w:szCs w:val="20"/>
              </w:rPr>
            </w:pPr>
          </w:p>
          <w:p w:rsidR="00620EEC" w:rsidRDefault="00620EEC">
            <w:pPr>
              <w:autoSpaceDE w:val="0"/>
              <w:autoSpaceDN w:val="0"/>
              <w:adjustRightInd w:val="0"/>
              <w:jc w:val="both"/>
              <w:rPr>
                <w:rFonts w:ascii="Arial" w:hAnsi="Arial" w:cs="Arial"/>
                <w:b/>
                <w:bCs/>
                <w:sz w:val="20"/>
                <w:szCs w:val="20"/>
              </w:rPr>
            </w:pPr>
          </w:p>
          <w:p w:rsidR="00620EEC" w:rsidRDefault="00620EEC">
            <w:pPr>
              <w:autoSpaceDE w:val="0"/>
              <w:autoSpaceDN w:val="0"/>
              <w:adjustRightInd w:val="0"/>
              <w:jc w:val="both"/>
              <w:rPr>
                <w:rFonts w:ascii="Arial" w:hAnsi="Arial" w:cs="Arial"/>
                <w:b/>
                <w:bCs/>
                <w:sz w:val="20"/>
                <w:szCs w:val="20"/>
              </w:rPr>
            </w:pPr>
          </w:p>
          <w:p w:rsidR="00620EEC" w:rsidRDefault="00620EEC">
            <w:pPr>
              <w:autoSpaceDE w:val="0"/>
              <w:autoSpaceDN w:val="0"/>
              <w:adjustRightInd w:val="0"/>
              <w:jc w:val="both"/>
              <w:rPr>
                <w:rFonts w:ascii="Arial" w:hAnsi="Arial" w:cs="Arial"/>
                <w:b/>
                <w:bCs/>
                <w:sz w:val="20"/>
                <w:szCs w:val="20"/>
              </w:rPr>
            </w:pPr>
          </w:p>
          <w:p w:rsidR="00620EEC" w:rsidRDefault="00620EEC">
            <w:pPr>
              <w:autoSpaceDE w:val="0"/>
              <w:autoSpaceDN w:val="0"/>
              <w:adjustRightInd w:val="0"/>
              <w:jc w:val="both"/>
              <w:rPr>
                <w:rFonts w:ascii="Arial" w:hAnsi="Arial" w:cs="Arial"/>
                <w:b/>
                <w:bCs/>
                <w:sz w:val="20"/>
                <w:szCs w:val="20"/>
              </w:rPr>
            </w:pPr>
          </w:p>
          <w:p w:rsidR="00620EEC" w:rsidRDefault="00620EEC">
            <w:pPr>
              <w:autoSpaceDE w:val="0"/>
              <w:autoSpaceDN w:val="0"/>
              <w:adjustRightInd w:val="0"/>
              <w:jc w:val="both"/>
              <w:rPr>
                <w:rFonts w:ascii="Arial" w:hAnsi="Arial" w:cs="Arial"/>
                <w:b/>
                <w:bCs/>
                <w:sz w:val="20"/>
                <w:szCs w:val="20"/>
              </w:rPr>
            </w:pPr>
          </w:p>
          <w:p w:rsidR="00620EEC" w:rsidRDefault="00620EEC">
            <w:pPr>
              <w:autoSpaceDE w:val="0"/>
              <w:autoSpaceDN w:val="0"/>
              <w:adjustRightInd w:val="0"/>
              <w:jc w:val="both"/>
              <w:rPr>
                <w:rFonts w:ascii="Arial" w:hAnsi="Arial" w:cs="Arial"/>
                <w:b/>
                <w:bCs/>
                <w:sz w:val="20"/>
                <w:szCs w:val="20"/>
              </w:rPr>
            </w:pPr>
          </w:p>
          <w:p w:rsidR="00620EEC" w:rsidRDefault="00620EEC">
            <w:pPr>
              <w:autoSpaceDE w:val="0"/>
              <w:autoSpaceDN w:val="0"/>
              <w:adjustRightInd w:val="0"/>
              <w:jc w:val="both"/>
              <w:rPr>
                <w:rFonts w:ascii="Calibri" w:hAnsi="Calibri" w:cs="Calibri"/>
                <w:sz w:val="22"/>
                <w:szCs w:val="22"/>
              </w:rPr>
            </w:pPr>
          </w:p>
        </w:tc>
        <w:tc>
          <w:tcPr>
            <w:tcW w:w="4606" w:type="dxa"/>
            <w:tcBorders>
              <w:top w:val="single" w:sz="14" w:space="0" w:color="000000"/>
              <w:left w:val="single" w:sz="2" w:space="0" w:color="000000"/>
              <w:bottom w:val="single" w:sz="2" w:space="0" w:color="000000"/>
              <w:right w:val="single" w:sz="14" w:space="0" w:color="000000"/>
            </w:tcBorders>
            <w:shd w:val="clear" w:color="000000" w:fill="FFFFFF"/>
          </w:tcPr>
          <w:p w:rsidR="00620EEC" w:rsidRDefault="00620EEC">
            <w:pPr>
              <w:autoSpaceDE w:val="0"/>
              <w:autoSpaceDN w:val="0"/>
              <w:adjustRightInd w:val="0"/>
              <w:jc w:val="both"/>
              <w:rPr>
                <w:rFonts w:ascii="Calibri" w:hAnsi="Calibri" w:cs="Calibri"/>
                <w:sz w:val="22"/>
                <w:szCs w:val="22"/>
              </w:rPr>
            </w:pPr>
            <w:r>
              <w:rPr>
                <w:rFonts w:ascii="Arial" w:hAnsi="Arial" w:cs="Arial"/>
                <w:b/>
                <w:bCs/>
                <w:sz w:val="20"/>
                <w:szCs w:val="20"/>
              </w:rPr>
              <w:t>Zhotovitel:</w:t>
            </w:r>
          </w:p>
        </w:tc>
      </w:tr>
      <w:tr w:rsidR="00620EEC">
        <w:trPr>
          <w:trHeight w:val="1"/>
        </w:trPr>
        <w:tc>
          <w:tcPr>
            <w:tcW w:w="4606" w:type="dxa"/>
            <w:tcBorders>
              <w:top w:val="single" w:sz="2" w:space="0" w:color="000000"/>
              <w:left w:val="single" w:sz="14" w:space="0" w:color="000000"/>
              <w:bottom w:val="single" w:sz="2" w:space="0" w:color="000000"/>
              <w:right w:val="single" w:sz="2" w:space="0" w:color="000000"/>
            </w:tcBorders>
            <w:shd w:val="clear" w:color="000000" w:fill="FFFFFF"/>
          </w:tcPr>
          <w:p w:rsidR="00620EEC" w:rsidRDefault="00620EEC">
            <w:pPr>
              <w:autoSpaceDE w:val="0"/>
              <w:autoSpaceDN w:val="0"/>
              <w:adjustRightInd w:val="0"/>
              <w:jc w:val="center"/>
              <w:rPr>
                <w:rFonts w:ascii="Calibri" w:hAnsi="Calibri" w:cs="Calibri"/>
                <w:sz w:val="22"/>
                <w:szCs w:val="22"/>
              </w:rPr>
            </w:pPr>
            <w:r>
              <w:rPr>
                <w:rFonts w:ascii="Calibri" w:hAnsi="Calibri" w:cs="Calibri"/>
                <w:sz w:val="22"/>
                <w:szCs w:val="22"/>
              </w:rPr>
              <w:t>……………………………</w:t>
            </w:r>
          </w:p>
        </w:tc>
        <w:tc>
          <w:tcPr>
            <w:tcW w:w="4606" w:type="dxa"/>
            <w:tcBorders>
              <w:top w:val="single" w:sz="2" w:space="0" w:color="000000"/>
              <w:left w:val="single" w:sz="2" w:space="0" w:color="000000"/>
              <w:bottom w:val="single" w:sz="2" w:space="0" w:color="000000"/>
              <w:right w:val="single" w:sz="14" w:space="0" w:color="000000"/>
            </w:tcBorders>
            <w:shd w:val="clear" w:color="000000" w:fill="FFFFFF"/>
          </w:tcPr>
          <w:p w:rsidR="00620EEC" w:rsidRDefault="00620EEC">
            <w:pPr>
              <w:autoSpaceDE w:val="0"/>
              <w:autoSpaceDN w:val="0"/>
              <w:adjustRightInd w:val="0"/>
              <w:jc w:val="center"/>
              <w:rPr>
                <w:rFonts w:ascii="Calibri" w:hAnsi="Calibri" w:cs="Calibri"/>
                <w:sz w:val="22"/>
                <w:szCs w:val="22"/>
              </w:rPr>
            </w:pPr>
            <w:r>
              <w:rPr>
                <w:rFonts w:ascii="Calibri" w:hAnsi="Calibri" w:cs="Calibri"/>
                <w:sz w:val="22"/>
                <w:szCs w:val="22"/>
              </w:rPr>
              <w:t>…………………………………………..</w:t>
            </w:r>
          </w:p>
        </w:tc>
      </w:tr>
      <w:tr w:rsidR="00620EEC">
        <w:trPr>
          <w:trHeight w:val="1"/>
        </w:trPr>
        <w:tc>
          <w:tcPr>
            <w:tcW w:w="4606" w:type="dxa"/>
            <w:tcBorders>
              <w:top w:val="single" w:sz="2" w:space="0" w:color="000000"/>
              <w:left w:val="single" w:sz="14" w:space="0" w:color="000000"/>
              <w:bottom w:val="single" w:sz="2" w:space="0" w:color="000000"/>
              <w:right w:val="single" w:sz="2" w:space="0" w:color="000000"/>
            </w:tcBorders>
            <w:shd w:val="clear" w:color="000000" w:fill="FFFFFF"/>
          </w:tcPr>
          <w:p w:rsidR="00620EEC" w:rsidRDefault="00620EEC">
            <w:pPr>
              <w:autoSpaceDE w:val="0"/>
              <w:autoSpaceDN w:val="0"/>
              <w:adjustRightInd w:val="0"/>
              <w:jc w:val="center"/>
              <w:rPr>
                <w:rFonts w:ascii="Calibri" w:hAnsi="Calibri" w:cs="Calibri"/>
                <w:sz w:val="22"/>
                <w:szCs w:val="22"/>
              </w:rPr>
            </w:pPr>
            <w:r>
              <w:rPr>
                <w:rFonts w:ascii="Arial" w:hAnsi="Arial" w:cs="Arial"/>
                <w:sz w:val="20"/>
                <w:szCs w:val="20"/>
              </w:rPr>
              <w:t>…………………………….</w:t>
            </w:r>
          </w:p>
        </w:tc>
        <w:tc>
          <w:tcPr>
            <w:tcW w:w="4606" w:type="dxa"/>
            <w:tcBorders>
              <w:top w:val="single" w:sz="2" w:space="0" w:color="000000"/>
              <w:left w:val="single" w:sz="2" w:space="0" w:color="000000"/>
              <w:bottom w:val="single" w:sz="2" w:space="0" w:color="000000"/>
              <w:right w:val="single" w:sz="14" w:space="0" w:color="000000"/>
            </w:tcBorders>
            <w:shd w:val="clear" w:color="000000" w:fill="FFFFFF"/>
          </w:tcPr>
          <w:p w:rsidR="00620EEC" w:rsidRDefault="00620EEC">
            <w:pPr>
              <w:autoSpaceDE w:val="0"/>
              <w:autoSpaceDN w:val="0"/>
              <w:adjustRightInd w:val="0"/>
              <w:jc w:val="center"/>
              <w:rPr>
                <w:rFonts w:ascii="Calibri" w:hAnsi="Calibri" w:cs="Calibri"/>
                <w:sz w:val="22"/>
                <w:szCs w:val="22"/>
              </w:rPr>
            </w:pPr>
            <w:r>
              <w:rPr>
                <w:rFonts w:ascii="Arial" w:hAnsi="Arial" w:cs="Arial"/>
                <w:sz w:val="20"/>
                <w:szCs w:val="20"/>
              </w:rPr>
              <w:t>……………………………..</w:t>
            </w:r>
          </w:p>
        </w:tc>
      </w:tr>
      <w:tr w:rsidR="00620EEC">
        <w:trPr>
          <w:trHeight w:val="55"/>
        </w:trPr>
        <w:tc>
          <w:tcPr>
            <w:tcW w:w="4606" w:type="dxa"/>
            <w:tcBorders>
              <w:top w:val="single" w:sz="2" w:space="0" w:color="000000"/>
              <w:left w:val="single" w:sz="14" w:space="0" w:color="000000"/>
              <w:bottom w:val="single" w:sz="14" w:space="0" w:color="000000"/>
              <w:right w:val="single" w:sz="2" w:space="0" w:color="000000"/>
            </w:tcBorders>
            <w:shd w:val="clear" w:color="000000" w:fill="FFFFFF"/>
          </w:tcPr>
          <w:p w:rsidR="00620EEC" w:rsidRDefault="00620EEC">
            <w:pPr>
              <w:autoSpaceDE w:val="0"/>
              <w:autoSpaceDN w:val="0"/>
              <w:adjustRightInd w:val="0"/>
              <w:jc w:val="center"/>
              <w:rPr>
                <w:rFonts w:ascii="Calibri" w:hAnsi="Calibri" w:cs="Calibri"/>
                <w:sz w:val="22"/>
                <w:szCs w:val="22"/>
              </w:rPr>
            </w:pPr>
          </w:p>
        </w:tc>
        <w:tc>
          <w:tcPr>
            <w:tcW w:w="4606" w:type="dxa"/>
            <w:tcBorders>
              <w:top w:val="single" w:sz="2" w:space="0" w:color="000000"/>
              <w:left w:val="single" w:sz="2" w:space="0" w:color="000000"/>
              <w:bottom w:val="single" w:sz="14" w:space="0" w:color="000000"/>
              <w:right w:val="single" w:sz="14" w:space="0" w:color="000000"/>
            </w:tcBorders>
            <w:shd w:val="clear" w:color="000000" w:fill="FFFFFF"/>
          </w:tcPr>
          <w:p w:rsidR="00620EEC" w:rsidRDefault="00620EEC">
            <w:pPr>
              <w:autoSpaceDE w:val="0"/>
              <w:autoSpaceDN w:val="0"/>
              <w:adjustRightInd w:val="0"/>
              <w:jc w:val="center"/>
              <w:rPr>
                <w:rFonts w:ascii="Calibri" w:hAnsi="Calibri" w:cs="Calibri"/>
                <w:sz w:val="22"/>
                <w:szCs w:val="22"/>
              </w:rPr>
            </w:pPr>
          </w:p>
        </w:tc>
      </w:tr>
    </w:tbl>
    <w:p w:rsidR="00620EEC" w:rsidRDefault="00620EEC">
      <w:pPr>
        <w:autoSpaceDE w:val="0"/>
        <w:autoSpaceDN w:val="0"/>
        <w:adjustRightInd w:val="0"/>
        <w:jc w:val="both"/>
        <w:rPr>
          <w:rFonts w:ascii="Arial" w:hAnsi="Arial" w:cs="Arial"/>
          <w:b/>
          <w:bCs/>
          <w:sz w:val="20"/>
          <w:szCs w:val="20"/>
        </w:rPr>
      </w:pPr>
    </w:p>
    <w:p w:rsidR="00620EEC" w:rsidRDefault="00620EEC"/>
    <w:sectPr w:rsidR="00620EEC" w:rsidSect="00977CE0">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0EEC" w:rsidRDefault="00620EEC">
      <w:r>
        <w:separator/>
      </w:r>
    </w:p>
  </w:endnote>
  <w:endnote w:type="continuationSeparator" w:id="0">
    <w:p w:rsidR="00620EEC" w:rsidRDefault="0062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EEC" w:rsidRDefault="00620EEC" w:rsidP="00074C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20EEC" w:rsidRDefault="00620EEC" w:rsidP="00F070A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EEC" w:rsidRDefault="00620EEC" w:rsidP="00074C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620EEC" w:rsidRDefault="00620EEC" w:rsidP="007E7D7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0EEC" w:rsidRDefault="00620EEC">
      <w:r>
        <w:separator/>
      </w:r>
    </w:p>
  </w:footnote>
  <w:footnote w:type="continuationSeparator" w:id="0">
    <w:p w:rsidR="00620EEC" w:rsidRDefault="00620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7E30B2"/>
    <w:lvl w:ilvl="0">
      <w:numFmt w:val="bullet"/>
      <w:lvlText w:val="*"/>
      <w:lvlJc w:val="left"/>
    </w:lvl>
  </w:abstractNum>
  <w:abstractNum w:abstractNumId="1" w15:restartNumberingAfterBreak="0">
    <w:nsid w:val="065A4F98"/>
    <w:multiLevelType w:val="hybridMultilevel"/>
    <w:tmpl w:val="4B8A60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C59416F"/>
    <w:multiLevelType w:val="hybridMultilevel"/>
    <w:tmpl w:val="F21EFDD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154ADB"/>
    <w:multiLevelType w:val="multilevel"/>
    <w:tmpl w:val="7E9E02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03A051C"/>
    <w:multiLevelType w:val="hybridMultilevel"/>
    <w:tmpl w:val="F81CF4B0"/>
    <w:lvl w:ilvl="0" w:tplc="19EAACB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298A3DA5"/>
    <w:multiLevelType w:val="hybridMultilevel"/>
    <w:tmpl w:val="4A4CB438"/>
    <w:lvl w:ilvl="0" w:tplc="19EAACB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735"/>
        </w:tabs>
        <w:ind w:left="735" w:hanging="360"/>
      </w:pPr>
      <w:rPr>
        <w:rFonts w:cs="Times New Roman"/>
      </w:rPr>
    </w:lvl>
    <w:lvl w:ilvl="2" w:tplc="0405001B" w:tentative="1">
      <w:start w:val="1"/>
      <w:numFmt w:val="lowerRoman"/>
      <w:lvlText w:val="%3."/>
      <w:lvlJc w:val="right"/>
      <w:pPr>
        <w:tabs>
          <w:tab w:val="num" w:pos="1455"/>
        </w:tabs>
        <w:ind w:left="1455" w:hanging="180"/>
      </w:pPr>
      <w:rPr>
        <w:rFonts w:cs="Times New Roman"/>
      </w:rPr>
    </w:lvl>
    <w:lvl w:ilvl="3" w:tplc="0405000F" w:tentative="1">
      <w:start w:val="1"/>
      <w:numFmt w:val="decimal"/>
      <w:lvlText w:val="%4."/>
      <w:lvlJc w:val="left"/>
      <w:pPr>
        <w:tabs>
          <w:tab w:val="num" w:pos="2175"/>
        </w:tabs>
        <w:ind w:left="2175" w:hanging="360"/>
      </w:pPr>
      <w:rPr>
        <w:rFonts w:cs="Times New Roman"/>
      </w:rPr>
    </w:lvl>
    <w:lvl w:ilvl="4" w:tplc="04050019" w:tentative="1">
      <w:start w:val="1"/>
      <w:numFmt w:val="lowerLetter"/>
      <w:lvlText w:val="%5."/>
      <w:lvlJc w:val="left"/>
      <w:pPr>
        <w:tabs>
          <w:tab w:val="num" w:pos="2895"/>
        </w:tabs>
        <w:ind w:left="2895" w:hanging="360"/>
      </w:pPr>
      <w:rPr>
        <w:rFonts w:cs="Times New Roman"/>
      </w:rPr>
    </w:lvl>
    <w:lvl w:ilvl="5" w:tplc="0405001B" w:tentative="1">
      <w:start w:val="1"/>
      <w:numFmt w:val="lowerRoman"/>
      <w:lvlText w:val="%6."/>
      <w:lvlJc w:val="right"/>
      <w:pPr>
        <w:tabs>
          <w:tab w:val="num" w:pos="3615"/>
        </w:tabs>
        <w:ind w:left="3615" w:hanging="180"/>
      </w:pPr>
      <w:rPr>
        <w:rFonts w:cs="Times New Roman"/>
      </w:rPr>
    </w:lvl>
    <w:lvl w:ilvl="6" w:tplc="0405000F" w:tentative="1">
      <w:start w:val="1"/>
      <w:numFmt w:val="decimal"/>
      <w:lvlText w:val="%7."/>
      <w:lvlJc w:val="left"/>
      <w:pPr>
        <w:tabs>
          <w:tab w:val="num" w:pos="4335"/>
        </w:tabs>
        <w:ind w:left="4335" w:hanging="360"/>
      </w:pPr>
      <w:rPr>
        <w:rFonts w:cs="Times New Roman"/>
      </w:rPr>
    </w:lvl>
    <w:lvl w:ilvl="7" w:tplc="04050019" w:tentative="1">
      <w:start w:val="1"/>
      <w:numFmt w:val="lowerLetter"/>
      <w:lvlText w:val="%8."/>
      <w:lvlJc w:val="left"/>
      <w:pPr>
        <w:tabs>
          <w:tab w:val="num" w:pos="5055"/>
        </w:tabs>
        <w:ind w:left="5055" w:hanging="360"/>
      </w:pPr>
      <w:rPr>
        <w:rFonts w:cs="Times New Roman"/>
      </w:rPr>
    </w:lvl>
    <w:lvl w:ilvl="8" w:tplc="0405001B" w:tentative="1">
      <w:start w:val="1"/>
      <w:numFmt w:val="lowerRoman"/>
      <w:lvlText w:val="%9."/>
      <w:lvlJc w:val="right"/>
      <w:pPr>
        <w:tabs>
          <w:tab w:val="num" w:pos="5775"/>
        </w:tabs>
        <w:ind w:left="5775" w:hanging="180"/>
      </w:pPr>
      <w:rPr>
        <w:rFonts w:cs="Times New Roman"/>
      </w:rPr>
    </w:lvl>
  </w:abstractNum>
  <w:abstractNum w:abstractNumId="6" w15:restartNumberingAfterBreak="0">
    <w:nsid w:val="2AB51BAB"/>
    <w:multiLevelType w:val="hybridMultilevel"/>
    <w:tmpl w:val="69F41008"/>
    <w:lvl w:ilvl="0" w:tplc="19EAACB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735"/>
        </w:tabs>
        <w:ind w:left="735" w:hanging="360"/>
      </w:pPr>
      <w:rPr>
        <w:rFonts w:cs="Times New Roman"/>
      </w:rPr>
    </w:lvl>
    <w:lvl w:ilvl="2" w:tplc="0405001B" w:tentative="1">
      <w:start w:val="1"/>
      <w:numFmt w:val="lowerRoman"/>
      <w:lvlText w:val="%3."/>
      <w:lvlJc w:val="right"/>
      <w:pPr>
        <w:tabs>
          <w:tab w:val="num" w:pos="1455"/>
        </w:tabs>
        <w:ind w:left="1455" w:hanging="180"/>
      </w:pPr>
      <w:rPr>
        <w:rFonts w:cs="Times New Roman"/>
      </w:rPr>
    </w:lvl>
    <w:lvl w:ilvl="3" w:tplc="0405000F" w:tentative="1">
      <w:start w:val="1"/>
      <w:numFmt w:val="decimal"/>
      <w:lvlText w:val="%4."/>
      <w:lvlJc w:val="left"/>
      <w:pPr>
        <w:tabs>
          <w:tab w:val="num" w:pos="2175"/>
        </w:tabs>
        <w:ind w:left="2175" w:hanging="360"/>
      </w:pPr>
      <w:rPr>
        <w:rFonts w:cs="Times New Roman"/>
      </w:rPr>
    </w:lvl>
    <w:lvl w:ilvl="4" w:tplc="04050019" w:tentative="1">
      <w:start w:val="1"/>
      <w:numFmt w:val="lowerLetter"/>
      <w:lvlText w:val="%5."/>
      <w:lvlJc w:val="left"/>
      <w:pPr>
        <w:tabs>
          <w:tab w:val="num" w:pos="2895"/>
        </w:tabs>
        <w:ind w:left="2895" w:hanging="360"/>
      </w:pPr>
      <w:rPr>
        <w:rFonts w:cs="Times New Roman"/>
      </w:rPr>
    </w:lvl>
    <w:lvl w:ilvl="5" w:tplc="0405001B" w:tentative="1">
      <w:start w:val="1"/>
      <w:numFmt w:val="lowerRoman"/>
      <w:lvlText w:val="%6."/>
      <w:lvlJc w:val="right"/>
      <w:pPr>
        <w:tabs>
          <w:tab w:val="num" w:pos="3615"/>
        </w:tabs>
        <w:ind w:left="3615" w:hanging="180"/>
      </w:pPr>
      <w:rPr>
        <w:rFonts w:cs="Times New Roman"/>
      </w:rPr>
    </w:lvl>
    <w:lvl w:ilvl="6" w:tplc="0405000F" w:tentative="1">
      <w:start w:val="1"/>
      <w:numFmt w:val="decimal"/>
      <w:lvlText w:val="%7."/>
      <w:lvlJc w:val="left"/>
      <w:pPr>
        <w:tabs>
          <w:tab w:val="num" w:pos="4335"/>
        </w:tabs>
        <w:ind w:left="4335" w:hanging="360"/>
      </w:pPr>
      <w:rPr>
        <w:rFonts w:cs="Times New Roman"/>
      </w:rPr>
    </w:lvl>
    <w:lvl w:ilvl="7" w:tplc="04050019" w:tentative="1">
      <w:start w:val="1"/>
      <w:numFmt w:val="lowerLetter"/>
      <w:lvlText w:val="%8."/>
      <w:lvlJc w:val="left"/>
      <w:pPr>
        <w:tabs>
          <w:tab w:val="num" w:pos="5055"/>
        </w:tabs>
        <w:ind w:left="5055" w:hanging="360"/>
      </w:pPr>
      <w:rPr>
        <w:rFonts w:cs="Times New Roman"/>
      </w:rPr>
    </w:lvl>
    <w:lvl w:ilvl="8" w:tplc="0405001B" w:tentative="1">
      <w:start w:val="1"/>
      <w:numFmt w:val="lowerRoman"/>
      <w:lvlText w:val="%9."/>
      <w:lvlJc w:val="right"/>
      <w:pPr>
        <w:tabs>
          <w:tab w:val="num" w:pos="5775"/>
        </w:tabs>
        <w:ind w:left="5775" w:hanging="180"/>
      </w:pPr>
      <w:rPr>
        <w:rFonts w:cs="Times New Roman"/>
      </w:rPr>
    </w:lvl>
  </w:abstractNum>
  <w:abstractNum w:abstractNumId="7" w15:restartNumberingAfterBreak="0">
    <w:nsid w:val="34961F76"/>
    <w:multiLevelType w:val="hybridMultilevel"/>
    <w:tmpl w:val="4E22ED5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6663352"/>
    <w:multiLevelType w:val="hybridMultilevel"/>
    <w:tmpl w:val="0AFCE03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C3F0E1C"/>
    <w:multiLevelType w:val="multilevel"/>
    <w:tmpl w:val="5B3C712A"/>
    <w:lvl w:ilvl="0">
      <w:start w:val="5"/>
      <w:numFmt w:val="lowerLetter"/>
      <w:lvlText w:val="%1)"/>
      <w:lvlJc w:val="left"/>
      <w:pPr>
        <w:tabs>
          <w:tab w:val="num" w:pos="870"/>
        </w:tabs>
        <w:ind w:left="870" w:hanging="87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0" w15:restartNumberingAfterBreak="0">
    <w:nsid w:val="3FB0103A"/>
    <w:multiLevelType w:val="hybridMultilevel"/>
    <w:tmpl w:val="5B14952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3979B4"/>
    <w:multiLevelType w:val="multilevel"/>
    <w:tmpl w:val="4A4CB43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35"/>
        </w:tabs>
        <w:ind w:left="735" w:hanging="360"/>
      </w:pPr>
      <w:rPr>
        <w:rFonts w:cs="Times New Roman"/>
      </w:rPr>
    </w:lvl>
    <w:lvl w:ilvl="2">
      <w:start w:val="1"/>
      <w:numFmt w:val="lowerRoman"/>
      <w:lvlText w:val="%3."/>
      <w:lvlJc w:val="right"/>
      <w:pPr>
        <w:tabs>
          <w:tab w:val="num" w:pos="1455"/>
        </w:tabs>
        <w:ind w:left="1455" w:hanging="180"/>
      </w:pPr>
      <w:rPr>
        <w:rFonts w:cs="Times New Roman"/>
      </w:rPr>
    </w:lvl>
    <w:lvl w:ilvl="3">
      <w:start w:val="1"/>
      <w:numFmt w:val="decimal"/>
      <w:lvlText w:val="%4."/>
      <w:lvlJc w:val="left"/>
      <w:pPr>
        <w:tabs>
          <w:tab w:val="num" w:pos="2175"/>
        </w:tabs>
        <w:ind w:left="2175" w:hanging="360"/>
      </w:pPr>
      <w:rPr>
        <w:rFonts w:cs="Times New Roman"/>
      </w:rPr>
    </w:lvl>
    <w:lvl w:ilvl="4">
      <w:start w:val="1"/>
      <w:numFmt w:val="lowerLetter"/>
      <w:lvlText w:val="%5."/>
      <w:lvlJc w:val="left"/>
      <w:pPr>
        <w:tabs>
          <w:tab w:val="num" w:pos="2895"/>
        </w:tabs>
        <w:ind w:left="2895" w:hanging="360"/>
      </w:pPr>
      <w:rPr>
        <w:rFonts w:cs="Times New Roman"/>
      </w:rPr>
    </w:lvl>
    <w:lvl w:ilvl="5">
      <w:start w:val="1"/>
      <w:numFmt w:val="lowerRoman"/>
      <w:lvlText w:val="%6."/>
      <w:lvlJc w:val="right"/>
      <w:pPr>
        <w:tabs>
          <w:tab w:val="num" w:pos="3615"/>
        </w:tabs>
        <w:ind w:left="3615" w:hanging="180"/>
      </w:pPr>
      <w:rPr>
        <w:rFonts w:cs="Times New Roman"/>
      </w:rPr>
    </w:lvl>
    <w:lvl w:ilvl="6">
      <w:start w:val="1"/>
      <w:numFmt w:val="decimal"/>
      <w:lvlText w:val="%7."/>
      <w:lvlJc w:val="left"/>
      <w:pPr>
        <w:tabs>
          <w:tab w:val="num" w:pos="4335"/>
        </w:tabs>
        <w:ind w:left="4335" w:hanging="360"/>
      </w:pPr>
      <w:rPr>
        <w:rFonts w:cs="Times New Roman"/>
      </w:rPr>
    </w:lvl>
    <w:lvl w:ilvl="7">
      <w:start w:val="1"/>
      <w:numFmt w:val="lowerLetter"/>
      <w:lvlText w:val="%8."/>
      <w:lvlJc w:val="left"/>
      <w:pPr>
        <w:tabs>
          <w:tab w:val="num" w:pos="5055"/>
        </w:tabs>
        <w:ind w:left="5055" w:hanging="360"/>
      </w:pPr>
      <w:rPr>
        <w:rFonts w:cs="Times New Roman"/>
      </w:rPr>
    </w:lvl>
    <w:lvl w:ilvl="8">
      <w:start w:val="1"/>
      <w:numFmt w:val="lowerRoman"/>
      <w:lvlText w:val="%9."/>
      <w:lvlJc w:val="right"/>
      <w:pPr>
        <w:tabs>
          <w:tab w:val="num" w:pos="5775"/>
        </w:tabs>
        <w:ind w:left="5775" w:hanging="180"/>
      </w:pPr>
      <w:rPr>
        <w:rFonts w:cs="Times New Roman"/>
      </w:rPr>
    </w:lvl>
  </w:abstractNum>
  <w:abstractNum w:abstractNumId="12" w15:restartNumberingAfterBreak="0">
    <w:nsid w:val="46E5159B"/>
    <w:multiLevelType w:val="hybridMultilevel"/>
    <w:tmpl w:val="01A0C24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8A11FB"/>
    <w:multiLevelType w:val="hybridMultilevel"/>
    <w:tmpl w:val="FD16C6E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DAF04FA"/>
    <w:multiLevelType w:val="hybridMultilevel"/>
    <w:tmpl w:val="7CAC4F6C"/>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4E444525"/>
    <w:multiLevelType w:val="hybridMultilevel"/>
    <w:tmpl w:val="C172E46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3AD4027"/>
    <w:multiLevelType w:val="hybridMultilevel"/>
    <w:tmpl w:val="CB144888"/>
    <w:lvl w:ilvl="0" w:tplc="CD6679BE">
      <w:start w:val="5"/>
      <w:numFmt w:val="lowerLetter"/>
      <w:lvlText w:val="%1)"/>
      <w:lvlJc w:val="left"/>
      <w:pPr>
        <w:tabs>
          <w:tab w:val="num" w:pos="870"/>
        </w:tabs>
        <w:ind w:left="870" w:hanging="87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17" w15:restartNumberingAfterBreak="0">
    <w:nsid w:val="648E574F"/>
    <w:multiLevelType w:val="hybridMultilevel"/>
    <w:tmpl w:val="5F46887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B0B5EFC"/>
    <w:multiLevelType w:val="hybridMultilevel"/>
    <w:tmpl w:val="FACAD810"/>
    <w:lvl w:ilvl="0" w:tplc="0405000F">
      <w:start w:val="1"/>
      <w:numFmt w:val="decimal"/>
      <w:lvlText w:val="%1."/>
      <w:lvlJc w:val="left"/>
      <w:pPr>
        <w:tabs>
          <w:tab w:val="num" w:pos="360"/>
        </w:tabs>
        <w:ind w:left="360" w:hanging="360"/>
      </w:pPr>
      <w:rPr>
        <w:rFonts w:cs="Times New Roman"/>
      </w:rPr>
    </w:lvl>
    <w:lvl w:ilvl="1" w:tplc="19EAACB8">
      <w:start w:val="1"/>
      <w:numFmt w:val="lowerLetter"/>
      <w:lvlText w:val="%2)"/>
      <w:lvlJc w:val="left"/>
      <w:pPr>
        <w:tabs>
          <w:tab w:val="num" w:pos="1080"/>
        </w:tabs>
        <w:ind w:left="1080" w:hanging="360"/>
      </w:pPr>
      <w:rPr>
        <w:rFonts w:cs="Times New Roman"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5B9177F"/>
    <w:multiLevelType w:val="hybridMultilevel"/>
    <w:tmpl w:val="B7E66E92"/>
    <w:lvl w:ilvl="0" w:tplc="CD6679BE">
      <w:start w:val="5"/>
      <w:numFmt w:val="lowerLetter"/>
      <w:lvlText w:val="%1)"/>
      <w:lvlJc w:val="left"/>
      <w:pPr>
        <w:tabs>
          <w:tab w:val="num" w:pos="870"/>
        </w:tabs>
        <w:ind w:left="870" w:hanging="87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20" w15:restartNumberingAfterBreak="0">
    <w:nsid w:val="7ACB0468"/>
    <w:multiLevelType w:val="hybridMultilevel"/>
    <w:tmpl w:val="7E9E028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1"/>
  </w:num>
  <w:num w:numId="3">
    <w:abstractNumId w:val="6"/>
  </w:num>
  <w:num w:numId="4">
    <w:abstractNumId w:val="5"/>
  </w:num>
  <w:num w:numId="5">
    <w:abstractNumId w:val="11"/>
  </w:num>
  <w:num w:numId="6">
    <w:abstractNumId w:val="8"/>
  </w:num>
  <w:num w:numId="7">
    <w:abstractNumId w:val="16"/>
  </w:num>
  <w:num w:numId="8">
    <w:abstractNumId w:val="19"/>
  </w:num>
  <w:num w:numId="9">
    <w:abstractNumId w:val="4"/>
  </w:num>
  <w:num w:numId="10">
    <w:abstractNumId w:val="9"/>
  </w:num>
  <w:num w:numId="11">
    <w:abstractNumId w:val="12"/>
  </w:num>
  <w:num w:numId="12">
    <w:abstractNumId w:val="20"/>
  </w:num>
  <w:num w:numId="13">
    <w:abstractNumId w:val="3"/>
  </w:num>
  <w:num w:numId="14">
    <w:abstractNumId w:val="18"/>
  </w:num>
  <w:num w:numId="15">
    <w:abstractNumId w:val="17"/>
  </w:num>
  <w:num w:numId="16">
    <w:abstractNumId w:val="13"/>
  </w:num>
  <w:num w:numId="17">
    <w:abstractNumId w:val="7"/>
  </w:num>
  <w:num w:numId="18">
    <w:abstractNumId w:val="10"/>
  </w:num>
  <w:num w:numId="19">
    <w:abstractNumId w:val="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722A"/>
    <w:rsid w:val="00011E3C"/>
    <w:rsid w:val="00016A73"/>
    <w:rsid w:val="00047CC5"/>
    <w:rsid w:val="0005143F"/>
    <w:rsid w:val="00074CF3"/>
    <w:rsid w:val="00080067"/>
    <w:rsid w:val="000A79E7"/>
    <w:rsid w:val="000F0A6A"/>
    <w:rsid w:val="00100ABC"/>
    <w:rsid w:val="0013368F"/>
    <w:rsid w:val="00164332"/>
    <w:rsid w:val="00166A6F"/>
    <w:rsid w:val="001738B4"/>
    <w:rsid w:val="00183F15"/>
    <w:rsid w:val="0019017D"/>
    <w:rsid w:val="001A7512"/>
    <w:rsid w:val="001D7342"/>
    <w:rsid w:val="001E16DB"/>
    <w:rsid w:val="001E68D5"/>
    <w:rsid w:val="001E69DD"/>
    <w:rsid w:val="002816C8"/>
    <w:rsid w:val="00282B6E"/>
    <w:rsid w:val="002F55A3"/>
    <w:rsid w:val="002F6B91"/>
    <w:rsid w:val="003311FD"/>
    <w:rsid w:val="003739B0"/>
    <w:rsid w:val="003A1193"/>
    <w:rsid w:val="003E479F"/>
    <w:rsid w:val="004157F7"/>
    <w:rsid w:val="004310A1"/>
    <w:rsid w:val="0044527B"/>
    <w:rsid w:val="00460700"/>
    <w:rsid w:val="00466866"/>
    <w:rsid w:val="004A2AD3"/>
    <w:rsid w:val="004E2F47"/>
    <w:rsid w:val="004F058B"/>
    <w:rsid w:val="00520EA2"/>
    <w:rsid w:val="005541B5"/>
    <w:rsid w:val="00561B05"/>
    <w:rsid w:val="00563CB0"/>
    <w:rsid w:val="005847EE"/>
    <w:rsid w:val="00586901"/>
    <w:rsid w:val="005D1233"/>
    <w:rsid w:val="0060703A"/>
    <w:rsid w:val="006145E0"/>
    <w:rsid w:val="00620EEC"/>
    <w:rsid w:val="006210A6"/>
    <w:rsid w:val="00627B37"/>
    <w:rsid w:val="00632323"/>
    <w:rsid w:val="0063722A"/>
    <w:rsid w:val="00637E46"/>
    <w:rsid w:val="00671EF0"/>
    <w:rsid w:val="00697BE4"/>
    <w:rsid w:val="006E4E82"/>
    <w:rsid w:val="006F4F17"/>
    <w:rsid w:val="0070282A"/>
    <w:rsid w:val="0070560A"/>
    <w:rsid w:val="0070618B"/>
    <w:rsid w:val="007232B8"/>
    <w:rsid w:val="00730DEB"/>
    <w:rsid w:val="00766522"/>
    <w:rsid w:val="007E7D7B"/>
    <w:rsid w:val="007F507D"/>
    <w:rsid w:val="00857966"/>
    <w:rsid w:val="00881F3E"/>
    <w:rsid w:val="008C78E5"/>
    <w:rsid w:val="008D76D4"/>
    <w:rsid w:val="008F7329"/>
    <w:rsid w:val="00915DEF"/>
    <w:rsid w:val="009616BC"/>
    <w:rsid w:val="00966D74"/>
    <w:rsid w:val="00977CE0"/>
    <w:rsid w:val="00980918"/>
    <w:rsid w:val="009931B2"/>
    <w:rsid w:val="00995A5A"/>
    <w:rsid w:val="009A3584"/>
    <w:rsid w:val="00A66A17"/>
    <w:rsid w:val="00A76060"/>
    <w:rsid w:val="00A76BBF"/>
    <w:rsid w:val="00A77860"/>
    <w:rsid w:val="00A83931"/>
    <w:rsid w:val="00A845BD"/>
    <w:rsid w:val="00AA02DA"/>
    <w:rsid w:val="00AA11B3"/>
    <w:rsid w:val="00B61E95"/>
    <w:rsid w:val="00B773C2"/>
    <w:rsid w:val="00B84ED2"/>
    <w:rsid w:val="00B877BA"/>
    <w:rsid w:val="00B9544F"/>
    <w:rsid w:val="00BD0381"/>
    <w:rsid w:val="00BD5211"/>
    <w:rsid w:val="00BE4686"/>
    <w:rsid w:val="00C004DD"/>
    <w:rsid w:val="00C07A21"/>
    <w:rsid w:val="00C25554"/>
    <w:rsid w:val="00C50291"/>
    <w:rsid w:val="00CA1C7B"/>
    <w:rsid w:val="00CC5CB6"/>
    <w:rsid w:val="00CE377F"/>
    <w:rsid w:val="00D75174"/>
    <w:rsid w:val="00D7656B"/>
    <w:rsid w:val="00D77B18"/>
    <w:rsid w:val="00D917B5"/>
    <w:rsid w:val="00D96B06"/>
    <w:rsid w:val="00DA2FDA"/>
    <w:rsid w:val="00DB749B"/>
    <w:rsid w:val="00DC6C03"/>
    <w:rsid w:val="00DE1A36"/>
    <w:rsid w:val="00E00DF9"/>
    <w:rsid w:val="00E27C1A"/>
    <w:rsid w:val="00E32800"/>
    <w:rsid w:val="00EB1BAE"/>
    <w:rsid w:val="00ED2685"/>
    <w:rsid w:val="00F070AD"/>
    <w:rsid w:val="00F13832"/>
    <w:rsid w:val="00F63245"/>
    <w:rsid w:val="00F66A19"/>
    <w:rsid w:val="00F82F84"/>
    <w:rsid w:val="00F94140"/>
    <w:rsid w:val="00FC311D"/>
    <w:rsid w:val="00FC5084"/>
    <w:rsid w:val="00FD1102"/>
    <w:rsid w:val="00FF5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2153A3E-BA2A-4511-BB33-2B2AA9E9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locked="1" w:uiPriority="0"/>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22A"/>
    <w:pPr>
      <w:spacing w:after="0" w:line="240" w:lineRule="auto"/>
    </w:pPr>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71EF0"/>
    <w:rPr>
      <w:rFonts w:ascii="Tahoma" w:hAnsi="Tahoma" w:cs="Tahoma"/>
      <w:sz w:val="16"/>
      <w:szCs w:val="16"/>
    </w:rPr>
  </w:style>
  <w:style w:type="character" w:customStyle="1" w:styleId="TextbublinyChar">
    <w:name w:val="Text bubliny Char"/>
    <w:basedOn w:val="Standardnpsmoodstavce"/>
    <w:link w:val="Textbubliny"/>
    <w:uiPriority w:val="99"/>
    <w:semiHidden/>
    <w:rsid w:val="00046F67"/>
    <w:rPr>
      <w:rFonts w:ascii="Segoe UI" w:hAnsi="Segoe UI" w:cs="Segoe UI"/>
      <w:sz w:val="18"/>
      <w:szCs w:val="18"/>
    </w:rPr>
  </w:style>
  <w:style w:type="paragraph" w:styleId="Zpat">
    <w:name w:val="footer"/>
    <w:basedOn w:val="Normln"/>
    <w:link w:val="ZpatChar"/>
    <w:uiPriority w:val="99"/>
    <w:rsid w:val="00F070AD"/>
    <w:pPr>
      <w:tabs>
        <w:tab w:val="center" w:pos="4536"/>
        <w:tab w:val="right" w:pos="9072"/>
      </w:tabs>
    </w:pPr>
  </w:style>
  <w:style w:type="character" w:customStyle="1" w:styleId="ZpatChar">
    <w:name w:val="Zápatí Char"/>
    <w:basedOn w:val="Standardnpsmoodstavce"/>
    <w:link w:val="Zpat"/>
    <w:uiPriority w:val="99"/>
    <w:semiHidden/>
    <w:rsid w:val="00046F67"/>
    <w:rPr>
      <w:sz w:val="24"/>
      <w:szCs w:val="24"/>
    </w:rPr>
  </w:style>
  <w:style w:type="character" w:styleId="slostrnky">
    <w:name w:val="page number"/>
    <w:basedOn w:val="Standardnpsmoodstavce"/>
    <w:uiPriority w:val="99"/>
    <w:rsid w:val="00F070AD"/>
    <w:rPr>
      <w:rFonts w:cs="Times New Roman"/>
    </w:rPr>
  </w:style>
  <w:style w:type="paragraph" w:styleId="Zhlav">
    <w:name w:val="header"/>
    <w:basedOn w:val="Normln"/>
    <w:link w:val="ZhlavChar"/>
    <w:uiPriority w:val="99"/>
    <w:rsid w:val="007E7D7B"/>
    <w:pPr>
      <w:tabs>
        <w:tab w:val="center" w:pos="4536"/>
        <w:tab w:val="right" w:pos="9072"/>
      </w:tabs>
    </w:pPr>
  </w:style>
  <w:style w:type="character" w:customStyle="1" w:styleId="ZhlavChar">
    <w:name w:val="Záhlaví Char"/>
    <w:basedOn w:val="Standardnpsmoodstavce"/>
    <w:link w:val="Zhlav"/>
    <w:uiPriority w:val="99"/>
    <w:locked/>
    <w:rsid w:val="007E7D7B"/>
    <w:rPr>
      <w:sz w:val="24"/>
    </w:rPr>
  </w:style>
  <w:style w:type="character" w:styleId="Hypertextovodkaz">
    <w:name w:val="Hyperlink"/>
    <w:basedOn w:val="Standardnpsmoodstavce"/>
    <w:uiPriority w:val="99"/>
    <w:rsid w:val="001D7342"/>
    <w:rPr>
      <w:rFonts w:cs="Times New Roman"/>
      <w:color w:val="0563C1"/>
      <w:u w:val="single"/>
    </w:rPr>
  </w:style>
  <w:style w:type="paragraph" w:styleId="Odstavecseseznamem">
    <w:name w:val="List Paragraph"/>
    <w:basedOn w:val="Normln"/>
    <w:uiPriority w:val="99"/>
    <w:qFormat/>
    <w:rsid w:val="00B877BA"/>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2825</Words>
  <Characters>16668</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Gilar</cp:lastModifiedBy>
  <cp:revision>2</cp:revision>
  <dcterms:created xsi:type="dcterms:W3CDTF">2020-06-08T10:50:00Z</dcterms:created>
  <dcterms:modified xsi:type="dcterms:W3CDTF">2020-06-08T10:50:00Z</dcterms:modified>
</cp:coreProperties>
</file>