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7B52B7">
      <w:pPr>
        <w:ind w:left="4956" w:firstLine="708"/>
        <w:jc w:val="center"/>
        <w:rPr>
          <w:rFonts w:asciiTheme="minorHAnsi" w:hAnsiTheme="minorHAnsi"/>
          <w:b/>
          <w:sz w:val="28"/>
          <w:szCs w:val="28"/>
        </w:rPr>
      </w:pP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D75B14">
        <w:rPr>
          <w:rFonts w:ascii="Calibri" w:hAnsi="Calibri"/>
          <w:b/>
          <w:sz w:val="28"/>
          <w:szCs w:val="28"/>
        </w:rPr>
        <w:t>00101/</w:t>
      </w:r>
      <w:r>
        <w:rPr>
          <w:rFonts w:ascii="Calibri" w:hAnsi="Calibri"/>
          <w:b/>
          <w:sz w:val="28"/>
          <w:szCs w:val="28"/>
        </w:rPr>
        <w:t>1</w:t>
      </w:r>
      <w:r w:rsidR="0009031F">
        <w:rPr>
          <w:rFonts w:ascii="Calibri" w:hAnsi="Calibri"/>
          <w:b/>
          <w:sz w:val="28"/>
          <w:szCs w:val="28"/>
        </w:rPr>
        <w:t>6</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EE5280" w:rsidRDefault="00EE5280" w:rsidP="00EE5280">
      <w:pPr>
        <w:widowControl w:val="0"/>
        <w:tabs>
          <w:tab w:val="left" w:pos="426"/>
        </w:tabs>
        <w:jc w:val="both"/>
      </w:pPr>
      <w:r>
        <w:rPr>
          <w:rFonts w:asciiTheme="minorHAnsi" w:hAnsiTheme="minorHAnsi"/>
          <w:b/>
          <w:sz w:val="22"/>
          <w:szCs w:val="22"/>
        </w:rPr>
        <w:t xml:space="preserve">        </w:t>
      </w:r>
      <w:r w:rsidRPr="00EE5280">
        <w:rPr>
          <w:rFonts w:ascii="Calibri" w:hAnsi="Calibri"/>
          <w:sz w:val="22"/>
          <w:szCs w:val="22"/>
        </w:rPr>
        <w:t xml:space="preserve">Péče o duševní zdraví – středisko </w:t>
      </w:r>
      <w:proofErr w:type="gramStart"/>
      <w:r w:rsidRPr="00EE5280">
        <w:rPr>
          <w:rFonts w:ascii="Calibri" w:hAnsi="Calibri"/>
          <w:sz w:val="22"/>
          <w:szCs w:val="22"/>
        </w:rPr>
        <w:t>Výměník, z.s.</w:t>
      </w:r>
      <w:proofErr w:type="gramEnd"/>
    </w:p>
    <w:p w:rsidR="00EE5280" w:rsidRDefault="00EE5280" w:rsidP="00EE5280">
      <w:pPr>
        <w:pStyle w:val="Odstavecseseznamem"/>
        <w:tabs>
          <w:tab w:val="left" w:pos="426"/>
        </w:tabs>
        <w:ind w:left="360"/>
      </w:pPr>
      <w:r>
        <w:rPr>
          <w:rFonts w:ascii="Calibri" w:hAnsi="Calibri"/>
          <w:sz w:val="22"/>
          <w:szCs w:val="22"/>
        </w:rPr>
        <w:t xml:space="preserve"> </w:t>
      </w:r>
      <w:r w:rsidRPr="00EE5280">
        <w:rPr>
          <w:rFonts w:ascii="Calibri" w:hAnsi="Calibri"/>
          <w:sz w:val="22"/>
          <w:szCs w:val="22"/>
        </w:rPr>
        <w:t xml:space="preserve">sídlo: </w:t>
      </w:r>
      <w:r w:rsidRPr="00EE5280">
        <w:rPr>
          <w:rFonts w:asciiTheme="minorHAnsi" w:hAnsiTheme="minorHAnsi"/>
          <w:sz w:val="22"/>
          <w:szCs w:val="22"/>
        </w:rPr>
        <w:t>Mladých 325, Polabiny, 530 09 Pardubice</w:t>
      </w:r>
    </w:p>
    <w:p w:rsidR="00EE5280" w:rsidRPr="00EE5280" w:rsidRDefault="00EE5280" w:rsidP="00EE5280">
      <w:pPr>
        <w:pStyle w:val="Odstavecseseznamem"/>
        <w:tabs>
          <w:tab w:val="left" w:pos="426"/>
        </w:tabs>
        <w:ind w:left="360"/>
        <w:rPr>
          <w:rFonts w:ascii="Calibri" w:hAnsi="Calibri"/>
          <w:sz w:val="22"/>
          <w:szCs w:val="22"/>
        </w:rPr>
      </w:pPr>
      <w:r>
        <w:rPr>
          <w:rFonts w:ascii="Calibri" w:hAnsi="Calibri"/>
          <w:sz w:val="22"/>
          <w:szCs w:val="22"/>
        </w:rPr>
        <w:t xml:space="preserve"> </w:t>
      </w:r>
      <w:r w:rsidRPr="00EE5280">
        <w:rPr>
          <w:rFonts w:ascii="Calibri" w:hAnsi="Calibri"/>
          <w:sz w:val="22"/>
          <w:szCs w:val="22"/>
        </w:rPr>
        <w:t>IČ: 71238514</w:t>
      </w:r>
    </w:p>
    <w:p w:rsidR="00EE5280" w:rsidRPr="00EE5280" w:rsidRDefault="00EE5280" w:rsidP="00EE5280">
      <w:pPr>
        <w:pStyle w:val="Odstavecseseznamem"/>
        <w:tabs>
          <w:tab w:val="left" w:pos="426"/>
        </w:tabs>
        <w:ind w:left="360"/>
        <w:rPr>
          <w:rFonts w:ascii="Calibri" w:hAnsi="Calibri"/>
          <w:sz w:val="22"/>
          <w:szCs w:val="22"/>
        </w:rPr>
      </w:pPr>
      <w:r>
        <w:rPr>
          <w:rFonts w:ascii="Calibri" w:hAnsi="Calibri"/>
          <w:sz w:val="22"/>
          <w:szCs w:val="22"/>
        </w:rPr>
        <w:t xml:space="preserve"> </w:t>
      </w:r>
      <w:r w:rsidRPr="00EE5280">
        <w:rPr>
          <w:rFonts w:ascii="Calibri" w:hAnsi="Calibri"/>
          <w:sz w:val="22"/>
          <w:szCs w:val="22"/>
        </w:rPr>
        <w:t>bankovní spojení: 1210713329/0800</w:t>
      </w:r>
    </w:p>
    <w:p w:rsidR="00EE5280" w:rsidRPr="00EE5280" w:rsidRDefault="00EE5280" w:rsidP="00EE5280">
      <w:pPr>
        <w:pStyle w:val="Odstavecseseznamem"/>
        <w:tabs>
          <w:tab w:val="left" w:pos="426"/>
        </w:tabs>
        <w:ind w:left="360"/>
        <w:rPr>
          <w:rFonts w:ascii="Calibri" w:hAnsi="Calibri"/>
          <w:sz w:val="22"/>
          <w:szCs w:val="22"/>
        </w:rPr>
      </w:pPr>
      <w:r w:rsidRPr="00EE5280">
        <w:rPr>
          <w:rFonts w:ascii="Calibri" w:hAnsi="Calibri"/>
          <w:sz w:val="22"/>
          <w:szCs w:val="22"/>
        </w:rPr>
        <w:tab/>
        <w:t>zastoupená: MUDr. Petrem Hejzlarem</w:t>
      </w:r>
    </w:p>
    <w:p w:rsidR="00EE5280" w:rsidRDefault="00EE5280" w:rsidP="00EE5280">
      <w:pPr>
        <w:pStyle w:val="Odstavecseseznamem"/>
        <w:widowControl w:val="0"/>
        <w:tabs>
          <w:tab w:val="left" w:pos="426"/>
        </w:tabs>
        <w:ind w:left="360"/>
        <w:jc w:val="both"/>
      </w:pPr>
      <w:r w:rsidRPr="00EE5280">
        <w:rPr>
          <w:rFonts w:ascii="Calibri" w:hAnsi="Calibri"/>
          <w:sz w:val="22"/>
          <w:szCs w:val="22"/>
        </w:rPr>
        <w:tab/>
      </w:r>
      <w:r w:rsidRPr="00EE5280">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2016</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6F17D6">
        <w:rPr>
          <w:rFonts w:ascii="Calibri" w:hAnsi="Calibri"/>
          <w:sz w:val="22"/>
          <w:szCs w:val="22"/>
        </w:rPr>
        <w:t>6</w:t>
      </w:r>
      <w:r w:rsidRPr="00FE0A7A">
        <w:rPr>
          <w:rFonts w:ascii="Calibri" w:hAnsi="Calibri"/>
          <w:sz w:val="22"/>
          <w:szCs w:val="22"/>
        </w:rPr>
        <w:t xml:space="preserve"> schválená Radou města Pardubice </w:t>
      </w:r>
      <w:r w:rsidR="00C07F0D">
        <w:rPr>
          <w:rFonts w:ascii="Calibri" w:hAnsi="Calibri"/>
          <w:sz w:val="22"/>
          <w:szCs w:val="22"/>
        </w:rPr>
        <w:t xml:space="preserve">dne </w:t>
      </w:r>
      <w:proofErr w:type="gramStart"/>
      <w:r w:rsidR="00C07F0D">
        <w:rPr>
          <w:rFonts w:ascii="Calibri" w:hAnsi="Calibri"/>
          <w:sz w:val="22"/>
          <w:szCs w:val="22"/>
        </w:rPr>
        <w:t>21.09.2015</w:t>
      </w:r>
      <w:proofErr w:type="gramEnd"/>
      <w:r w:rsidR="00C07F0D">
        <w:rPr>
          <w:rFonts w:ascii="Calibri" w:hAnsi="Calibri"/>
          <w:sz w:val="22"/>
          <w:szCs w:val="22"/>
        </w:rPr>
        <w:t xml:space="preserve"> usnesením č. RM/1398/2015</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6F17D6">
        <w:rPr>
          <w:rFonts w:ascii="Calibri" w:hAnsi="Calibri"/>
          <w:sz w:val="22"/>
          <w:szCs w:val="22"/>
        </w:rPr>
        <w:t>6</w:t>
      </w:r>
      <w:r w:rsidRPr="00FE0A7A">
        <w:rPr>
          <w:rFonts w:ascii="Calibri" w:hAnsi="Calibri"/>
          <w:sz w:val="22"/>
          <w:szCs w:val="22"/>
        </w:rPr>
        <w:t xml:space="preserve"> ve </w:t>
      </w:r>
      <w:r w:rsidR="00E238EC" w:rsidRPr="00FE0A7A">
        <w:rPr>
          <w:rFonts w:ascii="Calibri" w:hAnsi="Calibri"/>
          <w:sz w:val="22"/>
          <w:szCs w:val="22"/>
        </w:rPr>
        <w:t xml:space="preserve">výši </w:t>
      </w:r>
      <w:r w:rsidR="005D506C">
        <w:rPr>
          <w:rFonts w:ascii="Calibri" w:hAnsi="Calibri"/>
          <w:b/>
          <w:sz w:val="22"/>
          <w:szCs w:val="22"/>
        </w:rPr>
        <w:t>60</w:t>
      </w:r>
      <w:r w:rsidR="006F17D6">
        <w:rPr>
          <w:rFonts w:ascii="Calibri" w:hAnsi="Calibri"/>
          <w:b/>
          <w:sz w:val="22"/>
          <w:szCs w:val="22"/>
        </w:rPr>
        <w:t xml:space="preserve"> </w:t>
      </w:r>
      <w:r w:rsidR="005D506C">
        <w:rPr>
          <w:rFonts w:ascii="Calibri" w:hAnsi="Calibri"/>
          <w:b/>
          <w:sz w:val="22"/>
          <w:szCs w:val="22"/>
        </w:rPr>
        <w:t>4</w:t>
      </w:r>
      <w:r w:rsidR="00BB71AF">
        <w:rPr>
          <w:rFonts w:ascii="Calibri" w:hAnsi="Calibri"/>
          <w:b/>
          <w:sz w:val="22"/>
          <w:szCs w:val="22"/>
        </w:rPr>
        <w:t>5</w:t>
      </w:r>
      <w:r w:rsidR="006F17D6">
        <w:rPr>
          <w:rFonts w:ascii="Calibri" w:hAnsi="Calibri"/>
          <w:b/>
          <w:sz w:val="22"/>
          <w:szCs w:val="22"/>
        </w:rPr>
        <w:t>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5D506C">
        <w:rPr>
          <w:rFonts w:ascii="Calibri" w:hAnsi="Calibri"/>
          <w:sz w:val="22"/>
          <w:szCs w:val="22"/>
        </w:rPr>
        <w:t>Šedesáttisícčtyřistapadesát</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BB71AF">
        <w:rPr>
          <w:rFonts w:ascii="Calibri" w:hAnsi="Calibri"/>
          <w:b/>
          <w:sz w:val="22"/>
          <w:szCs w:val="22"/>
        </w:rPr>
        <w:t>Sociální rehabilitace</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6F17D6">
        <w:rPr>
          <w:rFonts w:ascii="Calibri" w:hAnsi="Calibri"/>
          <w:sz w:val="22"/>
          <w:szCs w:val="22"/>
        </w:rPr>
        <w:t>6</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6F17D6">
        <w:rPr>
          <w:rFonts w:ascii="Calibri" w:hAnsi="Calibri"/>
          <w:sz w:val="22"/>
          <w:szCs w:val="22"/>
        </w:rPr>
        <w:t>06</w:t>
      </w:r>
      <w:r w:rsidR="002B6DD9">
        <w:rPr>
          <w:rFonts w:ascii="Calibri" w:hAnsi="Calibri"/>
          <w:sz w:val="22"/>
          <w:szCs w:val="22"/>
        </w:rPr>
        <w:t>.</w:t>
      </w:r>
      <w:r w:rsidR="006F17D6">
        <w:rPr>
          <w:rFonts w:ascii="Calibri" w:hAnsi="Calibri"/>
          <w:sz w:val="22"/>
          <w:szCs w:val="22"/>
        </w:rPr>
        <w:t>11</w:t>
      </w:r>
      <w:r w:rsidR="002B6DD9">
        <w:rPr>
          <w:rFonts w:ascii="Calibri" w:hAnsi="Calibri"/>
          <w:sz w:val="22"/>
          <w:szCs w:val="22"/>
        </w:rPr>
        <w:t>.2015</w:t>
      </w:r>
      <w:r w:rsidRPr="00FE0A7A">
        <w:rPr>
          <w:rFonts w:ascii="Calibri" w:hAnsi="Calibri"/>
          <w:sz w:val="22"/>
          <w:szCs w:val="22"/>
        </w:rPr>
        <w:t xml:space="preserve"> 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6F17D6">
        <w:rPr>
          <w:rFonts w:ascii="Calibri" w:hAnsi="Calibri"/>
          <w:sz w:val="22"/>
          <w:szCs w:val="22"/>
        </w:rPr>
        <w:t>672</w:t>
      </w:r>
      <w:r w:rsidR="005D506C">
        <w:rPr>
          <w:rFonts w:ascii="Calibri" w:hAnsi="Calibri"/>
          <w:sz w:val="22"/>
          <w:szCs w:val="22"/>
        </w:rPr>
        <w:t>8</w:t>
      </w:r>
      <w:r w:rsidR="00BB71AF">
        <w:rPr>
          <w:rFonts w:ascii="Calibri" w:hAnsi="Calibri"/>
          <w:sz w:val="22"/>
          <w:szCs w:val="22"/>
        </w:rPr>
        <w:t>0</w:t>
      </w:r>
      <w:r w:rsidR="002B6DD9">
        <w:rPr>
          <w:rFonts w:ascii="Calibri" w:hAnsi="Calibri"/>
          <w:sz w:val="22"/>
          <w:szCs w:val="22"/>
        </w:rPr>
        <w:t>/2015</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6F17D6">
        <w:rPr>
          <w:rFonts w:ascii="Calibri" w:hAnsi="Calibri"/>
          <w:b/>
          <w:sz w:val="22"/>
          <w:szCs w:val="22"/>
        </w:rPr>
        <w:t>6</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6F17D6">
        <w:rPr>
          <w:rFonts w:ascii="Calibri" w:hAnsi="Calibri"/>
          <w:b/>
          <w:sz w:val="22"/>
          <w:szCs w:val="22"/>
        </w:rPr>
        <w:t>6</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6F17D6">
        <w:rPr>
          <w:rFonts w:ascii="Calibri" w:hAnsi="Calibri"/>
          <w:b/>
          <w:sz w:val="22"/>
          <w:szCs w:val="22"/>
        </w:rPr>
        <w:t>6</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6F17D6">
        <w:rPr>
          <w:rFonts w:ascii="Calibri" w:hAnsi="Calibri"/>
          <w:b/>
          <w:sz w:val="22"/>
          <w:szCs w:val="22"/>
        </w:rPr>
        <w:t>6</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0A0147" w:rsidRPr="00FE0A7A"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za účelem </w:t>
      </w:r>
      <w:r w:rsidR="00DE74F5" w:rsidRPr="00FE0A7A">
        <w:rPr>
          <w:rFonts w:ascii="Calibri" w:hAnsi="Calibri"/>
          <w:sz w:val="22"/>
          <w:szCs w:val="22"/>
        </w:rPr>
        <w:t xml:space="preserve">zejména </w:t>
      </w:r>
      <w:r w:rsidR="002E6D8D" w:rsidRPr="00FE0A7A">
        <w:rPr>
          <w:rFonts w:ascii="Calibri" w:hAnsi="Calibri"/>
          <w:sz w:val="22"/>
          <w:szCs w:val="22"/>
        </w:rPr>
        <w:t xml:space="preserve">jejího </w:t>
      </w:r>
      <w:r w:rsidR="000A0147" w:rsidRPr="00FE0A7A">
        <w:rPr>
          <w:rFonts w:ascii="Calibri" w:hAnsi="Calibri"/>
          <w:sz w:val="22"/>
          <w:szCs w:val="22"/>
        </w:rPr>
        <w:t>zveřejnění na webových stránkách statutárního města Pardubice</w:t>
      </w:r>
      <w:r w:rsidRPr="00FE0A7A">
        <w:rPr>
          <w:rFonts w:ascii="Calibri" w:hAnsi="Calibri"/>
          <w:sz w:val="22"/>
          <w:szCs w:val="22"/>
        </w:rPr>
        <w:t xml:space="preserve"> a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lastRenderedPageBreak/>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A035D7">
        <w:rPr>
          <w:rFonts w:ascii="Calibri" w:hAnsi="Calibri"/>
          <w:sz w:val="22"/>
          <w:szCs w:val="22"/>
        </w:rPr>
        <w:t>MUDr. Petr Hejzlar</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6F17D6" w:rsidRDefault="000A0147" w:rsidP="002B07F1">
      <w:pPr>
        <w:jc w:val="center"/>
        <w:rPr>
          <w:rFonts w:ascii="Calibri" w:hAnsi="Calibri"/>
          <w:sz w:val="22"/>
          <w:szCs w:val="22"/>
        </w:rPr>
      </w:pPr>
      <w:r w:rsidRPr="00FE0A7A">
        <w:rPr>
          <w:rFonts w:ascii="Calibri" w:hAnsi="Calibri"/>
          <w:sz w:val="22"/>
          <w:szCs w:val="22"/>
        </w:rPr>
        <w:t xml:space="preserve">Předmět této smlouvy byl schválen usnesením </w:t>
      </w:r>
      <w:r w:rsidRPr="00FE0A7A">
        <w:rPr>
          <w:rFonts w:ascii="Calibri" w:hAnsi="Calibri"/>
          <w:sz w:val="22"/>
          <w:szCs w:val="22"/>
        </w:rPr>
        <w:fldChar w:fldCharType="begin"/>
      </w:r>
      <w:r w:rsidRPr="00FE0A7A">
        <w:rPr>
          <w:rFonts w:ascii="Calibri" w:hAnsi="Calibri"/>
          <w:sz w:val="22"/>
          <w:szCs w:val="22"/>
        </w:rPr>
        <w:instrText xml:space="preserve"> Schvaleno </w:instrText>
      </w:r>
      <w:r w:rsidRPr="00FE0A7A">
        <w:rPr>
          <w:rFonts w:ascii="Calibri" w:hAnsi="Calibri"/>
          <w:sz w:val="22"/>
          <w:szCs w:val="22"/>
        </w:rPr>
        <w:fldChar w:fldCharType="separate"/>
      </w:r>
      <w:r w:rsidRPr="00FE0A7A">
        <w:rPr>
          <w:rFonts w:ascii="Calibri" w:hAnsi="Calibri"/>
          <w:sz w:val="22"/>
          <w:szCs w:val="22"/>
        </w:rPr>
        <w:t>Zastupitelstva města Pardubic</w:t>
      </w:r>
      <w:r w:rsidRPr="00FE0A7A">
        <w:rPr>
          <w:rFonts w:ascii="Calibri" w:hAnsi="Calibri"/>
          <w:sz w:val="22"/>
          <w:szCs w:val="22"/>
        </w:rPr>
        <w:fldChar w:fldCharType="end"/>
      </w:r>
      <w:r w:rsidRPr="00FE0A7A">
        <w:rPr>
          <w:rFonts w:ascii="Calibri" w:hAnsi="Calibri"/>
          <w:sz w:val="22"/>
          <w:szCs w:val="22"/>
        </w:rPr>
        <w:t xml:space="preserve"> č. </w:t>
      </w:r>
      <w:r w:rsidR="00D75B14">
        <w:rPr>
          <w:rFonts w:ascii="Calibri" w:hAnsi="Calibri"/>
          <w:sz w:val="22"/>
          <w:szCs w:val="22"/>
        </w:rPr>
        <w:t>1135</w:t>
      </w:r>
      <w:bookmarkStart w:id="0" w:name="_GoBack"/>
      <w:bookmarkEnd w:id="0"/>
      <w:r w:rsidR="00406A91">
        <w:rPr>
          <w:rFonts w:ascii="Calibri" w:hAnsi="Calibri"/>
          <w:sz w:val="22"/>
          <w:szCs w:val="22"/>
        </w:rPr>
        <w:t xml:space="preserve"> </w:t>
      </w:r>
      <w:r w:rsidRPr="00FE0A7A">
        <w:rPr>
          <w:rFonts w:ascii="Calibri" w:hAnsi="Calibri"/>
          <w:sz w:val="22"/>
          <w:szCs w:val="22"/>
        </w:rPr>
        <w:t>ze dne</w:t>
      </w:r>
      <w:r w:rsidR="0020456A">
        <w:rPr>
          <w:rFonts w:ascii="Calibri" w:hAnsi="Calibri"/>
          <w:sz w:val="22"/>
          <w:szCs w:val="22"/>
        </w:rPr>
        <w:t xml:space="preserve"> 27.06.2016 </w:t>
      </w:r>
      <w:r w:rsidRPr="00FE0A7A">
        <w:rPr>
          <w:rFonts w:ascii="Calibri" w:hAnsi="Calibri"/>
          <w:sz w:val="22"/>
          <w:szCs w:val="22"/>
        </w:rPr>
        <w:t xml:space="preserve"> </w:t>
      </w:r>
    </w:p>
    <w:p w:rsidR="00920B7A" w:rsidRPr="00FE0A7A" w:rsidRDefault="009C47C7" w:rsidP="002B07F1">
      <w:pPr>
        <w:jc w:val="center"/>
        <w:rPr>
          <w:rFonts w:ascii="Calibri" w:hAnsi="Calibri"/>
          <w:sz w:val="22"/>
          <w:szCs w:val="22"/>
        </w:rPr>
      </w:pPr>
      <w:r w:rsidRPr="00FE0A7A">
        <w:rPr>
          <w:rFonts w:ascii="Calibri" w:hAnsi="Calibri"/>
          <w:sz w:val="22"/>
          <w:szCs w:val="22"/>
        </w:rPr>
        <w:t>Daniela Víznerová</w:t>
      </w:r>
      <w:r w:rsidR="000A0147" w:rsidRPr="00FE0A7A">
        <w:rPr>
          <w:rFonts w:ascii="Calibri" w:hAnsi="Calibri"/>
          <w:sz w:val="22"/>
          <w:szCs w:val="22"/>
        </w:rPr>
        <w:t xml:space="preserve">, </w:t>
      </w:r>
      <w:r w:rsidR="00920B7A" w:rsidRPr="00FE0A7A">
        <w:rPr>
          <w:rFonts w:ascii="Calibri" w:hAnsi="Calibri"/>
          <w:sz w:val="22"/>
          <w:szCs w:val="22"/>
        </w:rPr>
        <w:t>úsek ekonomický a rozvojových koncepcí odboru sociálních věcí</w:t>
      </w:r>
    </w:p>
    <w:p w:rsidR="00920B7A" w:rsidRPr="00FE0A7A" w:rsidRDefault="00920B7A" w:rsidP="00920B7A">
      <w:pPr>
        <w:jc w:val="center"/>
        <w:rPr>
          <w:rFonts w:ascii="Calibri" w:hAnsi="Calibri"/>
          <w:sz w:val="22"/>
          <w:szCs w:val="22"/>
        </w:rPr>
      </w:pPr>
      <w:r w:rsidRPr="00FE0A7A">
        <w:rPr>
          <w:rFonts w:ascii="Calibri" w:hAnsi="Calibri"/>
          <w:sz w:val="22"/>
          <w:szCs w:val="22"/>
        </w:rPr>
        <w:t xml:space="preserve"> Magistrátu města Pardubic</w:t>
      </w: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4C5412" w:rsidRDefault="004C5412"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Pr="00FE0A7A" w:rsidRDefault="00FB0569" w:rsidP="00D33593">
      <w:pPr>
        <w:jc w:val="center"/>
        <w:rPr>
          <w:rFonts w:ascii="Calibri" w:hAnsi="Calibri"/>
          <w:sz w:val="22"/>
          <w:szCs w:val="22"/>
        </w:rPr>
      </w:pPr>
    </w:p>
    <w:sectPr w:rsidR="00FB0569" w:rsidRPr="00FE0A7A" w:rsidSect="00A54C85">
      <w:footerReference w:type="even" r:id="rId10"/>
      <w:footerReference w:type="default" r:id="rId11"/>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CB" w:rsidRDefault="004E43CB">
      <w:r>
        <w:separator/>
      </w:r>
    </w:p>
  </w:endnote>
  <w:endnote w:type="continuationSeparator" w:id="0">
    <w:p w:rsidR="004E43CB" w:rsidRDefault="004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D75B1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75B14">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CB" w:rsidRDefault="004E43CB">
      <w:r>
        <w:separator/>
      </w:r>
    </w:p>
  </w:footnote>
  <w:footnote w:type="continuationSeparator" w:id="0">
    <w:p w:rsidR="004E43CB" w:rsidRDefault="004E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3"/>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11FF"/>
    <w:rsid w:val="00050899"/>
    <w:rsid w:val="0009031F"/>
    <w:rsid w:val="000A0147"/>
    <w:rsid w:val="00196C43"/>
    <w:rsid w:val="0020456A"/>
    <w:rsid w:val="00271822"/>
    <w:rsid w:val="0027527A"/>
    <w:rsid w:val="002B07F1"/>
    <w:rsid w:val="002B3740"/>
    <w:rsid w:val="002B6DD9"/>
    <w:rsid w:val="002E6D8D"/>
    <w:rsid w:val="0031665F"/>
    <w:rsid w:val="00393BF8"/>
    <w:rsid w:val="003C03A3"/>
    <w:rsid w:val="004008D9"/>
    <w:rsid w:val="00406A91"/>
    <w:rsid w:val="004115FE"/>
    <w:rsid w:val="00473D09"/>
    <w:rsid w:val="0049259F"/>
    <w:rsid w:val="004C5412"/>
    <w:rsid w:val="004E43CB"/>
    <w:rsid w:val="00530ED9"/>
    <w:rsid w:val="00572C7D"/>
    <w:rsid w:val="005871DF"/>
    <w:rsid w:val="005B4281"/>
    <w:rsid w:val="005C7AF6"/>
    <w:rsid w:val="005D506C"/>
    <w:rsid w:val="006F17D6"/>
    <w:rsid w:val="00714CA8"/>
    <w:rsid w:val="00764C98"/>
    <w:rsid w:val="007826B4"/>
    <w:rsid w:val="007905A7"/>
    <w:rsid w:val="007B52B7"/>
    <w:rsid w:val="007F765A"/>
    <w:rsid w:val="00835D38"/>
    <w:rsid w:val="0085045B"/>
    <w:rsid w:val="00857CBB"/>
    <w:rsid w:val="00877910"/>
    <w:rsid w:val="008C22A2"/>
    <w:rsid w:val="008D258D"/>
    <w:rsid w:val="008D53F1"/>
    <w:rsid w:val="008E7E19"/>
    <w:rsid w:val="00920B7A"/>
    <w:rsid w:val="00932B78"/>
    <w:rsid w:val="00974D3B"/>
    <w:rsid w:val="009B06CE"/>
    <w:rsid w:val="009C47C7"/>
    <w:rsid w:val="009D60BC"/>
    <w:rsid w:val="00A035D7"/>
    <w:rsid w:val="00A16F26"/>
    <w:rsid w:val="00A2236F"/>
    <w:rsid w:val="00A22708"/>
    <w:rsid w:val="00A24FD7"/>
    <w:rsid w:val="00A53C1F"/>
    <w:rsid w:val="00A60F23"/>
    <w:rsid w:val="00A66D20"/>
    <w:rsid w:val="00A93A29"/>
    <w:rsid w:val="00B33345"/>
    <w:rsid w:val="00BB71AF"/>
    <w:rsid w:val="00C07F0D"/>
    <w:rsid w:val="00C8265D"/>
    <w:rsid w:val="00CF2BB9"/>
    <w:rsid w:val="00D33593"/>
    <w:rsid w:val="00D75B14"/>
    <w:rsid w:val="00DA5360"/>
    <w:rsid w:val="00DA7859"/>
    <w:rsid w:val="00DB16DF"/>
    <w:rsid w:val="00DD5A10"/>
    <w:rsid w:val="00DE74F5"/>
    <w:rsid w:val="00E11678"/>
    <w:rsid w:val="00E238EC"/>
    <w:rsid w:val="00E77A44"/>
    <w:rsid w:val="00ED2D4B"/>
    <w:rsid w:val="00EE5280"/>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1719695515">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dubice.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BCC1-0E4A-4AB6-9CA1-F73CB033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1800</Words>
  <Characters>10621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59</cp:revision>
  <cp:lastPrinted>2016-02-01T08:07:00Z</cp:lastPrinted>
  <dcterms:created xsi:type="dcterms:W3CDTF">2015-02-25T14:21:00Z</dcterms:created>
  <dcterms:modified xsi:type="dcterms:W3CDTF">2016-08-22T06:42:00Z</dcterms:modified>
</cp:coreProperties>
</file>