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03" w:rsidRDefault="00111C03">
      <w:pPr>
        <w:pStyle w:val="Style1"/>
        <w:widowControl/>
        <w:spacing w:before="53"/>
        <w:ind w:left="2261" w:right="2318"/>
        <w:rPr>
          <w:rStyle w:val="FontStyle46"/>
        </w:rPr>
      </w:pPr>
      <w:r>
        <w:rPr>
          <w:rStyle w:val="FontStyle46"/>
        </w:rPr>
        <w:t>DODATEK č. 1 ke SMLOUVĚ O DÍLO Č. 07/2019 dle § 2586 a násl. občanského zákoníku</w:t>
      </w:r>
    </w:p>
    <w:p w:rsidR="00111C03" w:rsidRDefault="00111C03">
      <w:pPr>
        <w:pStyle w:val="Style1"/>
        <w:widowControl/>
        <w:spacing w:line="240" w:lineRule="exact"/>
        <w:jc w:val="left"/>
        <w:rPr>
          <w:sz w:val="20"/>
          <w:szCs w:val="20"/>
        </w:rPr>
      </w:pPr>
    </w:p>
    <w:p w:rsidR="00111C03" w:rsidRDefault="00111C03">
      <w:pPr>
        <w:pStyle w:val="Style1"/>
        <w:widowControl/>
        <w:spacing w:line="240" w:lineRule="exact"/>
        <w:jc w:val="left"/>
        <w:rPr>
          <w:sz w:val="20"/>
          <w:szCs w:val="20"/>
        </w:rPr>
      </w:pPr>
    </w:p>
    <w:p w:rsidR="00111C03" w:rsidRDefault="00111C03">
      <w:pPr>
        <w:pStyle w:val="Style1"/>
        <w:widowControl/>
        <w:spacing w:before="19" w:line="240" w:lineRule="auto"/>
        <w:jc w:val="left"/>
        <w:rPr>
          <w:rStyle w:val="FontStyle46"/>
        </w:rPr>
      </w:pPr>
      <w:r>
        <w:rPr>
          <w:rStyle w:val="FontStyle46"/>
        </w:rPr>
        <w:t>SMLUVNÍ STRANY</w:t>
      </w:r>
    </w:p>
    <w:p w:rsidR="00111C03" w:rsidRDefault="00111C03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111C03" w:rsidRDefault="00111C03">
      <w:pPr>
        <w:pStyle w:val="Style1"/>
        <w:widowControl/>
        <w:spacing w:before="14" w:line="240" w:lineRule="auto"/>
        <w:jc w:val="both"/>
        <w:rPr>
          <w:rStyle w:val="FontStyle46"/>
        </w:rPr>
      </w:pPr>
      <w:r>
        <w:rPr>
          <w:rStyle w:val="FontStyle46"/>
        </w:rPr>
        <w:t>Objednatel:    Hvězdárna v Rokycanech a Plzni, příspěvková organizace</w:t>
      </w:r>
    </w:p>
    <w:p w:rsidR="00111C03" w:rsidRDefault="00111C03">
      <w:pPr>
        <w:pStyle w:val="Style9"/>
        <w:widowControl/>
        <w:spacing w:before="115"/>
        <w:jc w:val="left"/>
        <w:rPr>
          <w:rStyle w:val="FontStyle47"/>
        </w:rPr>
      </w:pPr>
      <w:r>
        <w:rPr>
          <w:rStyle w:val="FontStyle47"/>
        </w:rPr>
        <w:t>Se sídlem:      Voldušská 721, 337 01 Rokycany</w:t>
      </w:r>
    </w:p>
    <w:p w:rsidR="00111C03" w:rsidRDefault="00111C03">
      <w:pPr>
        <w:pStyle w:val="Style9"/>
        <w:widowControl/>
        <w:tabs>
          <w:tab w:val="left" w:pos="1421"/>
        </w:tabs>
        <w:jc w:val="left"/>
        <w:rPr>
          <w:rStyle w:val="FontStyle47"/>
        </w:rPr>
      </w:pPr>
      <w:r>
        <w:rPr>
          <w:rStyle w:val="FontStyle47"/>
        </w:rPr>
        <w:t>IČ:</w:t>
      </w:r>
      <w:r>
        <w:rPr>
          <w:rStyle w:val="FontStyle47"/>
        </w:rPr>
        <w:tab/>
        <w:t>00368601</w:t>
      </w:r>
    </w:p>
    <w:p w:rsidR="00111C03" w:rsidRDefault="00111C03">
      <w:pPr>
        <w:pStyle w:val="Style9"/>
        <w:widowControl/>
        <w:jc w:val="left"/>
        <w:rPr>
          <w:rStyle w:val="FontStyle47"/>
        </w:rPr>
      </w:pPr>
      <w:r>
        <w:rPr>
          <w:rStyle w:val="FontStyle47"/>
        </w:rPr>
        <w:t>bankovní spojení: 6635381/0100, KB Rokycany</w:t>
      </w:r>
    </w:p>
    <w:p w:rsidR="00111C03" w:rsidRDefault="00111C03">
      <w:pPr>
        <w:pStyle w:val="Style10"/>
        <w:widowControl/>
        <w:spacing w:line="250" w:lineRule="exact"/>
        <w:rPr>
          <w:rStyle w:val="FontStyle50"/>
        </w:rPr>
      </w:pPr>
      <w:r>
        <w:rPr>
          <w:rStyle w:val="FontStyle50"/>
        </w:rPr>
        <w:t>za objednatele je oprávněn jednat ve věcech smluvních:</w:t>
      </w:r>
    </w:p>
    <w:p w:rsidR="00111C03" w:rsidRDefault="00111C03">
      <w:pPr>
        <w:pStyle w:val="Style9"/>
        <w:widowControl/>
        <w:jc w:val="left"/>
        <w:rPr>
          <w:rStyle w:val="FontStyle47"/>
          <w:u w:val="single"/>
          <w:lang w:val="en-US"/>
        </w:rPr>
      </w:pPr>
      <w:r>
        <w:rPr>
          <w:rStyle w:val="FontStyle47"/>
        </w:rPr>
        <w:t xml:space="preserve">Karel Halíř, ředitel, tel.: +420 773 183 107, </w:t>
      </w:r>
      <w:hyperlink r:id="rId7" w:history="1">
        <w:r>
          <w:rPr>
            <w:rStyle w:val="FontStyle47"/>
            <w:u w:val="single"/>
            <w:lang w:val="en-US"/>
          </w:rPr>
          <w:t>hvezdarnaahvr.cz</w:t>
        </w:r>
      </w:hyperlink>
    </w:p>
    <w:p w:rsidR="00111C03" w:rsidRDefault="00111C03">
      <w:pPr>
        <w:pStyle w:val="Style9"/>
        <w:widowControl/>
        <w:spacing w:before="58"/>
        <w:ind w:right="3379"/>
        <w:jc w:val="left"/>
        <w:rPr>
          <w:rStyle w:val="FontStyle47"/>
          <w:u w:val="single"/>
          <w:lang w:val="en-US"/>
        </w:rPr>
      </w:pPr>
      <w:r>
        <w:rPr>
          <w:rStyle w:val="FontStyle50"/>
        </w:rPr>
        <w:t xml:space="preserve">za objednatele je oprávněn jednat ve věcech technických: </w:t>
      </w:r>
      <w:r>
        <w:rPr>
          <w:rStyle w:val="FontStyle47"/>
        </w:rPr>
        <w:t xml:space="preserve">Karel Halíř, ředitel, tel.: +420 773 183 107, </w:t>
      </w:r>
      <w:hyperlink r:id="rId8" w:history="1">
        <w:r>
          <w:rPr>
            <w:rStyle w:val="FontStyle47"/>
            <w:u w:val="single"/>
            <w:lang w:val="en-US"/>
          </w:rPr>
          <w:t>hvezdarna@hvr.cz</w:t>
        </w:r>
      </w:hyperlink>
    </w:p>
    <w:p w:rsidR="00111C03" w:rsidRDefault="00111C03">
      <w:pPr>
        <w:pStyle w:val="Style10"/>
        <w:widowControl/>
        <w:ind w:right="7181"/>
        <w:rPr>
          <w:rStyle w:val="FontStyle47"/>
        </w:rPr>
      </w:pPr>
      <w:r>
        <w:rPr>
          <w:rStyle w:val="FontStyle50"/>
        </w:rPr>
        <w:t xml:space="preserve">(dále jen objednatel) </w:t>
      </w:r>
      <w:r>
        <w:rPr>
          <w:rStyle w:val="FontStyle47"/>
        </w:rPr>
        <w:t>a</w:t>
      </w:r>
    </w:p>
    <w:p w:rsidR="00111C03" w:rsidRDefault="00111C03">
      <w:pPr>
        <w:pStyle w:val="Style1"/>
        <w:widowControl/>
        <w:spacing w:line="370" w:lineRule="exact"/>
        <w:jc w:val="left"/>
        <w:rPr>
          <w:rStyle w:val="FontStyle46"/>
        </w:rPr>
      </w:pPr>
      <w:r>
        <w:rPr>
          <w:rStyle w:val="FontStyle46"/>
        </w:rPr>
        <w:t>Zhotovitel:     RYTA s.r.o.</w:t>
      </w:r>
    </w:p>
    <w:p w:rsidR="00111C03" w:rsidRDefault="00111C03">
      <w:pPr>
        <w:pStyle w:val="Style9"/>
        <w:widowControl/>
        <w:tabs>
          <w:tab w:val="left" w:pos="1416"/>
        </w:tabs>
        <w:spacing w:before="96"/>
        <w:ind w:right="4646"/>
        <w:jc w:val="left"/>
        <w:rPr>
          <w:rStyle w:val="FontStyle47"/>
        </w:rPr>
      </w:pPr>
      <w:r>
        <w:rPr>
          <w:rStyle w:val="FontStyle47"/>
        </w:rPr>
        <w:t>Se sídlem:      Bezručova 1159, 337 01 Rokycany</w:t>
      </w:r>
      <w:r>
        <w:rPr>
          <w:rStyle w:val="FontStyle47"/>
        </w:rPr>
        <w:br/>
        <w:t>IČ:</w:t>
      </w:r>
      <w:r>
        <w:rPr>
          <w:rStyle w:val="FontStyle47"/>
        </w:rPr>
        <w:tab/>
        <w:t>26354870</w:t>
      </w:r>
    </w:p>
    <w:p w:rsidR="00111C03" w:rsidRDefault="00111C03">
      <w:pPr>
        <w:pStyle w:val="Style9"/>
        <w:widowControl/>
        <w:tabs>
          <w:tab w:val="left" w:pos="1421"/>
        </w:tabs>
        <w:jc w:val="left"/>
        <w:rPr>
          <w:rStyle w:val="FontStyle47"/>
        </w:rPr>
      </w:pPr>
      <w:r>
        <w:rPr>
          <w:rStyle w:val="FontStyle47"/>
        </w:rPr>
        <w:t>DIČ:</w:t>
      </w:r>
      <w:r>
        <w:rPr>
          <w:rStyle w:val="FontStyle47"/>
        </w:rPr>
        <w:tab/>
        <w:t>CZ26354870</w:t>
      </w:r>
    </w:p>
    <w:p w:rsidR="00111C03" w:rsidRDefault="00111C03">
      <w:pPr>
        <w:pStyle w:val="Style6"/>
        <w:widowControl/>
        <w:ind w:right="3802"/>
        <w:rPr>
          <w:rStyle w:val="FontStyle47"/>
        </w:rPr>
      </w:pPr>
      <w:r>
        <w:rPr>
          <w:rStyle w:val="FontStyle47"/>
        </w:rPr>
        <w:t>Spisová značka: C14940 vedená u Krajského soudu v Plzni Zhotovitel je plátce DPH.</w:t>
      </w:r>
    </w:p>
    <w:p w:rsidR="00111C03" w:rsidRDefault="00111C03">
      <w:pPr>
        <w:pStyle w:val="Style7"/>
        <w:widowControl/>
        <w:spacing w:before="91"/>
        <w:ind w:left="149" w:right="3379"/>
        <w:rPr>
          <w:rStyle w:val="FontStyle47"/>
          <w:u w:val="single"/>
          <w:lang w:val="en-US"/>
        </w:rPr>
      </w:pPr>
      <w:r>
        <w:rPr>
          <w:rStyle w:val="FontStyle50"/>
        </w:rPr>
        <w:t xml:space="preserve">za zhotovitele je oprávněn jednat ve věcech smluvních: </w:t>
      </w:r>
      <w:r>
        <w:rPr>
          <w:rStyle w:val="FontStyle47"/>
        </w:rPr>
        <w:t xml:space="preserve">Eduard Rytíř, tel. +420 602 123 074, e-mail: </w:t>
      </w:r>
      <w:hyperlink r:id="rId9" w:history="1">
        <w:r>
          <w:rPr>
            <w:rStyle w:val="FontStyle47"/>
            <w:u w:val="single"/>
            <w:lang w:val="en-US"/>
          </w:rPr>
          <w:t>rytir@ryta.cz</w:t>
        </w:r>
      </w:hyperlink>
    </w:p>
    <w:p w:rsidR="00111C03" w:rsidRDefault="00111C03">
      <w:pPr>
        <w:pStyle w:val="Style7"/>
        <w:widowControl/>
        <w:spacing w:before="53" w:line="254" w:lineRule="exact"/>
        <w:ind w:left="149" w:right="3379"/>
        <w:rPr>
          <w:rStyle w:val="FontStyle47"/>
          <w:u w:val="single"/>
          <w:lang w:val="en-US"/>
        </w:rPr>
      </w:pPr>
      <w:r>
        <w:rPr>
          <w:rStyle w:val="FontStyle50"/>
        </w:rPr>
        <w:t xml:space="preserve">za zhotovitele je oprávněn jednat ve věcech technických: </w:t>
      </w:r>
      <w:r>
        <w:rPr>
          <w:rStyle w:val="FontStyle47"/>
        </w:rPr>
        <w:t xml:space="preserve">Jaroslav Bartoš, tel. +420 602 121 919, e-mail: </w:t>
      </w:r>
      <w:hyperlink r:id="rId10" w:history="1">
        <w:r>
          <w:rPr>
            <w:rStyle w:val="FontStyle47"/>
            <w:u w:val="single"/>
            <w:lang w:val="en-US"/>
          </w:rPr>
          <w:t>bartos@ryta.cz</w:t>
        </w:r>
      </w:hyperlink>
    </w:p>
    <w:p w:rsidR="00111C03" w:rsidRDefault="00111C03">
      <w:pPr>
        <w:pStyle w:val="Style7"/>
        <w:widowControl/>
        <w:spacing w:before="115"/>
        <w:ind w:left="134" w:right="3802" w:hanging="134"/>
        <w:rPr>
          <w:rStyle w:val="FontStyle47"/>
          <w:u w:val="single"/>
          <w:lang w:val="en-US"/>
        </w:rPr>
      </w:pPr>
      <w:r>
        <w:rPr>
          <w:rStyle w:val="FontStyle50"/>
        </w:rPr>
        <w:t xml:space="preserve">hlavní stavbyvedoucí: </w:t>
      </w:r>
      <w:r>
        <w:rPr>
          <w:rStyle w:val="FontStyle47"/>
        </w:rPr>
        <w:t xml:space="preserve">Martin Vild, tel. +420 777 823 006, e-mail: </w:t>
      </w:r>
      <w:hyperlink r:id="rId11" w:history="1">
        <w:r>
          <w:rPr>
            <w:rStyle w:val="FontStyle47"/>
            <w:u w:val="single"/>
            <w:lang w:val="en-US"/>
          </w:rPr>
          <w:t>info@ryta.cz</w:t>
        </w:r>
      </w:hyperlink>
    </w:p>
    <w:p w:rsidR="00111C03" w:rsidRDefault="00111C03">
      <w:pPr>
        <w:pStyle w:val="Style9"/>
        <w:widowControl/>
        <w:tabs>
          <w:tab w:val="left" w:pos="2117"/>
        </w:tabs>
        <w:spacing w:before="82" w:line="283" w:lineRule="exact"/>
        <w:ind w:right="5069"/>
        <w:jc w:val="left"/>
        <w:rPr>
          <w:rStyle w:val="FontStyle47"/>
        </w:rPr>
      </w:pPr>
      <w:r>
        <w:rPr>
          <w:rStyle w:val="FontStyle47"/>
        </w:rPr>
        <w:t>bankovní spojení:       Česká spořitelna, a.s.</w:t>
      </w:r>
      <w:r>
        <w:rPr>
          <w:rStyle w:val="FontStyle47"/>
        </w:rPr>
        <w:br/>
        <w:t>číslo účtu:</w:t>
      </w:r>
      <w:r>
        <w:rPr>
          <w:rStyle w:val="FontStyle47"/>
        </w:rPr>
        <w:tab/>
        <w:t>3065112349/0800</w:t>
      </w:r>
    </w:p>
    <w:p w:rsidR="00111C03" w:rsidRDefault="00111C03">
      <w:pPr>
        <w:pStyle w:val="Style10"/>
        <w:widowControl/>
        <w:spacing w:before="19" w:line="283" w:lineRule="exact"/>
        <w:rPr>
          <w:rStyle w:val="FontStyle50"/>
        </w:rPr>
      </w:pPr>
      <w:r>
        <w:rPr>
          <w:rStyle w:val="FontStyle50"/>
        </w:rPr>
        <w:t>(dále jen zhotovitel)</w:t>
      </w:r>
    </w:p>
    <w:p w:rsidR="00111C03" w:rsidRDefault="00111C03">
      <w:pPr>
        <w:pStyle w:val="Style9"/>
        <w:widowControl/>
        <w:spacing w:line="240" w:lineRule="exact"/>
        <w:ind w:left="446"/>
        <w:rPr>
          <w:sz w:val="20"/>
          <w:szCs w:val="20"/>
        </w:rPr>
      </w:pPr>
    </w:p>
    <w:p w:rsidR="00111C03" w:rsidRDefault="00111C03">
      <w:pPr>
        <w:pStyle w:val="Style9"/>
        <w:widowControl/>
        <w:spacing w:line="240" w:lineRule="exact"/>
        <w:ind w:left="446"/>
        <w:rPr>
          <w:sz w:val="20"/>
          <w:szCs w:val="20"/>
        </w:rPr>
      </w:pPr>
    </w:p>
    <w:p w:rsidR="00111C03" w:rsidRDefault="00111C03">
      <w:pPr>
        <w:pStyle w:val="Style9"/>
        <w:widowControl/>
        <w:spacing w:before="192" w:line="240" w:lineRule="auto"/>
        <w:ind w:left="446"/>
        <w:rPr>
          <w:rStyle w:val="FontStyle47"/>
        </w:rPr>
      </w:pPr>
      <w:r>
        <w:rPr>
          <w:rStyle w:val="FontStyle47"/>
        </w:rPr>
        <w:t xml:space="preserve">uzavírají níže uvedeného dne, měsíce a roku tento dodatek č. 1 (dále jen </w:t>
      </w:r>
      <w:r>
        <w:rPr>
          <w:rStyle w:val="FontStyle46"/>
        </w:rPr>
        <w:t xml:space="preserve">„Dodatek") </w:t>
      </w:r>
      <w:r>
        <w:rPr>
          <w:rStyle w:val="FontStyle47"/>
        </w:rPr>
        <w:t>ke smlouvě</w:t>
      </w:r>
    </w:p>
    <w:p w:rsidR="00111C03" w:rsidRDefault="00111C03">
      <w:pPr>
        <w:pStyle w:val="Style6"/>
        <w:widowControl/>
        <w:spacing w:line="240" w:lineRule="auto"/>
        <w:jc w:val="center"/>
        <w:rPr>
          <w:rStyle w:val="FontStyle47"/>
        </w:rPr>
      </w:pPr>
      <w:r>
        <w:rPr>
          <w:rStyle w:val="FontStyle47"/>
        </w:rPr>
        <w:t>o dílo č. 07/2019:</w:t>
      </w:r>
    </w:p>
    <w:p w:rsidR="00111C03" w:rsidRDefault="00111C03">
      <w:pPr>
        <w:pStyle w:val="Style1"/>
        <w:widowControl/>
        <w:spacing w:line="240" w:lineRule="exact"/>
        <w:rPr>
          <w:sz w:val="20"/>
          <w:szCs w:val="20"/>
        </w:rPr>
      </w:pPr>
    </w:p>
    <w:p w:rsidR="00111C03" w:rsidRDefault="00111C03">
      <w:pPr>
        <w:pStyle w:val="Style1"/>
        <w:widowControl/>
        <w:spacing w:before="187" w:line="240" w:lineRule="auto"/>
        <w:rPr>
          <w:rStyle w:val="FontStyle46"/>
        </w:rPr>
      </w:pPr>
      <w:r>
        <w:rPr>
          <w:rStyle w:val="FontStyle46"/>
        </w:rPr>
        <w:t>I.</w:t>
      </w:r>
    </w:p>
    <w:p w:rsidR="00111C03" w:rsidRDefault="00111C03">
      <w:pPr>
        <w:pStyle w:val="Style3"/>
        <w:widowControl/>
        <w:spacing w:line="240" w:lineRule="exact"/>
        <w:ind w:left="422"/>
        <w:rPr>
          <w:sz w:val="20"/>
          <w:szCs w:val="20"/>
        </w:rPr>
      </w:pPr>
    </w:p>
    <w:p w:rsidR="00111C03" w:rsidRDefault="00111C03">
      <w:pPr>
        <w:pStyle w:val="Style3"/>
        <w:widowControl/>
        <w:tabs>
          <w:tab w:val="left" w:pos="422"/>
        </w:tabs>
        <w:spacing w:before="10"/>
        <w:ind w:left="422"/>
        <w:rPr>
          <w:rStyle w:val="FontStyle46"/>
        </w:rPr>
      </w:pPr>
      <w:r>
        <w:rPr>
          <w:rStyle w:val="FontStyle47"/>
        </w:rPr>
        <w:t>1.</w:t>
      </w:r>
      <w:r>
        <w:rPr>
          <w:rStyle w:val="FontStyle47"/>
        </w:rPr>
        <w:tab/>
        <w:t xml:space="preserve">Objednatel a zhotovitel uzavřeli dne 7.5.2019 smlouvu o dílo č. 07/2019 (dále jen </w:t>
      </w:r>
      <w:r>
        <w:rPr>
          <w:rStyle w:val="FontStyle46"/>
        </w:rPr>
        <w:t xml:space="preserve">Smlouva"), </w:t>
      </w:r>
      <w:r>
        <w:rPr>
          <w:rStyle w:val="FontStyle47"/>
        </w:rPr>
        <w:t>jejímž</w:t>
      </w:r>
      <w:r>
        <w:rPr>
          <w:rStyle w:val="FontStyle47"/>
        </w:rPr>
        <w:br/>
        <w:t xml:space="preserve">předmětem je zhotovení díla </w:t>
      </w:r>
      <w:r>
        <w:rPr>
          <w:rStyle w:val="FontStyle46"/>
        </w:rPr>
        <w:t>„Stavební úpravy objektu U Dráhy 306/11, Plzeň - pozorovatelna"</w:t>
      </w:r>
    </w:p>
    <w:p w:rsidR="00111C03" w:rsidRDefault="00111C03">
      <w:pPr>
        <w:pStyle w:val="Style9"/>
        <w:widowControl/>
        <w:ind w:left="456"/>
        <w:rPr>
          <w:rStyle w:val="FontStyle47"/>
        </w:rPr>
      </w:pPr>
      <w:r>
        <w:rPr>
          <w:rStyle w:val="FontStyle47"/>
        </w:rPr>
        <w:t>dle veřejné zakázky malého rozsahu na stavební práce zařazená do III. Skupiny Směrnice RPK č. 2/2016, o zadávání veřejných zakázek, která je mimo režim zákona č. 134/2016 Sb., o zadávání veřejných zakázek pod Sp. zn. CN/38/CN/19, jednací číslo 1661/19/CN a nabídky zhotovitele ze dne 23.4.2019.</w:t>
      </w:r>
    </w:p>
    <w:p w:rsidR="00111C03" w:rsidRDefault="00111C03">
      <w:pPr>
        <w:pStyle w:val="Style3"/>
        <w:widowControl/>
        <w:spacing w:line="240" w:lineRule="exact"/>
        <w:ind w:left="422"/>
        <w:rPr>
          <w:sz w:val="20"/>
          <w:szCs w:val="20"/>
        </w:rPr>
      </w:pPr>
    </w:p>
    <w:p w:rsidR="00111C03" w:rsidRDefault="00111C03">
      <w:pPr>
        <w:pStyle w:val="Style3"/>
        <w:widowControl/>
        <w:tabs>
          <w:tab w:val="left" w:pos="422"/>
        </w:tabs>
        <w:spacing w:before="10"/>
        <w:ind w:left="422"/>
        <w:rPr>
          <w:rStyle w:val="FontStyle47"/>
        </w:rPr>
      </w:pPr>
      <w:r>
        <w:rPr>
          <w:rStyle w:val="FontStyle47"/>
        </w:rPr>
        <w:t>2.</w:t>
      </w:r>
      <w:r>
        <w:rPr>
          <w:rStyle w:val="FontStyle47"/>
        </w:rPr>
        <w:tab/>
        <w:t>Předmětem tohoto Dodatku je změna díla, tato změna díla nemění celkovou povahu zakázky a její</w:t>
      </w:r>
      <w:r>
        <w:rPr>
          <w:rStyle w:val="FontStyle47"/>
        </w:rPr>
        <w:br/>
        <w:t>potřeba vznikla v důsledku okolností, které objednatel nemohl ani při vynaložení náležité péče při</w:t>
      </w:r>
      <w:r>
        <w:rPr>
          <w:rStyle w:val="FontStyle47"/>
        </w:rPr>
        <w:br/>
        <w:t>zadávání zakázky předvídat a které jsou podrobně popsány ve změnovém listu č. 1 ze dne 22.8.2019</w:t>
      </w:r>
      <w:r>
        <w:rPr>
          <w:rStyle w:val="FontStyle47"/>
        </w:rPr>
        <w:br/>
        <w:t>(odsouhlasené vícepráce-méněpráce). V důsledku této změny díla dojde ke zvýšení ceny díla a</w:t>
      </w:r>
      <w:r>
        <w:rPr>
          <w:rStyle w:val="FontStyle47"/>
        </w:rPr>
        <w:br/>
        <w:t>prodloužení termínu dokončení, jak je uvedeno v článku II. a III. tohoto Dodatku.</w:t>
      </w:r>
    </w:p>
    <w:p w:rsidR="00111C03" w:rsidRDefault="00111C03">
      <w:pPr>
        <w:pStyle w:val="Style11"/>
        <w:widowControl/>
        <w:spacing w:before="86"/>
        <w:jc w:val="center"/>
        <w:rPr>
          <w:rStyle w:val="FontStyle48"/>
        </w:rPr>
      </w:pPr>
      <w:r>
        <w:rPr>
          <w:rStyle w:val="FontStyle48"/>
        </w:rPr>
        <w:t>n.</w:t>
      </w:r>
    </w:p>
    <w:p w:rsidR="00111C03" w:rsidRDefault="00111C03">
      <w:pPr>
        <w:pStyle w:val="Style9"/>
        <w:widowControl/>
        <w:spacing w:before="139" w:line="269" w:lineRule="exact"/>
        <w:rPr>
          <w:rStyle w:val="FontStyle47"/>
        </w:rPr>
      </w:pPr>
      <w:r>
        <w:rPr>
          <w:rStyle w:val="FontStyle47"/>
        </w:rPr>
        <w:t xml:space="preserve">V článku II. </w:t>
      </w:r>
      <w:r>
        <w:rPr>
          <w:rStyle w:val="FontStyle46"/>
        </w:rPr>
        <w:t xml:space="preserve">(Termín a místo plnění) </w:t>
      </w:r>
      <w:r>
        <w:rPr>
          <w:rStyle w:val="FontStyle47"/>
        </w:rPr>
        <w:t>se po vzájemné dohodě smluvních stran odstavec 1. (Dokončení stavebních prací) nahrazuje nově tímto zněním:</w:t>
      </w:r>
    </w:p>
    <w:p w:rsidR="00111C03" w:rsidRDefault="00111C03">
      <w:pPr>
        <w:pStyle w:val="Style1"/>
        <w:widowControl/>
        <w:spacing w:before="173" w:line="240" w:lineRule="auto"/>
        <w:jc w:val="left"/>
        <w:rPr>
          <w:rStyle w:val="FontStyle46"/>
        </w:rPr>
      </w:pPr>
      <w:r>
        <w:rPr>
          <w:rStyle w:val="FontStyle46"/>
        </w:rPr>
        <w:t>Dokončení stavebních prací:     nejpozději do 12.11.2019</w:t>
      </w:r>
    </w:p>
    <w:p w:rsidR="00111C03" w:rsidRDefault="00111C03">
      <w:pPr>
        <w:pStyle w:val="Style9"/>
        <w:widowControl/>
        <w:spacing w:before="163" w:line="269" w:lineRule="exact"/>
        <w:rPr>
          <w:rStyle w:val="FontStyle47"/>
        </w:rPr>
      </w:pPr>
      <w:r>
        <w:rPr>
          <w:rStyle w:val="FontStyle47"/>
        </w:rPr>
        <w:t>Doba plnění se adekvátně prodlužuje o dobu, která vyplývá z odsouhlasené změny technologického postupu (vícepráce-méněpráce ) dle změnového listu č. 1.</w:t>
      </w:r>
    </w:p>
    <w:p w:rsidR="00111C03" w:rsidRDefault="00111C03">
      <w:pPr>
        <w:pStyle w:val="Style1"/>
        <w:widowControl/>
        <w:spacing w:line="240" w:lineRule="exact"/>
        <w:rPr>
          <w:sz w:val="20"/>
          <w:szCs w:val="20"/>
        </w:rPr>
      </w:pPr>
    </w:p>
    <w:p w:rsidR="00111C03" w:rsidRDefault="00111C03">
      <w:pPr>
        <w:pStyle w:val="Style1"/>
        <w:widowControl/>
        <w:spacing w:line="240" w:lineRule="exact"/>
        <w:rPr>
          <w:sz w:val="20"/>
          <w:szCs w:val="20"/>
        </w:rPr>
      </w:pPr>
    </w:p>
    <w:p w:rsidR="00111C03" w:rsidRDefault="00111C03">
      <w:pPr>
        <w:pStyle w:val="Style1"/>
        <w:widowControl/>
        <w:spacing w:before="115" w:line="509" w:lineRule="exact"/>
        <w:rPr>
          <w:rStyle w:val="FontStyle46"/>
        </w:rPr>
      </w:pPr>
      <w:r>
        <w:rPr>
          <w:rStyle w:val="FontStyle46"/>
        </w:rPr>
        <w:t>III.</w:t>
      </w:r>
    </w:p>
    <w:p w:rsidR="00111C03" w:rsidRDefault="00111C03">
      <w:pPr>
        <w:pStyle w:val="Style15"/>
        <w:widowControl/>
        <w:spacing w:after="192"/>
        <w:ind w:left="398" w:right="2534"/>
        <w:rPr>
          <w:rStyle w:val="FontStyle50"/>
        </w:rPr>
      </w:pPr>
      <w:r>
        <w:rPr>
          <w:rStyle w:val="FontStyle47"/>
        </w:rPr>
        <w:t xml:space="preserve">1.   V článku El. </w:t>
      </w:r>
      <w:r>
        <w:rPr>
          <w:rStyle w:val="FontStyle46"/>
        </w:rPr>
        <w:t xml:space="preserve">(Cena za dílo) </w:t>
      </w:r>
      <w:r>
        <w:rPr>
          <w:rStyle w:val="FontStyle47"/>
        </w:rPr>
        <w:t xml:space="preserve">se odstavec 1. nahrazuje tímto zněním: „1. </w:t>
      </w:r>
      <w:r>
        <w:rPr>
          <w:rStyle w:val="FontStyle50"/>
        </w:rPr>
        <w:t>Celková cena je členěna takto:</w:t>
      </w:r>
    </w:p>
    <w:p w:rsidR="00111C03" w:rsidRDefault="00111C03">
      <w:pPr>
        <w:pStyle w:val="Style15"/>
        <w:widowControl/>
        <w:spacing w:after="192"/>
        <w:ind w:left="398" w:right="2534"/>
        <w:rPr>
          <w:rStyle w:val="FontStyle50"/>
        </w:rPr>
        <w:sectPr w:rsidR="00111C03">
          <w:footerReference w:type="default" r:id="rId12"/>
          <w:type w:val="continuous"/>
          <w:pgSz w:w="16837" w:h="23810"/>
          <w:pgMar w:top="3640" w:right="3875" w:bottom="1440" w:left="3583" w:header="708" w:footer="708" w:gutter="0"/>
          <w:cols w:space="60"/>
          <w:noEndnote/>
        </w:sectPr>
      </w:pPr>
    </w:p>
    <w:p w:rsidR="00111C03" w:rsidRDefault="00111C03">
      <w:pPr>
        <w:pStyle w:val="Style16"/>
        <w:widowControl/>
        <w:rPr>
          <w:rStyle w:val="FontStyle49"/>
        </w:rPr>
      </w:pPr>
      <w:r>
        <w:rPr>
          <w:rStyle w:val="FontStyle50"/>
        </w:rPr>
        <w:t xml:space="preserve">Cena bez </w:t>
      </w:r>
      <w:r>
        <w:rPr>
          <w:rStyle w:val="FontStyle49"/>
        </w:rPr>
        <w:t xml:space="preserve">DPH </w:t>
      </w:r>
      <w:r>
        <w:rPr>
          <w:rStyle w:val="FontStyle50"/>
        </w:rPr>
        <w:t xml:space="preserve">dle smlouvy o dílo Cena bez </w:t>
      </w:r>
      <w:r>
        <w:rPr>
          <w:rStyle w:val="FontStyle49"/>
        </w:rPr>
        <w:t xml:space="preserve">DPH </w:t>
      </w:r>
      <w:r>
        <w:rPr>
          <w:rStyle w:val="FontStyle50"/>
        </w:rPr>
        <w:t xml:space="preserve">dle dodatku č. </w:t>
      </w:r>
      <w:r>
        <w:rPr>
          <w:rStyle w:val="FontStyle49"/>
        </w:rPr>
        <w:t>1:</w:t>
      </w:r>
    </w:p>
    <w:p w:rsidR="00111C03" w:rsidRDefault="00111C03">
      <w:pPr>
        <w:pStyle w:val="Style19"/>
        <w:widowControl/>
        <w:spacing w:line="240" w:lineRule="exact"/>
        <w:rPr>
          <w:sz w:val="20"/>
          <w:szCs w:val="20"/>
        </w:rPr>
      </w:pPr>
    </w:p>
    <w:p w:rsidR="00111C03" w:rsidRDefault="00111C03">
      <w:pPr>
        <w:pStyle w:val="Style19"/>
        <w:widowControl/>
        <w:spacing w:before="10"/>
        <w:rPr>
          <w:rStyle w:val="FontStyle49"/>
        </w:rPr>
      </w:pPr>
      <w:r>
        <w:rPr>
          <w:rStyle w:val="FontStyle49"/>
        </w:rPr>
        <w:t>Cena celkem bez DPH</w:t>
      </w:r>
    </w:p>
    <w:p w:rsidR="00111C03" w:rsidRDefault="00111C03">
      <w:pPr>
        <w:pStyle w:val="Style19"/>
        <w:widowControl/>
        <w:tabs>
          <w:tab w:val="left" w:leader="underscore" w:pos="2405"/>
        </w:tabs>
        <w:rPr>
          <w:rStyle w:val="FontStyle49"/>
        </w:rPr>
      </w:pPr>
      <w:r>
        <w:rPr>
          <w:rStyle w:val="FontStyle49"/>
          <w:u w:val="single"/>
        </w:rPr>
        <w:t>DPH</w:t>
      </w:r>
      <w:r>
        <w:rPr>
          <w:rStyle w:val="FontStyle49"/>
          <w:spacing w:val="20"/>
          <w:u w:val="single"/>
        </w:rPr>
        <w:t>(21%)</w:t>
      </w:r>
      <w:r>
        <w:rPr>
          <w:rStyle w:val="FontStyle49"/>
        </w:rPr>
        <w:t xml:space="preserve"> </w:t>
      </w:r>
      <w:r>
        <w:rPr>
          <w:rStyle w:val="FontStyle49"/>
        </w:rPr>
        <w:tab/>
      </w:r>
    </w:p>
    <w:p w:rsidR="00111C03" w:rsidRDefault="00111C03">
      <w:pPr>
        <w:pStyle w:val="Style20"/>
        <w:widowControl/>
        <w:spacing w:before="10"/>
        <w:ind w:left="490"/>
        <w:rPr>
          <w:rStyle w:val="FontStyle50"/>
        </w:rPr>
      </w:pPr>
      <w:r>
        <w:rPr>
          <w:rStyle w:val="FontStyle49"/>
        </w:rPr>
        <w:br w:type="column"/>
        <w:t xml:space="preserve">1.374.035,32 </w:t>
      </w:r>
      <w:r>
        <w:rPr>
          <w:rStyle w:val="FontStyle50"/>
        </w:rPr>
        <w:t xml:space="preserve">Kč </w:t>
      </w:r>
      <w:r>
        <w:rPr>
          <w:rStyle w:val="FontStyle49"/>
        </w:rPr>
        <w:t xml:space="preserve">1.550.787,02 </w:t>
      </w:r>
      <w:r>
        <w:rPr>
          <w:rStyle w:val="FontStyle50"/>
        </w:rPr>
        <w:t>Kč</w:t>
      </w:r>
    </w:p>
    <w:p w:rsidR="00111C03" w:rsidRDefault="00111C03">
      <w:pPr>
        <w:pStyle w:val="Style20"/>
        <w:widowControl/>
        <w:spacing w:line="240" w:lineRule="exact"/>
        <w:jc w:val="right"/>
        <w:rPr>
          <w:sz w:val="20"/>
          <w:szCs w:val="20"/>
        </w:rPr>
      </w:pPr>
    </w:p>
    <w:p w:rsidR="00111C03" w:rsidRDefault="00111C03">
      <w:pPr>
        <w:pStyle w:val="Style20"/>
        <w:widowControl/>
        <w:spacing w:before="10" w:line="240" w:lineRule="auto"/>
        <w:jc w:val="right"/>
        <w:rPr>
          <w:rStyle w:val="FontStyle49"/>
        </w:rPr>
      </w:pPr>
      <w:r>
        <w:rPr>
          <w:rStyle w:val="FontStyle49"/>
        </w:rPr>
        <w:t>1.550.787,02 Kč</w:t>
      </w:r>
    </w:p>
    <w:p w:rsidR="00111C03" w:rsidRDefault="00111C03">
      <w:pPr>
        <w:pStyle w:val="Style22"/>
        <w:widowControl/>
        <w:jc w:val="both"/>
        <w:rPr>
          <w:rStyle w:val="FontStyle50"/>
          <w:u w:val="single"/>
        </w:rPr>
      </w:pPr>
      <w:r>
        <w:rPr>
          <w:rStyle w:val="FontStyle49"/>
          <w:u w:val="single"/>
        </w:rPr>
        <w:t xml:space="preserve">+      325.665.27 </w:t>
      </w:r>
      <w:r>
        <w:rPr>
          <w:rStyle w:val="FontStyle50"/>
          <w:u w:val="single"/>
        </w:rPr>
        <w:t>Kč</w:t>
      </w:r>
    </w:p>
    <w:p w:rsidR="00111C03" w:rsidRDefault="00111C03">
      <w:pPr>
        <w:pStyle w:val="Style22"/>
        <w:widowControl/>
        <w:jc w:val="both"/>
        <w:rPr>
          <w:rStyle w:val="FontStyle50"/>
          <w:u w:val="single"/>
        </w:rPr>
        <w:sectPr w:rsidR="00111C03">
          <w:footerReference w:type="default" r:id="rId13"/>
          <w:type w:val="continuous"/>
          <w:pgSz w:w="16837" w:h="23810"/>
          <w:pgMar w:top="3403" w:right="6940" w:bottom="1440" w:left="4517" w:header="708" w:footer="708" w:gutter="0"/>
          <w:cols w:num="2" w:space="708" w:equalWidth="0">
            <w:col w:w="2966" w:space="466"/>
            <w:col w:w="1948"/>
          </w:cols>
          <w:noEndnote/>
        </w:sectPr>
      </w:pPr>
    </w:p>
    <w:p w:rsidR="00111C03" w:rsidRDefault="00111C03">
      <w:pPr>
        <w:pStyle w:val="Style19"/>
        <w:widowControl/>
        <w:jc w:val="both"/>
        <w:rPr>
          <w:rStyle w:val="FontStyle49"/>
        </w:rPr>
      </w:pPr>
      <w:r>
        <w:rPr>
          <w:rStyle w:val="FontStyle49"/>
        </w:rPr>
        <w:t>Cena celkem vč. DPH</w:t>
      </w:r>
    </w:p>
    <w:p w:rsidR="00111C03" w:rsidRDefault="00111C03">
      <w:pPr>
        <w:pStyle w:val="Style20"/>
        <w:widowControl/>
        <w:spacing w:line="240" w:lineRule="auto"/>
        <w:rPr>
          <w:rStyle w:val="FontStyle49"/>
        </w:rPr>
      </w:pPr>
      <w:r>
        <w:rPr>
          <w:rStyle w:val="FontStyle49"/>
        </w:rPr>
        <w:br w:type="column"/>
        <w:t>1.876.452,29 Kč'</w:t>
      </w:r>
    </w:p>
    <w:p w:rsidR="00111C03" w:rsidRDefault="00111C03">
      <w:pPr>
        <w:pStyle w:val="Style20"/>
        <w:widowControl/>
        <w:spacing w:line="240" w:lineRule="auto"/>
        <w:rPr>
          <w:rStyle w:val="FontStyle49"/>
        </w:rPr>
        <w:sectPr w:rsidR="00111C03">
          <w:type w:val="continuous"/>
          <w:pgSz w:w="16837" w:h="23810"/>
          <w:pgMar w:top="3403" w:right="6988" w:bottom="1440" w:left="4531" w:header="708" w:footer="708" w:gutter="0"/>
          <w:cols w:num="2" w:space="708" w:equalWidth="0">
            <w:col w:w="2006" w:space="1786"/>
            <w:col w:w="1526"/>
          </w:cols>
          <w:noEndnote/>
        </w:sectPr>
      </w:pPr>
    </w:p>
    <w:p w:rsidR="00111C03" w:rsidRDefault="00111C03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111C03" w:rsidRDefault="00111C03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111C03" w:rsidRDefault="00111C03">
      <w:pPr>
        <w:pStyle w:val="Style10"/>
        <w:widowControl/>
        <w:spacing w:before="24" w:line="240" w:lineRule="auto"/>
        <w:jc w:val="both"/>
        <w:rPr>
          <w:rStyle w:val="FontStyle49"/>
        </w:rPr>
      </w:pPr>
      <w:r>
        <w:rPr>
          <w:rStyle w:val="FontStyle50"/>
        </w:rPr>
        <w:t xml:space="preserve">Slovy: jedenmilionosmsetsedmdesátdevěttisícdevětsetpětkorunčeskýchsedmdesáttřihaléře), včetně </w:t>
      </w:r>
      <w:r>
        <w:rPr>
          <w:rStyle w:val="FontStyle49"/>
        </w:rPr>
        <w:t>DPH.</w:t>
      </w:r>
    </w:p>
    <w:p w:rsidR="00111C03" w:rsidRDefault="00111C03">
      <w:pPr>
        <w:pStyle w:val="Style1"/>
        <w:widowControl/>
        <w:spacing w:line="240" w:lineRule="exact"/>
        <w:rPr>
          <w:sz w:val="20"/>
          <w:szCs w:val="20"/>
        </w:rPr>
      </w:pPr>
    </w:p>
    <w:p w:rsidR="00111C03" w:rsidRDefault="00111C03">
      <w:pPr>
        <w:pStyle w:val="Style1"/>
        <w:widowControl/>
        <w:spacing w:before="230" w:line="499" w:lineRule="exact"/>
        <w:rPr>
          <w:rStyle w:val="FontStyle46"/>
        </w:rPr>
      </w:pPr>
      <w:r>
        <w:rPr>
          <w:rStyle w:val="FontStyle46"/>
        </w:rPr>
        <w:t>IV.</w:t>
      </w:r>
    </w:p>
    <w:p w:rsidR="00111C03" w:rsidRDefault="00111C03" w:rsidP="00F62C29">
      <w:pPr>
        <w:pStyle w:val="Style29"/>
        <w:widowControl/>
        <w:numPr>
          <w:ilvl w:val="0"/>
          <w:numId w:val="1"/>
        </w:numPr>
        <w:tabs>
          <w:tab w:val="left" w:pos="418"/>
        </w:tabs>
        <w:spacing w:line="499" w:lineRule="exact"/>
        <w:rPr>
          <w:rStyle w:val="FontStyle47"/>
        </w:rPr>
      </w:pPr>
      <w:r>
        <w:rPr>
          <w:rStyle w:val="FontStyle47"/>
        </w:rPr>
        <w:t>Ostatní ujednání Smlouvy tímto Dodatkem nedotčená zůstávají v platnosti beze změn.</w:t>
      </w:r>
    </w:p>
    <w:p w:rsidR="00111C03" w:rsidRDefault="00111C03" w:rsidP="00F62C29">
      <w:pPr>
        <w:pStyle w:val="Style29"/>
        <w:widowControl/>
        <w:numPr>
          <w:ilvl w:val="0"/>
          <w:numId w:val="1"/>
        </w:numPr>
        <w:tabs>
          <w:tab w:val="left" w:pos="418"/>
        </w:tabs>
        <w:spacing w:line="499" w:lineRule="exact"/>
        <w:rPr>
          <w:rStyle w:val="FontStyle47"/>
        </w:rPr>
      </w:pPr>
      <w:r>
        <w:rPr>
          <w:rStyle w:val="FontStyle47"/>
        </w:rPr>
        <w:t>Tento Dodatek nabývá platnosti dnem jeho podpisu oběma smluvními stranami.</w:t>
      </w:r>
    </w:p>
    <w:p w:rsidR="00111C03" w:rsidRDefault="00111C03" w:rsidP="00F62C29">
      <w:pPr>
        <w:pStyle w:val="Style29"/>
        <w:widowControl/>
        <w:numPr>
          <w:ilvl w:val="0"/>
          <w:numId w:val="1"/>
        </w:numPr>
        <w:tabs>
          <w:tab w:val="left" w:pos="418"/>
        </w:tabs>
        <w:spacing w:line="499" w:lineRule="exact"/>
        <w:rPr>
          <w:rStyle w:val="FontStyle47"/>
        </w:rPr>
      </w:pPr>
      <w:r>
        <w:rPr>
          <w:rStyle w:val="FontStyle47"/>
        </w:rPr>
        <w:t>Dodatek se vyhotovuje ve třech stejnopisech, z nichž 2 obdrží objednatel a 1 zhotovitel.</w:t>
      </w:r>
    </w:p>
    <w:p w:rsidR="00111C03" w:rsidRDefault="00111C03" w:rsidP="00F62C29">
      <w:pPr>
        <w:pStyle w:val="Style29"/>
        <w:widowControl/>
        <w:numPr>
          <w:ilvl w:val="0"/>
          <w:numId w:val="1"/>
        </w:numPr>
        <w:tabs>
          <w:tab w:val="left" w:pos="418"/>
        </w:tabs>
        <w:spacing w:after="696" w:line="499" w:lineRule="exact"/>
        <w:rPr>
          <w:rStyle w:val="FontStyle47"/>
        </w:rPr>
      </w:pPr>
      <w:r>
        <w:rPr>
          <w:rStyle w:val="FontStyle47"/>
          <w:u w:val="single"/>
        </w:rPr>
        <w:t>Příloha</w:t>
      </w:r>
      <w:r>
        <w:rPr>
          <w:rStyle w:val="FontStyle47"/>
        </w:rPr>
        <w:t>: změnový list č. 1</w:t>
      </w:r>
    </w:p>
    <w:p w:rsidR="00111C03" w:rsidRDefault="00111C03" w:rsidP="00F62C29">
      <w:pPr>
        <w:pStyle w:val="Style29"/>
        <w:widowControl/>
        <w:numPr>
          <w:ilvl w:val="0"/>
          <w:numId w:val="1"/>
        </w:numPr>
        <w:tabs>
          <w:tab w:val="left" w:pos="418"/>
        </w:tabs>
        <w:spacing w:after="696" w:line="499" w:lineRule="exact"/>
        <w:rPr>
          <w:rStyle w:val="FontStyle47"/>
        </w:rPr>
        <w:sectPr w:rsidR="00111C03">
          <w:footerReference w:type="default" r:id="rId14"/>
          <w:type w:val="continuous"/>
          <w:pgSz w:w="16837" w:h="23810"/>
          <w:pgMar w:top="3403" w:right="3978" w:bottom="1440" w:left="3518" w:header="708" w:footer="708" w:gutter="0"/>
          <w:cols w:space="60"/>
          <w:noEndnote/>
        </w:sectPr>
      </w:pPr>
    </w:p>
    <w:p w:rsidR="00111C03" w:rsidRDefault="00111C03">
      <w:pPr>
        <w:pStyle w:val="Style9"/>
        <w:widowControl/>
        <w:spacing w:before="5" w:line="240" w:lineRule="auto"/>
        <w:rPr>
          <w:rStyle w:val="FontStyle47"/>
        </w:rPr>
      </w:pPr>
      <w:r>
        <w:rPr>
          <w:rStyle w:val="FontStyle47"/>
          <w:u w:val="single"/>
        </w:rPr>
        <w:t>Za objednatele</w:t>
      </w:r>
      <w:r>
        <w:rPr>
          <w:rStyle w:val="FontStyle47"/>
        </w:rPr>
        <w:t>:</w:t>
      </w:r>
    </w:p>
    <w:p w:rsidR="00111C03" w:rsidRDefault="00111C03">
      <w:pPr>
        <w:pStyle w:val="Style9"/>
        <w:widowControl/>
        <w:spacing w:line="240" w:lineRule="exact"/>
        <w:rPr>
          <w:sz w:val="20"/>
          <w:szCs w:val="20"/>
        </w:rPr>
      </w:pPr>
    </w:p>
    <w:p w:rsidR="00111C03" w:rsidRDefault="00111C03">
      <w:pPr>
        <w:pStyle w:val="Style9"/>
        <w:widowControl/>
        <w:spacing w:before="10" w:line="240" w:lineRule="auto"/>
        <w:rPr>
          <w:rStyle w:val="FontStyle47"/>
        </w:rPr>
      </w:pPr>
      <w:r>
        <w:rPr>
          <w:rStyle w:val="FontStyle47"/>
        </w:rPr>
        <w:t>V Plzni dne 22.8.2019</w:t>
      </w:r>
    </w:p>
    <w:p w:rsidR="00111C03" w:rsidRDefault="00111C03">
      <w:pPr>
        <w:pStyle w:val="Style6"/>
        <w:widowControl/>
        <w:spacing w:line="240" w:lineRule="auto"/>
        <w:rPr>
          <w:rStyle w:val="FontStyle47"/>
        </w:rPr>
      </w:pPr>
      <w:r>
        <w:rPr>
          <w:rStyle w:val="FontStyle47"/>
        </w:rPr>
        <w:br w:type="column"/>
      </w:r>
      <w:r>
        <w:rPr>
          <w:rStyle w:val="FontStyle47"/>
          <w:u w:val="single"/>
        </w:rPr>
        <w:t>Za zhotovitele</w:t>
      </w:r>
      <w:r>
        <w:rPr>
          <w:rStyle w:val="FontStyle47"/>
        </w:rPr>
        <w:t>:</w:t>
      </w:r>
    </w:p>
    <w:p w:rsidR="00111C03" w:rsidRDefault="00111C03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111C03" w:rsidRDefault="00111C03">
      <w:pPr>
        <w:pStyle w:val="Style6"/>
        <w:widowControl/>
        <w:spacing w:before="14" w:line="240" w:lineRule="auto"/>
        <w:jc w:val="both"/>
        <w:rPr>
          <w:rStyle w:val="FontStyle47"/>
        </w:rPr>
      </w:pPr>
      <w:r>
        <w:rPr>
          <w:rStyle w:val="FontStyle47"/>
        </w:rPr>
        <w:t>V Rokycanech dne 22.8.2019</w:t>
      </w:r>
    </w:p>
    <w:p w:rsidR="00111C03" w:rsidRDefault="00111C03">
      <w:pPr>
        <w:pStyle w:val="Style6"/>
        <w:widowControl/>
        <w:spacing w:before="14" w:line="240" w:lineRule="auto"/>
        <w:jc w:val="both"/>
        <w:rPr>
          <w:rStyle w:val="FontStyle47"/>
        </w:rPr>
        <w:sectPr w:rsidR="00111C03">
          <w:footerReference w:type="default" r:id="rId15"/>
          <w:type w:val="continuous"/>
          <w:pgSz w:w="16837" w:h="23810"/>
          <w:pgMar w:top="3403" w:right="5082" w:bottom="1440" w:left="3537" w:header="708" w:footer="708" w:gutter="0"/>
          <w:cols w:num="2" w:space="708" w:equalWidth="0">
            <w:col w:w="1968" w:space="3653"/>
            <w:col w:w="2596"/>
          </w:cols>
          <w:noEndnote/>
        </w:sectPr>
      </w:pPr>
    </w:p>
    <w:p w:rsidR="00111C03" w:rsidRDefault="00111C03">
      <w:pPr>
        <w:widowControl/>
        <w:spacing w:line="211" w:lineRule="exact"/>
        <w:rPr>
          <w:sz w:val="20"/>
          <w:szCs w:val="20"/>
        </w:rPr>
      </w:pPr>
    </w:p>
    <w:p w:rsidR="00111C03" w:rsidRDefault="00111C03">
      <w:pPr>
        <w:pStyle w:val="Style6"/>
        <w:widowControl/>
        <w:spacing w:before="14" w:line="240" w:lineRule="auto"/>
        <w:jc w:val="both"/>
        <w:rPr>
          <w:rStyle w:val="FontStyle47"/>
        </w:rPr>
        <w:sectPr w:rsidR="00111C03">
          <w:footerReference w:type="default" r:id="rId16"/>
          <w:type w:val="continuous"/>
          <w:pgSz w:w="16837" w:h="23810"/>
          <w:pgMar w:top="3403" w:right="4295" w:bottom="1440" w:left="3605" w:header="708" w:footer="708" w:gutter="0"/>
          <w:cols w:space="60"/>
          <w:noEndnote/>
        </w:sectPr>
      </w:pPr>
    </w:p>
    <w:p w:rsidR="00111C03" w:rsidRDefault="00111C03">
      <w:pPr>
        <w:pStyle w:val="Style31"/>
        <w:widowControl/>
        <w:spacing w:before="106" w:after="499" w:line="432" w:lineRule="exact"/>
        <w:ind w:left="4166"/>
        <w:jc w:val="both"/>
        <w:rPr>
          <w:rStyle w:val="FontStyle57"/>
          <w:position w:val="-8"/>
        </w:rPr>
      </w:pPr>
      <w:r>
        <w:rPr>
          <w:rStyle w:val="FontStyle57"/>
          <w:position w:val="-8"/>
        </w:rPr>
        <w:t>ZMĚNOVÝ LIST</w:t>
      </w:r>
    </w:p>
    <w:p w:rsidR="00111C03" w:rsidRDefault="00111C03">
      <w:pPr>
        <w:pStyle w:val="Style31"/>
        <w:widowControl/>
        <w:spacing w:before="106" w:after="499" w:line="432" w:lineRule="exact"/>
        <w:ind w:left="4166"/>
        <w:jc w:val="both"/>
        <w:rPr>
          <w:rStyle w:val="FontStyle57"/>
          <w:position w:val="-8"/>
        </w:rPr>
        <w:sectPr w:rsidR="00111C03">
          <w:footerReference w:type="default" r:id="rId17"/>
          <w:pgSz w:w="16837" w:h="23810"/>
          <w:pgMar w:top="2573" w:right="3246" w:bottom="1440" w:left="3650" w:header="708" w:footer="708" w:gutter="0"/>
          <w:cols w:space="60"/>
          <w:noEndnote/>
        </w:sectPr>
      </w:pPr>
    </w:p>
    <w:p w:rsidR="00111C03" w:rsidRDefault="00111C03">
      <w:pPr>
        <w:pStyle w:val="Style34"/>
        <w:widowControl/>
        <w:spacing w:before="24" w:line="240" w:lineRule="auto"/>
        <w:jc w:val="both"/>
        <w:rPr>
          <w:rStyle w:val="FontStyle60"/>
        </w:rPr>
      </w:pPr>
      <w:r>
        <w:rPr>
          <w:rStyle w:val="FontStyle60"/>
        </w:rPr>
        <w:t>Název akce:</w:t>
      </w:r>
    </w:p>
    <w:p w:rsidR="00111C03" w:rsidRDefault="00111C03">
      <w:pPr>
        <w:pStyle w:val="Style33"/>
        <w:widowControl/>
        <w:jc w:val="both"/>
        <w:rPr>
          <w:rStyle w:val="FontStyle58"/>
        </w:rPr>
      </w:pPr>
      <w:r>
        <w:rPr>
          <w:rStyle w:val="FontStyle60"/>
        </w:rPr>
        <w:br w:type="column"/>
      </w:r>
      <w:r>
        <w:rPr>
          <w:rStyle w:val="FontStyle58"/>
        </w:rPr>
        <w:t>Stavební úpravy střešního pláště OSZ č.p.662 V Plzni</w:t>
      </w:r>
    </w:p>
    <w:p w:rsidR="00111C03" w:rsidRDefault="00111C03">
      <w:pPr>
        <w:pStyle w:val="Style35"/>
        <w:widowControl/>
        <w:spacing w:before="29"/>
        <w:rPr>
          <w:rStyle w:val="FontStyle61"/>
        </w:rPr>
      </w:pPr>
      <w:r>
        <w:rPr>
          <w:rStyle w:val="FontStyle58"/>
        </w:rPr>
        <w:br w:type="column"/>
      </w:r>
      <w:r>
        <w:rPr>
          <w:rStyle w:val="FontStyle60"/>
        </w:rPr>
        <w:t xml:space="preserve">číslo ZL </w:t>
      </w:r>
      <w:r>
        <w:rPr>
          <w:rStyle w:val="FontStyle61"/>
        </w:rPr>
        <w:t>1</w:t>
      </w:r>
    </w:p>
    <w:p w:rsidR="00111C03" w:rsidRDefault="00111C03">
      <w:pPr>
        <w:pStyle w:val="Style35"/>
        <w:widowControl/>
        <w:spacing w:before="29"/>
        <w:rPr>
          <w:rStyle w:val="FontStyle61"/>
        </w:rPr>
        <w:sectPr w:rsidR="00111C03">
          <w:type w:val="continuous"/>
          <w:pgSz w:w="16837" w:h="23810"/>
          <w:pgMar w:top="2573" w:right="3491" w:bottom="1440" w:left="3698" w:header="708" w:footer="708" w:gutter="0"/>
          <w:cols w:num="3" w:space="708" w:equalWidth="0">
            <w:col w:w="1104" w:space="893"/>
            <w:col w:w="6043" w:space="869"/>
            <w:col w:w="739"/>
          </w:cols>
          <w:noEndnote/>
        </w:sectPr>
      </w:pPr>
    </w:p>
    <w:p w:rsidR="00111C03" w:rsidRDefault="00111C03">
      <w:pPr>
        <w:pStyle w:val="Style34"/>
        <w:widowControl/>
        <w:rPr>
          <w:rStyle w:val="FontStyle60"/>
        </w:rPr>
      </w:pPr>
      <w:r>
        <w:rPr>
          <w:rStyle w:val="FontStyle60"/>
        </w:rPr>
        <w:t>název ZL: předmět změny:</w:t>
      </w:r>
    </w:p>
    <w:p w:rsidR="00111C03" w:rsidRDefault="00111C03">
      <w:pPr>
        <w:pStyle w:val="Style36"/>
        <w:widowControl/>
        <w:spacing w:before="230"/>
        <w:jc w:val="both"/>
        <w:rPr>
          <w:rStyle w:val="FontStyle59"/>
        </w:rPr>
      </w:pPr>
      <w:r>
        <w:rPr>
          <w:rStyle w:val="FontStyle60"/>
        </w:rPr>
        <w:br w:type="column"/>
      </w:r>
      <w:r>
        <w:rPr>
          <w:rStyle w:val="FontStyle59"/>
        </w:rPr>
        <w:t>Stavební úpravy objektu U dráhy 11 Plzeň</w:t>
      </w:r>
    </w:p>
    <w:p w:rsidR="00111C03" w:rsidRDefault="00111C03">
      <w:pPr>
        <w:pStyle w:val="Style1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59"/>
        </w:rPr>
        <w:br w:type="column"/>
      </w:r>
    </w:p>
    <w:p w:rsidR="00111C03" w:rsidRDefault="00111C03">
      <w:pPr>
        <w:pStyle w:val="Style1"/>
        <w:widowControl/>
        <w:spacing w:before="77" w:line="240" w:lineRule="auto"/>
        <w:jc w:val="both"/>
        <w:rPr>
          <w:rStyle w:val="FontStyle46"/>
        </w:rPr>
      </w:pPr>
      <w:r>
        <w:rPr>
          <w:rStyle w:val="FontStyle46"/>
        </w:rPr>
        <w:t>22.8.2019</w:t>
      </w:r>
    </w:p>
    <w:p w:rsidR="00111C03" w:rsidRDefault="00111C03">
      <w:pPr>
        <w:pStyle w:val="Style1"/>
        <w:widowControl/>
        <w:spacing w:before="77" w:line="240" w:lineRule="auto"/>
        <w:jc w:val="both"/>
        <w:rPr>
          <w:rStyle w:val="FontStyle46"/>
        </w:rPr>
        <w:sectPr w:rsidR="00111C03">
          <w:type w:val="continuous"/>
          <w:pgSz w:w="16837" w:h="23810"/>
          <w:pgMar w:top="2573" w:right="3246" w:bottom="1440" w:left="3694" w:header="708" w:footer="708" w:gutter="0"/>
          <w:cols w:num="3" w:space="708" w:equalWidth="0">
            <w:col w:w="1478" w:space="749"/>
            <w:col w:w="5558" w:space="1243"/>
            <w:col w:w="868"/>
          </w:cols>
          <w:noEndnote/>
        </w:sectPr>
      </w:pPr>
    </w:p>
    <w:p w:rsidR="00111C03" w:rsidRDefault="00111C03">
      <w:pPr>
        <w:pStyle w:val="Style38"/>
        <w:widowControl/>
        <w:spacing w:line="240" w:lineRule="exact"/>
        <w:rPr>
          <w:sz w:val="20"/>
          <w:szCs w:val="20"/>
        </w:rPr>
      </w:pPr>
    </w:p>
    <w:p w:rsidR="00111C03" w:rsidRDefault="00111C03">
      <w:pPr>
        <w:pStyle w:val="Style38"/>
        <w:widowControl/>
        <w:spacing w:line="240" w:lineRule="exact"/>
        <w:rPr>
          <w:sz w:val="20"/>
          <w:szCs w:val="20"/>
        </w:rPr>
      </w:pPr>
    </w:p>
    <w:p w:rsidR="00111C03" w:rsidRDefault="00111C03">
      <w:pPr>
        <w:pStyle w:val="Style38"/>
        <w:widowControl/>
        <w:spacing w:before="125"/>
        <w:rPr>
          <w:rStyle w:val="FontStyle65"/>
        </w:rPr>
      </w:pPr>
      <w:r>
        <w:rPr>
          <w:rStyle w:val="FontStyle65"/>
        </w:rPr>
        <w:t>Změna řeší skutečnost vestavby pozorovatelny, kde se provedla zvýšená podlaha pomocí ocelových profilů .Dále odsouhlasené vfcepráce projektantem i technickým dozorem, které nebylo možné předpokládat před odkrytím stávajícího souvrství podlah a střešní krytiny. Méněpráce řeší skutečnost na stavbě.</w:t>
      </w:r>
    </w:p>
    <w:p w:rsidR="00111C03" w:rsidRDefault="00111C03">
      <w:pPr>
        <w:pStyle w:val="Style34"/>
        <w:widowControl/>
        <w:spacing w:line="240" w:lineRule="exact"/>
        <w:rPr>
          <w:sz w:val="20"/>
          <w:szCs w:val="20"/>
        </w:rPr>
      </w:pPr>
    </w:p>
    <w:p w:rsidR="00111C03" w:rsidRDefault="00111C03">
      <w:pPr>
        <w:pStyle w:val="Style34"/>
        <w:widowControl/>
        <w:spacing w:line="240" w:lineRule="exact"/>
        <w:rPr>
          <w:sz w:val="20"/>
          <w:szCs w:val="20"/>
        </w:rPr>
      </w:pPr>
    </w:p>
    <w:p w:rsidR="00111C03" w:rsidRDefault="00111C03">
      <w:pPr>
        <w:pStyle w:val="Style34"/>
        <w:widowControl/>
        <w:spacing w:before="182" w:line="240" w:lineRule="auto"/>
        <w:rPr>
          <w:rStyle w:val="FontStyle60"/>
        </w:rPr>
      </w:pPr>
      <w:r>
        <w:rPr>
          <w:rStyle w:val="FontStyle60"/>
        </w:rPr>
        <w:t>zdůvodnění změny:</w:t>
      </w:r>
    </w:p>
    <w:p w:rsidR="00111C03" w:rsidRDefault="00111C03">
      <w:pPr>
        <w:pStyle w:val="Style38"/>
        <w:widowControl/>
        <w:spacing w:before="62"/>
        <w:rPr>
          <w:rStyle w:val="FontStyle65"/>
        </w:rPr>
      </w:pPr>
      <w:r>
        <w:rPr>
          <w:rStyle w:val="FontStyle65"/>
        </w:rPr>
        <w:t>Změny v provádění jsou především vyvolány řešením oprav a obnovy konstrukcí, které byly dosud uzavřené a rozsah prací byl zřejmý až po demontáži skladby podlah, střech a prohlídky stávajících konstrukcí. Méněpráce souvisí s odečtením neprovedených prací a odpovídají skutečnosti. Rozsahem prací byl prodloužen termín dokončení stavby</w:t>
      </w:r>
    </w:p>
    <w:p w:rsidR="00111C03" w:rsidRDefault="00111C03">
      <w:pPr>
        <w:pStyle w:val="Style34"/>
        <w:widowControl/>
        <w:spacing w:before="82" w:line="240" w:lineRule="auto"/>
        <w:rPr>
          <w:rStyle w:val="FontStyle60"/>
        </w:rPr>
      </w:pPr>
      <w:r>
        <w:rPr>
          <w:rStyle w:val="FontStyle60"/>
        </w:rPr>
        <w:t>zdůvodnění nemožnosti oddělení prací a samostatného zadání:</w:t>
      </w:r>
    </w:p>
    <w:p w:rsidR="00111C03" w:rsidRDefault="00111C03">
      <w:pPr>
        <w:pStyle w:val="Style38"/>
        <w:widowControl/>
        <w:spacing w:line="240" w:lineRule="exact"/>
        <w:rPr>
          <w:sz w:val="20"/>
          <w:szCs w:val="20"/>
        </w:rPr>
      </w:pPr>
    </w:p>
    <w:p w:rsidR="00111C03" w:rsidRDefault="00111C03">
      <w:pPr>
        <w:pStyle w:val="Style38"/>
        <w:widowControl/>
        <w:spacing w:before="202" w:after="365" w:line="240" w:lineRule="exact"/>
        <w:rPr>
          <w:rStyle w:val="FontStyle65"/>
        </w:rPr>
      </w:pPr>
      <w:r>
        <w:rPr>
          <w:rStyle w:val="FontStyle65"/>
        </w:rPr>
        <w:t>Tyto práce nebyly obsaženy v původních zadávacích podmínkách, jejich potřeba vznikla v důsledku objektivně nepředvídaných okolností a tyto dodatečné stavební práce jsou nezbytné pro provedení a dokončení celé veřejné zakázky (stavby).</w:t>
      </w:r>
    </w:p>
    <w:p w:rsidR="00111C03" w:rsidRDefault="00111C03">
      <w:pPr>
        <w:pStyle w:val="Style38"/>
        <w:widowControl/>
        <w:spacing w:before="202" w:after="365" w:line="240" w:lineRule="exact"/>
        <w:rPr>
          <w:rStyle w:val="FontStyle65"/>
        </w:rPr>
        <w:sectPr w:rsidR="00111C03">
          <w:type w:val="continuous"/>
          <w:pgSz w:w="16837" w:h="23810"/>
          <w:pgMar w:top="2573" w:right="3246" w:bottom="1440" w:left="3650" w:header="708" w:footer="708" w:gutter="0"/>
          <w:cols w:space="60"/>
          <w:noEndnote/>
        </w:sectPr>
      </w:pPr>
    </w:p>
    <w:p w:rsidR="00111C03" w:rsidRDefault="00111C03">
      <w:pPr>
        <w:pStyle w:val="Style34"/>
        <w:widowControl/>
        <w:spacing w:line="240" w:lineRule="auto"/>
        <w:jc w:val="both"/>
        <w:rPr>
          <w:rStyle w:val="FontStyle60"/>
        </w:rPr>
      </w:pPr>
      <w:r>
        <w:rPr>
          <w:rStyle w:val="FontStyle60"/>
        </w:rPr>
        <w:t>vliv na cenu díla</w:t>
      </w:r>
    </w:p>
    <w:p w:rsidR="00111C03" w:rsidRDefault="00111C03">
      <w:pPr>
        <w:pStyle w:val="Style42"/>
        <w:widowControl/>
        <w:jc w:val="both"/>
        <w:rPr>
          <w:rStyle w:val="FontStyle65"/>
        </w:rPr>
      </w:pPr>
      <w:r>
        <w:rPr>
          <w:rStyle w:val="FontStyle60"/>
        </w:rPr>
        <w:br w:type="column"/>
      </w:r>
      <w:r>
        <w:rPr>
          <w:rStyle w:val="FontStyle65"/>
        </w:rPr>
        <w:t>Ano</w:t>
      </w:r>
    </w:p>
    <w:p w:rsidR="00111C03" w:rsidRDefault="00111C03">
      <w:pPr>
        <w:pStyle w:val="Style14"/>
        <w:widowControl/>
        <w:spacing w:before="19"/>
        <w:rPr>
          <w:rStyle w:val="FontStyle60"/>
        </w:rPr>
      </w:pPr>
      <w:r>
        <w:rPr>
          <w:rStyle w:val="FontStyle65"/>
        </w:rPr>
        <w:br w:type="column"/>
      </w:r>
      <w:r>
        <w:rPr>
          <w:rStyle w:val="FontStyle60"/>
        </w:rPr>
        <w:t>meneprace: vícepráce:</w:t>
      </w:r>
    </w:p>
    <w:p w:rsidR="00111C03" w:rsidRDefault="00111C03">
      <w:pPr>
        <w:pStyle w:val="Style5"/>
        <w:widowControl/>
        <w:spacing w:before="14"/>
        <w:rPr>
          <w:rStyle w:val="FontStyle63"/>
        </w:rPr>
      </w:pPr>
      <w:r>
        <w:rPr>
          <w:rStyle w:val="FontStyle63"/>
        </w:rPr>
        <w:t>15 985,2 192 736,9</w:t>
      </w:r>
    </w:p>
    <w:p w:rsidR="00111C03" w:rsidRDefault="00111C03">
      <w:pPr>
        <w:pStyle w:val="Style5"/>
        <w:widowControl/>
        <w:spacing w:before="14"/>
        <w:rPr>
          <w:rStyle w:val="FontStyle63"/>
        </w:rPr>
        <w:sectPr w:rsidR="00111C03">
          <w:footerReference w:type="default" r:id="rId18"/>
          <w:type w:val="continuous"/>
          <w:pgSz w:w="16837" w:h="23810"/>
          <w:pgMar w:top="2573" w:right="6505" w:bottom="1440" w:left="3665" w:header="708" w:footer="708" w:gutter="0"/>
          <w:cols w:num="4" w:space="708" w:equalWidth="0">
            <w:col w:w="1526" w:space="1560"/>
            <w:col w:w="720" w:space="293"/>
            <w:col w:w="1084" w:space="610"/>
            <w:col w:w="873"/>
          </w:cols>
          <w:noEndnote/>
        </w:sectPr>
      </w:pPr>
    </w:p>
    <w:p w:rsidR="00111C03" w:rsidRDefault="00111C03">
      <w:pPr>
        <w:widowControl/>
        <w:spacing w:line="226" w:lineRule="exact"/>
        <w:rPr>
          <w:sz w:val="20"/>
          <w:szCs w:val="20"/>
        </w:rPr>
      </w:pPr>
    </w:p>
    <w:p w:rsidR="00111C03" w:rsidRDefault="00111C03">
      <w:pPr>
        <w:pStyle w:val="Style5"/>
        <w:widowControl/>
        <w:spacing w:before="14"/>
        <w:rPr>
          <w:rStyle w:val="FontStyle63"/>
        </w:rPr>
        <w:sectPr w:rsidR="00111C03">
          <w:footerReference w:type="default" r:id="rId19"/>
          <w:type w:val="continuous"/>
          <w:pgSz w:w="16837" w:h="23810"/>
          <w:pgMar w:top="2573" w:right="3712" w:bottom="1440" w:left="5014" w:header="708" w:footer="708" w:gutter="0"/>
          <w:cols w:space="60"/>
          <w:noEndnote/>
        </w:sectPr>
      </w:pPr>
    </w:p>
    <w:p w:rsidR="00111C03" w:rsidRDefault="00111C03">
      <w:pPr>
        <w:pStyle w:val="Style43"/>
        <w:widowControl/>
        <w:jc w:val="both"/>
        <w:rPr>
          <w:rStyle w:val="FontStyle61"/>
        </w:rPr>
      </w:pPr>
      <w:r>
        <w:rPr>
          <w:rStyle w:val="FontStyle61"/>
        </w:rPr>
        <w:t>smlouva:</w:t>
      </w:r>
    </w:p>
    <w:p w:rsidR="00111C03" w:rsidRDefault="00111C03">
      <w:pPr>
        <w:pStyle w:val="Style44"/>
        <w:widowControl/>
        <w:ind w:left="422"/>
        <w:rPr>
          <w:rStyle w:val="FontStyle62"/>
        </w:rPr>
      </w:pPr>
      <w:r>
        <w:rPr>
          <w:rStyle w:val="FontStyle63"/>
        </w:rPr>
        <w:t xml:space="preserve">1 374 035 </w:t>
      </w:r>
      <w:r>
        <w:rPr>
          <w:rStyle w:val="FontStyle62"/>
        </w:rPr>
        <w:t xml:space="preserve">Kč </w:t>
      </w:r>
      <w:r>
        <w:rPr>
          <w:rStyle w:val="FontStyle63"/>
        </w:rPr>
        <w:t xml:space="preserve">288 547 </w:t>
      </w:r>
      <w:r>
        <w:rPr>
          <w:rStyle w:val="FontStyle62"/>
        </w:rPr>
        <w:t>Kč</w:t>
      </w:r>
    </w:p>
    <w:p w:rsidR="00111C03" w:rsidRDefault="00111C03">
      <w:pPr>
        <w:pStyle w:val="Style17"/>
        <w:widowControl/>
        <w:spacing w:line="240" w:lineRule="exact"/>
        <w:rPr>
          <w:sz w:val="20"/>
          <w:szCs w:val="20"/>
        </w:rPr>
      </w:pPr>
      <w:r>
        <w:rPr>
          <w:rStyle w:val="FontStyle62"/>
        </w:rPr>
        <w:br w:type="column"/>
      </w:r>
    </w:p>
    <w:p w:rsidR="00111C03" w:rsidRDefault="00111C03">
      <w:pPr>
        <w:pStyle w:val="Style17"/>
        <w:widowControl/>
        <w:spacing w:before="10"/>
        <w:rPr>
          <w:rStyle w:val="FontStyle62"/>
        </w:rPr>
      </w:pPr>
      <w:r>
        <w:rPr>
          <w:rStyle w:val="FontStyle63"/>
        </w:rPr>
        <w:t xml:space="preserve">bez </w:t>
      </w:r>
      <w:r>
        <w:rPr>
          <w:rStyle w:val="FontStyle62"/>
        </w:rPr>
        <w:t>DPH DPH 21%</w:t>
      </w:r>
    </w:p>
    <w:p w:rsidR="00111C03" w:rsidRDefault="00111C03">
      <w:pPr>
        <w:pStyle w:val="Style17"/>
        <w:widowControl/>
        <w:spacing w:before="19" w:line="245" w:lineRule="exact"/>
        <w:jc w:val="left"/>
        <w:rPr>
          <w:rStyle w:val="FontStyle61"/>
        </w:rPr>
      </w:pPr>
      <w:r>
        <w:rPr>
          <w:rStyle w:val="FontStyle62"/>
        </w:rPr>
        <w:br w:type="column"/>
      </w:r>
      <w:r>
        <w:rPr>
          <w:rStyle w:val="FontStyle61"/>
        </w:rPr>
        <w:t>skutečnost</w:t>
      </w:r>
    </w:p>
    <w:p w:rsidR="00111C03" w:rsidRDefault="00111C03">
      <w:pPr>
        <w:pStyle w:val="Style44"/>
        <w:widowControl/>
        <w:ind w:left="403"/>
        <w:rPr>
          <w:rStyle w:val="FontStyle62"/>
        </w:rPr>
      </w:pPr>
      <w:r>
        <w:rPr>
          <w:rStyle w:val="FontStyle63"/>
        </w:rPr>
        <w:t xml:space="preserve">1 550 787 </w:t>
      </w:r>
      <w:r>
        <w:rPr>
          <w:rStyle w:val="FontStyle62"/>
        </w:rPr>
        <w:t xml:space="preserve">Kč        </w:t>
      </w:r>
      <w:r>
        <w:rPr>
          <w:rStyle w:val="FontStyle63"/>
        </w:rPr>
        <w:t xml:space="preserve">bez </w:t>
      </w:r>
      <w:r>
        <w:rPr>
          <w:rStyle w:val="FontStyle62"/>
        </w:rPr>
        <w:t xml:space="preserve">DPH </w:t>
      </w:r>
      <w:r>
        <w:rPr>
          <w:rStyle w:val="FontStyle63"/>
        </w:rPr>
        <w:t xml:space="preserve">325 665 </w:t>
      </w:r>
      <w:r>
        <w:rPr>
          <w:rStyle w:val="FontStyle62"/>
        </w:rPr>
        <w:t>Kč        DPH 21%</w:t>
      </w:r>
    </w:p>
    <w:p w:rsidR="00111C03" w:rsidRDefault="00111C03">
      <w:pPr>
        <w:pStyle w:val="Style44"/>
        <w:widowControl/>
        <w:ind w:left="403"/>
        <w:rPr>
          <w:rStyle w:val="FontStyle62"/>
        </w:rPr>
        <w:sectPr w:rsidR="00111C03">
          <w:type w:val="continuous"/>
          <w:pgSz w:w="16837" w:h="23810"/>
          <w:pgMar w:top="2573" w:right="3712" w:bottom="1440" w:left="5014" w:header="708" w:footer="708" w:gutter="0"/>
          <w:cols w:num="3" w:space="708" w:equalWidth="0">
            <w:col w:w="1924" w:space="816"/>
            <w:col w:w="720" w:space="1637"/>
            <w:col w:w="3014"/>
          </w:cols>
          <w:noEndnote/>
        </w:sectPr>
      </w:pPr>
    </w:p>
    <w:p w:rsidR="00111C03" w:rsidRDefault="00111C03">
      <w:pPr>
        <w:pStyle w:val="Style24"/>
        <w:widowControl/>
        <w:jc w:val="both"/>
        <w:rPr>
          <w:rStyle w:val="FontStyle62"/>
        </w:rPr>
      </w:pPr>
      <w:r>
        <w:rPr>
          <w:rStyle w:val="FontStyle64"/>
        </w:rPr>
        <w:t xml:space="preserve">1 662 583 </w:t>
      </w:r>
      <w:r>
        <w:rPr>
          <w:rStyle w:val="FontStyle62"/>
        </w:rPr>
        <w:t>Kč</w:t>
      </w:r>
    </w:p>
    <w:p w:rsidR="00111C03" w:rsidRDefault="00111C03">
      <w:pPr>
        <w:pStyle w:val="Style12"/>
        <w:widowControl/>
        <w:jc w:val="both"/>
        <w:rPr>
          <w:rStyle w:val="FontStyle65"/>
        </w:rPr>
      </w:pPr>
      <w:r>
        <w:rPr>
          <w:rStyle w:val="FontStyle62"/>
        </w:rPr>
        <w:br w:type="column"/>
      </w:r>
      <w:r>
        <w:rPr>
          <w:rStyle w:val="FontStyle65"/>
        </w:rPr>
        <w:t>celkem</w:t>
      </w:r>
    </w:p>
    <w:p w:rsidR="00111C03" w:rsidRDefault="00111C03">
      <w:pPr>
        <w:pStyle w:val="Style27"/>
        <w:widowControl/>
        <w:jc w:val="both"/>
        <w:rPr>
          <w:rStyle w:val="FontStyle62"/>
        </w:rPr>
      </w:pPr>
      <w:r>
        <w:rPr>
          <w:rStyle w:val="FontStyle65"/>
        </w:rPr>
        <w:br w:type="column"/>
      </w:r>
      <w:r>
        <w:rPr>
          <w:rStyle w:val="FontStyle64"/>
        </w:rPr>
        <w:t xml:space="preserve">1876 452 </w:t>
      </w:r>
      <w:r>
        <w:rPr>
          <w:rStyle w:val="FontStyle62"/>
        </w:rPr>
        <w:t>Kč</w:t>
      </w:r>
    </w:p>
    <w:p w:rsidR="00111C03" w:rsidRDefault="00111C03">
      <w:pPr>
        <w:pStyle w:val="Style4"/>
        <w:widowControl/>
        <w:jc w:val="both"/>
        <w:rPr>
          <w:rStyle w:val="FontStyle65"/>
        </w:rPr>
      </w:pPr>
      <w:r>
        <w:rPr>
          <w:rStyle w:val="FontStyle62"/>
        </w:rPr>
        <w:br w:type="column"/>
      </w:r>
      <w:r>
        <w:rPr>
          <w:rStyle w:val="FontStyle65"/>
        </w:rPr>
        <w:t>celkem</w:t>
      </w:r>
    </w:p>
    <w:p w:rsidR="00111C03" w:rsidRDefault="00111C03">
      <w:pPr>
        <w:pStyle w:val="Style4"/>
        <w:widowControl/>
        <w:jc w:val="both"/>
        <w:rPr>
          <w:rStyle w:val="FontStyle65"/>
        </w:rPr>
        <w:sectPr w:rsidR="00111C03">
          <w:footerReference w:type="default" r:id="rId20"/>
          <w:type w:val="continuous"/>
          <w:pgSz w:w="16837" w:h="23810"/>
          <w:pgMar w:top="2573" w:right="3669" w:bottom="1440" w:left="5767" w:header="708" w:footer="708" w:gutter="0"/>
          <w:cols w:num="4" w:space="708" w:equalWidth="0">
            <w:col w:w="1171" w:space="821"/>
            <w:col w:w="720" w:space="2227"/>
            <w:col w:w="1166" w:space="576"/>
            <w:col w:w="720"/>
          </w:cols>
          <w:noEndnote/>
        </w:sectPr>
      </w:pPr>
    </w:p>
    <w:p w:rsidR="00111C03" w:rsidRDefault="00111C03">
      <w:pPr>
        <w:widowControl/>
        <w:spacing w:line="226" w:lineRule="exact"/>
        <w:rPr>
          <w:sz w:val="20"/>
          <w:szCs w:val="20"/>
        </w:rPr>
      </w:pPr>
    </w:p>
    <w:p w:rsidR="00111C03" w:rsidRDefault="00111C03">
      <w:pPr>
        <w:pStyle w:val="Style4"/>
        <w:widowControl/>
        <w:jc w:val="both"/>
        <w:rPr>
          <w:rStyle w:val="FontStyle65"/>
        </w:rPr>
        <w:sectPr w:rsidR="00111C03">
          <w:footerReference w:type="default" r:id="rId21"/>
          <w:type w:val="continuous"/>
          <w:pgSz w:w="16837" w:h="23810"/>
          <w:pgMar w:top="2573" w:right="4422" w:bottom="1440" w:left="3665" w:header="708" w:footer="708" w:gutter="0"/>
          <w:cols w:space="60"/>
          <w:noEndnote/>
        </w:sectPr>
      </w:pPr>
    </w:p>
    <w:p w:rsidR="00111C03" w:rsidRDefault="00111C03">
      <w:pPr>
        <w:pStyle w:val="Style34"/>
        <w:widowControl/>
        <w:spacing w:line="240" w:lineRule="auto"/>
        <w:jc w:val="both"/>
        <w:rPr>
          <w:rStyle w:val="FontStyle60"/>
        </w:rPr>
      </w:pPr>
      <w:r>
        <w:rPr>
          <w:rStyle w:val="FontStyle60"/>
        </w:rPr>
        <w:t>vliv na termín dokončení</w:t>
      </w:r>
    </w:p>
    <w:p w:rsidR="00111C03" w:rsidRDefault="00111C03">
      <w:pPr>
        <w:pStyle w:val="Style12"/>
        <w:widowControl/>
        <w:spacing w:before="5"/>
        <w:jc w:val="both"/>
        <w:rPr>
          <w:rStyle w:val="FontStyle65"/>
        </w:rPr>
      </w:pPr>
      <w:r>
        <w:rPr>
          <w:rStyle w:val="FontStyle60"/>
        </w:rPr>
        <w:br w:type="column"/>
      </w:r>
      <w:r>
        <w:rPr>
          <w:rStyle w:val="FontStyle65"/>
        </w:rPr>
        <w:t>ano</w:t>
      </w:r>
    </w:p>
    <w:p w:rsidR="00111C03" w:rsidRDefault="00111C03">
      <w:pPr>
        <w:pStyle w:val="Style14"/>
        <w:widowControl/>
        <w:spacing w:before="5" w:line="240" w:lineRule="auto"/>
        <w:rPr>
          <w:rStyle w:val="FontStyle60"/>
        </w:rPr>
      </w:pPr>
      <w:r>
        <w:rPr>
          <w:rStyle w:val="FontStyle65"/>
        </w:rPr>
        <w:br w:type="column"/>
      </w:r>
      <w:r>
        <w:rPr>
          <w:rStyle w:val="FontStyle60"/>
        </w:rPr>
        <w:t>rozdíl ceny:     176 751,70</w:t>
      </w:r>
    </w:p>
    <w:p w:rsidR="00111C03" w:rsidRDefault="00111C03">
      <w:pPr>
        <w:pStyle w:val="Style14"/>
        <w:widowControl/>
        <w:spacing w:before="10" w:line="240" w:lineRule="auto"/>
        <w:rPr>
          <w:rStyle w:val="FontStyle72"/>
        </w:rPr>
      </w:pPr>
      <w:r>
        <w:rPr>
          <w:rStyle w:val="FontStyle60"/>
        </w:rPr>
        <w:br w:type="column"/>
      </w:r>
      <w:r>
        <w:rPr>
          <w:rStyle w:val="FontStyle72"/>
        </w:rPr>
        <w:t>kč</w:t>
      </w:r>
    </w:p>
    <w:p w:rsidR="00111C03" w:rsidRDefault="00111C03">
      <w:pPr>
        <w:pStyle w:val="Style14"/>
        <w:widowControl/>
        <w:spacing w:before="10" w:line="240" w:lineRule="auto"/>
        <w:rPr>
          <w:rStyle w:val="FontStyle72"/>
        </w:rPr>
        <w:sectPr w:rsidR="00111C03">
          <w:type w:val="continuous"/>
          <w:pgSz w:w="16837" w:h="23810"/>
          <w:pgMar w:top="2573" w:right="4422" w:bottom="1440" w:left="3665" w:header="708" w:footer="708" w:gutter="0"/>
          <w:cols w:num="4" w:space="708" w:equalWidth="0">
            <w:col w:w="2328" w:space="1771"/>
            <w:col w:w="720" w:space="283"/>
            <w:col w:w="2457" w:space="470"/>
            <w:col w:w="720"/>
          </w:cols>
          <w:noEndnote/>
        </w:sectPr>
      </w:pPr>
    </w:p>
    <w:p w:rsidR="00111C03" w:rsidRDefault="00111C03">
      <w:pPr>
        <w:pStyle w:val="Style34"/>
        <w:widowControl/>
        <w:spacing w:before="230" w:after="235" w:line="240" w:lineRule="auto"/>
        <w:jc w:val="both"/>
        <w:rPr>
          <w:rStyle w:val="FontStyle60"/>
        </w:rPr>
      </w:pPr>
      <w:r>
        <w:rPr>
          <w:rStyle w:val="FontStyle60"/>
        </w:rPr>
        <w:t>jiné vlivy (např. vliv na změnu projektové dokumentace atd.):</w:t>
      </w:r>
    </w:p>
    <w:p w:rsidR="00111C03" w:rsidRDefault="00111C03">
      <w:pPr>
        <w:pStyle w:val="Style34"/>
        <w:widowControl/>
        <w:spacing w:before="230" w:after="235" w:line="240" w:lineRule="auto"/>
        <w:jc w:val="both"/>
        <w:rPr>
          <w:rStyle w:val="FontStyle60"/>
        </w:rPr>
        <w:sectPr w:rsidR="00111C03">
          <w:footerReference w:type="default" r:id="rId22"/>
          <w:type w:val="continuous"/>
          <w:pgSz w:w="16837" w:h="23810"/>
          <w:pgMar w:top="2573" w:right="3246" w:bottom="1440" w:left="3650" w:header="708" w:footer="708" w:gutter="0"/>
          <w:cols w:space="60"/>
          <w:noEndnote/>
        </w:sectPr>
      </w:pPr>
    </w:p>
    <w:p w:rsidR="00111C03" w:rsidRDefault="00111C03">
      <w:pPr>
        <w:pStyle w:val="Style34"/>
        <w:widowControl/>
        <w:spacing w:line="240" w:lineRule="auto"/>
        <w:jc w:val="both"/>
        <w:rPr>
          <w:rStyle w:val="FontStyle60"/>
        </w:rPr>
      </w:pPr>
      <w:r>
        <w:rPr>
          <w:rStyle w:val="FontStyle60"/>
        </w:rPr>
        <w:t>přílohy</w:t>
      </w:r>
    </w:p>
    <w:p w:rsidR="00111C03" w:rsidRDefault="00111C03">
      <w:pPr>
        <w:pStyle w:val="Style14"/>
        <w:widowControl/>
        <w:spacing w:line="240" w:lineRule="auto"/>
        <w:rPr>
          <w:rStyle w:val="FontStyle60"/>
        </w:rPr>
      </w:pPr>
      <w:r>
        <w:rPr>
          <w:rStyle w:val="FontStyle60"/>
        </w:rPr>
        <w:br w:type="column"/>
      </w:r>
      <w:r>
        <w:rPr>
          <w:rStyle w:val="FontStyle60"/>
          <w:spacing w:val="10"/>
        </w:rPr>
        <w:t>1.</w:t>
      </w:r>
      <w:r>
        <w:rPr>
          <w:rStyle w:val="FontStyle60"/>
        </w:rPr>
        <w:t>rozpočet se skutečně provedenými položkami</w:t>
      </w:r>
    </w:p>
    <w:p w:rsidR="00111C03" w:rsidRDefault="00111C03">
      <w:pPr>
        <w:pStyle w:val="Style14"/>
        <w:widowControl/>
        <w:spacing w:line="240" w:lineRule="auto"/>
        <w:rPr>
          <w:rStyle w:val="FontStyle60"/>
        </w:rPr>
        <w:sectPr w:rsidR="00111C03">
          <w:footerReference w:type="default" r:id="rId23"/>
          <w:type w:val="continuous"/>
          <w:pgSz w:w="16837" w:h="23810"/>
          <w:pgMar w:top="2573" w:right="7326" w:bottom="1440" w:left="3670" w:header="708" w:footer="708" w:gutter="0"/>
          <w:cols w:num="2" w:space="708" w:equalWidth="0">
            <w:col w:w="720" w:space="624"/>
            <w:col w:w="4497"/>
          </w:cols>
          <w:noEndnote/>
        </w:sectPr>
      </w:pPr>
    </w:p>
    <w:p w:rsidR="00111C03" w:rsidRDefault="00111C03">
      <w:pPr>
        <w:pStyle w:val="Style34"/>
        <w:widowControl/>
        <w:spacing w:line="240" w:lineRule="auto"/>
        <w:jc w:val="both"/>
        <w:rPr>
          <w:rStyle w:val="FontStyle60"/>
        </w:rPr>
      </w:pPr>
      <w:r>
        <w:rPr>
          <w:rStyle w:val="FontStyle60"/>
        </w:rPr>
        <w:t>vyjádření TDS</w:t>
      </w:r>
    </w:p>
    <w:p w:rsidR="00111C03" w:rsidRDefault="00111C03">
      <w:pPr>
        <w:pStyle w:val="Style34"/>
        <w:widowControl/>
        <w:spacing w:line="240" w:lineRule="exact"/>
        <w:jc w:val="both"/>
        <w:rPr>
          <w:sz w:val="20"/>
          <w:szCs w:val="20"/>
        </w:rPr>
      </w:pPr>
    </w:p>
    <w:p w:rsidR="00111C03" w:rsidRDefault="00111C03">
      <w:pPr>
        <w:pStyle w:val="Style34"/>
        <w:widowControl/>
        <w:spacing w:line="240" w:lineRule="exact"/>
        <w:jc w:val="both"/>
        <w:rPr>
          <w:sz w:val="20"/>
          <w:szCs w:val="20"/>
        </w:rPr>
      </w:pPr>
    </w:p>
    <w:p w:rsidR="00111C03" w:rsidRDefault="00111C03">
      <w:pPr>
        <w:pStyle w:val="Style40"/>
        <w:widowControl/>
        <w:spacing w:before="5"/>
        <w:rPr>
          <w:rStyle w:val="FontStyle54"/>
        </w:rPr>
        <w:sectPr w:rsidR="00111C03">
          <w:footerReference w:type="default" r:id="rId24"/>
          <w:type w:val="continuous"/>
          <w:pgSz w:w="16837" w:h="23810"/>
          <w:pgMar w:top="2573" w:right="3529" w:bottom="1440" w:left="3660" w:header="708" w:footer="708" w:gutter="0"/>
          <w:cols w:num="2" w:space="708" w:equalWidth="0">
            <w:col w:w="2937" w:space="3936"/>
            <w:col w:w="2774"/>
          </w:cols>
          <w:noEndnote/>
        </w:sectPr>
      </w:pPr>
    </w:p>
    <w:p w:rsidR="00111C03" w:rsidRDefault="00111C03">
      <w:pPr>
        <w:widowControl/>
        <w:spacing w:line="1" w:lineRule="exact"/>
        <w:rPr>
          <w:sz w:val="2"/>
          <w:szCs w:val="2"/>
        </w:rPr>
      </w:pPr>
      <w:r>
        <w:rPr>
          <w:noProof/>
        </w:rPr>
        <w:pict>
          <v:group id="_x0000_s1026" style="position:absolute;margin-left:.7pt;margin-top:0;width:506.2pt;height:380.15pt;z-index:251658240;mso-wrap-distance-left:7in;mso-wrap-distance-right:7in;mso-position-horizontal-relative:margin" coordorigin="1094,1243" coordsize="10124,760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094;top:1833;width:10124;height:5784;mso-wrap-edited:f" o:allowincell="f" filled="f" strokecolor="white" strokeweight="0">
              <v:textbox style="mso-next-textbox:#_x0000_s1027"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1138"/>
                      <w:gridCol w:w="4277"/>
                      <w:gridCol w:w="590"/>
                      <w:gridCol w:w="1032"/>
                      <w:gridCol w:w="1013"/>
                      <w:gridCol w:w="1027"/>
                      <w:gridCol w:w="1046"/>
                    </w:tblGrid>
                    <w:tr w:rsidR="00111C03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1138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č.položky</w:t>
                          </w:r>
                        </w:p>
                      </w:tc>
                      <w:tc>
                        <w:tcPr>
                          <w:tcW w:w="4277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popis prací</w:t>
                          </w:r>
                        </w:p>
                      </w:tc>
                      <w:tc>
                        <w:tcPr>
                          <w:tcW w:w="590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mj</w:t>
                          </w:r>
                        </w:p>
                      </w:tc>
                      <w:tc>
                        <w:tcPr>
                          <w:tcW w:w="1032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množství</w:t>
                          </w:r>
                        </w:p>
                      </w:tc>
                      <w:tc>
                        <w:tcPr>
                          <w:tcW w:w="1013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cena</w:t>
                          </w:r>
                        </w:p>
                      </w:tc>
                      <w:tc>
                        <w:tcPr>
                          <w:tcW w:w="1027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celkem</w:t>
                          </w:r>
                        </w:p>
                      </w:tc>
                      <w:tc>
                        <w:tcPr>
                          <w:tcW w:w="1046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méněpr.</w:t>
                          </w:r>
                        </w:p>
                      </w:tc>
                    </w:tr>
                    <w:tr w:rsidR="00111C03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11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6</w:t>
                          </w:r>
                        </w:p>
                      </w:tc>
                      <w:tc>
                        <w:tcPr>
                          <w:tcW w:w="427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osazení ocelových nosníků</w:t>
                          </w:r>
                        </w:p>
                      </w:tc>
                      <w:tc>
                        <w:tcPr>
                          <w:tcW w:w="59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t</w:t>
                          </w:r>
                        </w:p>
                      </w:tc>
                      <w:tc>
                        <w:tcPr>
                          <w:tcW w:w="103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1</w:t>
                          </w:r>
                        </w:p>
                      </w:tc>
                      <w:tc>
                        <w:tcPr>
                          <w:tcW w:w="101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7500</w:t>
                          </w:r>
                        </w:p>
                      </w:tc>
                      <w:tc>
                        <w:tcPr>
                          <w:tcW w:w="102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7500</w:t>
                          </w:r>
                        </w:p>
                      </w:tc>
                      <w:tc>
                        <w:tcPr>
                          <w:tcW w:w="104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13"/>
                            <w:widowControl/>
                          </w:pPr>
                        </w:p>
                      </w:tc>
                    </w:tr>
                    <w:tr w:rsidR="00111C03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11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7</w:t>
                          </w:r>
                        </w:p>
                      </w:tc>
                      <w:tc>
                        <w:tcPr>
                          <w:tcW w:w="427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ocel profilová IPE 140</w:t>
                          </w:r>
                        </w:p>
                      </w:tc>
                      <w:tc>
                        <w:tcPr>
                          <w:tcW w:w="59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t</w:t>
                          </w:r>
                        </w:p>
                      </w:tc>
                      <w:tc>
                        <w:tcPr>
                          <w:tcW w:w="103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1</w:t>
                          </w:r>
                        </w:p>
                      </w:tc>
                      <w:tc>
                        <w:tcPr>
                          <w:tcW w:w="101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32600</w:t>
                          </w:r>
                        </w:p>
                      </w:tc>
                      <w:tc>
                        <w:tcPr>
                          <w:tcW w:w="102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32600</w:t>
                          </w:r>
                        </w:p>
                      </w:tc>
                      <w:tc>
                        <w:tcPr>
                          <w:tcW w:w="104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13"/>
                            <w:widowControl/>
                          </w:pPr>
                        </w:p>
                      </w:tc>
                    </w:tr>
                    <w:tr w:rsidR="00111C03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11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9</w:t>
                          </w:r>
                        </w:p>
                      </w:tc>
                      <w:tc>
                        <w:tcPr>
                          <w:tcW w:w="427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schodišťové konstrukce a rampy</w:t>
                          </w:r>
                        </w:p>
                      </w:tc>
                      <w:tc>
                        <w:tcPr>
                          <w:tcW w:w="59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t</w:t>
                          </w:r>
                        </w:p>
                      </w:tc>
                      <w:tc>
                        <w:tcPr>
                          <w:tcW w:w="103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1</w:t>
                          </w:r>
                        </w:p>
                      </w:tc>
                      <w:tc>
                        <w:tcPr>
                          <w:tcW w:w="101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3100</w:t>
                          </w:r>
                        </w:p>
                      </w:tc>
                      <w:tc>
                        <w:tcPr>
                          <w:tcW w:w="102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3100</w:t>
                          </w:r>
                        </w:p>
                      </w:tc>
                      <w:tc>
                        <w:tcPr>
                          <w:tcW w:w="104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13"/>
                            <w:widowControl/>
                          </w:pPr>
                        </w:p>
                      </w:tc>
                    </w:tr>
                    <w:tr w:rsidR="00111C03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11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20</w:t>
                          </w:r>
                        </w:p>
                      </w:tc>
                      <w:tc>
                        <w:tcPr>
                          <w:tcW w:w="427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lešení pomocné</w:t>
                          </w:r>
                        </w:p>
                      </w:tc>
                      <w:tc>
                        <w:tcPr>
                          <w:tcW w:w="59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m2</w:t>
                          </w:r>
                        </w:p>
                      </w:tc>
                      <w:tc>
                        <w:tcPr>
                          <w:tcW w:w="103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88,16</w:t>
                          </w:r>
                        </w:p>
                      </w:tc>
                      <w:tc>
                        <w:tcPr>
                          <w:tcW w:w="101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48</w:t>
                          </w:r>
                        </w:p>
                      </w:tc>
                      <w:tc>
                        <w:tcPr>
                          <w:tcW w:w="102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4231,68</w:t>
                          </w:r>
                        </w:p>
                      </w:tc>
                      <w:tc>
                        <w:tcPr>
                          <w:tcW w:w="104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13"/>
                            <w:widowControl/>
                          </w:pPr>
                        </w:p>
                      </w:tc>
                    </w:tr>
                    <w:tr w:rsidR="00111C03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11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23</w:t>
                          </w:r>
                        </w:p>
                      </w:tc>
                      <w:tc>
                        <w:tcPr>
                          <w:tcW w:w="427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bourání podlah</w:t>
                          </w:r>
                        </w:p>
                      </w:tc>
                      <w:tc>
                        <w:tcPr>
                          <w:tcW w:w="59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m2</w:t>
                          </w:r>
                        </w:p>
                      </w:tc>
                      <w:tc>
                        <w:tcPr>
                          <w:tcW w:w="103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-20,08</w:t>
                          </w:r>
                        </w:p>
                      </w:tc>
                      <w:tc>
                        <w:tcPr>
                          <w:tcW w:w="101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35</w:t>
                          </w:r>
                        </w:p>
                      </w:tc>
                      <w:tc>
                        <w:tcPr>
                          <w:tcW w:w="102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13"/>
                            <w:widowControl/>
                          </w:pPr>
                        </w:p>
                      </w:tc>
                      <w:tc>
                        <w:tcPr>
                          <w:tcW w:w="104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ind w:left="307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-702,8</w:t>
                          </w:r>
                        </w:p>
                      </w:tc>
                    </w:tr>
                    <w:tr w:rsidR="00111C03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11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24</w:t>
                          </w:r>
                        </w:p>
                      </w:tc>
                      <w:tc>
                        <w:tcPr>
                          <w:tcW w:w="427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odstranění násypu</w:t>
                          </w:r>
                        </w:p>
                      </w:tc>
                      <w:tc>
                        <w:tcPr>
                          <w:tcW w:w="59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m3</w:t>
                          </w:r>
                        </w:p>
                      </w:tc>
                      <w:tc>
                        <w:tcPr>
                          <w:tcW w:w="103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-1,44</w:t>
                          </w:r>
                        </w:p>
                      </w:tc>
                      <w:tc>
                        <w:tcPr>
                          <w:tcW w:w="101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460</w:t>
                          </w:r>
                        </w:p>
                      </w:tc>
                      <w:tc>
                        <w:tcPr>
                          <w:tcW w:w="102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13"/>
                            <w:widowControl/>
                          </w:pPr>
                        </w:p>
                      </w:tc>
                      <w:tc>
                        <w:tcPr>
                          <w:tcW w:w="104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ind w:left="312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-662,4</w:t>
                          </w:r>
                        </w:p>
                      </w:tc>
                    </w:tr>
                    <w:tr w:rsidR="00111C03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11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28</w:t>
                          </w:r>
                        </w:p>
                      </w:tc>
                      <w:tc>
                        <w:tcPr>
                          <w:tcW w:w="427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výztuž věnců</w:t>
                          </w:r>
                        </w:p>
                      </w:tc>
                      <w:tc>
                        <w:tcPr>
                          <w:tcW w:w="59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t</w:t>
                          </w:r>
                        </w:p>
                      </w:tc>
                      <w:tc>
                        <w:tcPr>
                          <w:tcW w:w="103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0,172</w:t>
                          </w:r>
                        </w:p>
                      </w:tc>
                      <w:tc>
                        <w:tcPr>
                          <w:tcW w:w="101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36500</w:t>
                          </w:r>
                        </w:p>
                      </w:tc>
                      <w:tc>
                        <w:tcPr>
                          <w:tcW w:w="102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6278</w:t>
                          </w:r>
                        </w:p>
                      </w:tc>
                      <w:tc>
                        <w:tcPr>
                          <w:tcW w:w="104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13"/>
                            <w:widowControl/>
                          </w:pPr>
                        </w:p>
                      </w:tc>
                    </w:tr>
                    <w:tr w:rsidR="00111C03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11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79</w:t>
                          </w:r>
                        </w:p>
                      </w:tc>
                      <w:tc>
                        <w:tcPr>
                          <w:tcW w:w="427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krytina z hliníkového plechu</w:t>
                          </w:r>
                        </w:p>
                      </w:tc>
                      <w:tc>
                        <w:tcPr>
                          <w:tcW w:w="59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m2</w:t>
                          </w:r>
                        </w:p>
                      </w:tc>
                      <w:tc>
                        <w:tcPr>
                          <w:tcW w:w="103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25,817</w:t>
                          </w:r>
                        </w:p>
                      </w:tc>
                      <w:tc>
                        <w:tcPr>
                          <w:tcW w:w="101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1200</w:t>
                          </w:r>
                        </w:p>
                      </w:tc>
                      <w:tc>
                        <w:tcPr>
                          <w:tcW w:w="102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30980,4</w:t>
                          </w:r>
                        </w:p>
                      </w:tc>
                      <w:tc>
                        <w:tcPr>
                          <w:tcW w:w="104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13"/>
                            <w:widowControl/>
                          </w:pPr>
                        </w:p>
                      </w:tc>
                    </w:tr>
                    <w:tr w:rsidR="00111C03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11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86</w:t>
                          </w:r>
                        </w:p>
                      </w:tc>
                      <w:tc>
                        <w:tcPr>
                          <w:tcW w:w="427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lemování zdi z hliníkového plechu</w:t>
                          </w:r>
                        </w:p>
                      </w:tc>
                      <w:tc>
                        <w:tcPr>
                          <w:tcW w:w="59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m</w:t>
                          </w:r>
                        </w:p>
                      </w:tc>
                      <w:tc>
                        <w:tcPr>
                          <w:tcW w:w="103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14,4</w:t>
                          </w:r>
                        </w:p>
                      </w:tc>
                      <w:tc>
                        <w:tcPr>
                          <w:tcW w:w="101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310</w:t>
                          </w:r>
                        </w:p>
                      </w:tc>
                      <w:tc>
                        <w:tcPr>
                          <w:tcW w:w="102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4464</w:t>
                          </w:r>
                        </w:p>
                      </w:tc>
                      <w:tc>
                        <w:tcPr>
                          <w:tcW w:w="104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13"/>
                            <w:widowControl/>
                          </w:pPr>
                        </w:p>
                      </w:tc>
                    </w:tr>
                    <w:tr w:rsidR="00111C03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11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91</w:t>
                          </w:r>
                        </w:p>
                      </w:tc>
                      <w:tc>
                        <w:tcPr>
                          <w:tcW w:w="427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montáž pojistné folie</w:t>
                          </w:r>
                        </w:p>
                      </w:tc>
                      <w:tc>
                        <w:tcPr>
                          <w:tcW w:w="59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m2</w:t>
                          </w:r>
                        </w:p>
                      </w:tc>
                      <w:tc>
                        <w:tcPr>
                          <w:tcW w:w="103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25,817</w:t>
                          </w:r>
                        </w:p>
                      </w:tc>
                      <w:tc>
                        <w:tcPr>
                          <w:tcW w:w="101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50</w:t>
                          </w:r>
                        </w:p>
                      </w:tc>
                      <w:tc>
                        <w:tcPr>
                          <w:tcW w:w="102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1290,85</w:t>
                          </w:r>
                        </w:p>
                      </w:tc>
                      <w:tc>
                        <w:tcPr>
                          <w:tcW w:w="104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13"/>
                            <w:widowControl/>
                          </w:pPr>
                        </w:p>
                      </w:tc>
                    </w:tr>
                    <w:tr w:rsidR="00111C03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11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92</w:t>
                          </w:r>
                        </w:p>
                      </w:tc>
                      <w:tc>
                        <w:tcPr>
                          <w:tcW w:w="427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membrána podstřešní</w:t>
                          </w:r>
                        </w:p>
                      </w:tc>
                      <w:tc>
                        <w:tcPr>
                          <w:tcW w:w="59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m2</w:t>
                          </w:r>
                        </w:p>
                      </w:tc>
                      <w:tc>
                        <w:tcPr>
                          <w:tcW w:w="103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23,899</w:t>
                          </w:r>
                        </w:p>
                      </w:tc>
                      <w:tc>
                        <w:tcPr>
                          <w:tcW w:w="101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40</w:t>
                          </w:r>
                        </w:p>
                      </w:tc>
                      <w:tc>
                        <w:tcPr>
                          <w:tcW w:w="102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955,96</w:t>
                          </w:r>
                        </w:p>
                      </w:tc>
                      <w:tc>
                        <w:tcPr>
                          <w:tcW w:w="104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13"/>
                            <w:widowControl/>
                          </w:pPr>
                        </w:p>
                      </w:tc>
                    </w:tr>
                    <w:tr w:rsidR="00111C03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11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96</w:t>
                          </w:r>
                        </w:p>
                      </w:tc>
                      <w:tc>
                        <w:tcPr>
                          <w:tcW w:w="427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montáž dveřních křídel</w:t>
                          </w:r>
                        </w:p>
                      </w:tc>
                      <w:tc>
                        <w:tcPr>
                          <w:tcW w:w="59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ks</w:t>
                          </w:r>
                        </w:p>
                      </w:tc>
                      <w:tc>
                        <w:tcPr>
                          <w:tcW w:w="103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-1</w:t>
                          </w:r>
                        </w:p>
                      </w:tc>
                      <w:tc>
                        <w:tcPr>
                          <w:tcW w:w="101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1000</w:t>
                          </w:r>
                        </w:p>
                      </w:tc>
                      <w:tc>
                        <w:tcPr>
                          <w:tcW w:w="102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13"/>
                            <w:widowControl/>
                          </w:pPr>
                        </w:p>
                      </w:tc>
                      <w:tc>
                        <w:tcPr>
                          <w:tcW w:w="104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ind w:left="365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-1000</w:t>
                          </w:r>
                        </w:p>
                      </w:tc>
                    </w:tr>
                    <w:tr w:rsidR="00111C03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11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97</w:t>
                          </w:r>
                        </w:p>
                      </w:tc>
                      <w:tc>
                        <w:tcPr>
                          <w:tcW w:w="427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dveře vnitřní protipožární</w:t>
                          </w:r>
                        </w:p>
                      </w:tc>
                      <w:tc>
                        <w:tcPr>
                          <w:tcW w:w="59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ks</w:t>
                          </w:r>
                        </w:p>
                      </w:tc>
                      <w:tc>
                        <w:tcPr>
                          <w:tcW w:w="103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-1</w:t>
                          </w:r>
                        </w:p>
                      </w:tc>
                      <w:tc>
                        <w:tcPr>
                          <w:tcW w:w="101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6420</w:t>
                          </w:r>
                        </w:p>
                      </w:tc>
                      <w:tc>
                        <w:tcPr>
                          <w:tcW w:w="102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13"/>
                            <w:widowControl/>
                          </w:pPr>
                        </w:p>
                      </w:tc>
                      <w:tc>
                        <w:tcPr>
                          <w:tcW w:w="104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ind w:left="355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-6420</w:t>
                          </w:r>
                        </w:p>
                      </w:tc>
                    </w:tr>
                    <w:tr w:rsidR="00111C03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11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101</w:t>
                          </w:r>
                        </w:p>
                      </w:tc>
                      <w:tc>
                        <w:tcPr>
                          <w:tcW w:w="427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samozavírač dveřní atypický</w:t>
                          </w:r>
                        </w:p>
                      </w:tc>
                      <w:tc>
                        <w:tcPr>
                          <w:tcW w:w="59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ks</w:t>
                          </w:r>
                        </w:p>
                      </w:tc>
                      <w:tc>
                        <w:tcPr>
                          <w:tcW w:w="103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7</w:t>
                          </w:r>
                        </w:p>
                      </w:tc>
                      <w:tc>
                        <w:tcPr>
                          <w:tcW w:w="101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2548</w:t>
                          </w:r>
                        </w:p>
                      </w:tc>
                      <w:tc>
                        <w:tcPr>
                          <w:tcW w:w="102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17836</w:t>
                          </w:r>
                        </w:p>
                      </w:tc>
                      <w:tc>
                        <w:tcPr>
                          <w:tcW w:w="104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13"/>
                            <w:widowControl/>
                          </w:pPr>
                        </w:p>
                      </w:tc>
                    </w:tr>
                    <w:tr w:rsidR="00111C03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11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104</w:t>
                          </w:r>
                        </w:p>
                      </w:tc>
                      <w:tc>
                        <w:tcPr>
                          <w:tcW w:w="427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montáž zárubní dřevěných</w:t>
                          </w:r>
                        </w:p>
                      </w:tc>
                      <w:tc>
                        <w:tcPr>
                          <w:tcW w:w="59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ks</w:t>
                          </w:r>
                        </w:p>
                      </w:tc>
                      <w:tc>
                        <w:tcPr>
                          <w:tcW w:w="103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-1</w:t>
                          </w:r>
                        </w:p>
                      </w:tc>
                      <w:tc>
                        <w:tcPr>
                          <w:tcW w:w="101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1600</w:t>
                          </w:r>
                        </w:p>
                      </w:tc>
                      <w:tc>
                        <w:tcPr>
                          <w:tcW w:w="102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13"/>
                            <w:widowControl/>
                          </w:pPr>
                        </w:p>
                      </w:tc>
                      <w:tc>
                        <w:tcPr>
                          <w:tcW w:w="104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ind w:left="360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-1600</w:t>
                          </w:r>
                        </w:p>
                      </w:tc>
                    </w:tr>
                    <w:tr w:rsidR="00111C03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11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105</w:t>
                          </w:r>
                        </w:p>
                      </w:tc>
                      <w:tc>
                        <w:tcPr>
                          <w:tcW w:w="427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zárubeň obložková protipožární</w:t>
                          </w:r>
                        </w:p>
                      </w:tc>
                      <w:tc>
                        <w:tcPr>
                          <w:tcW w:w="59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ks</w:t>
                          </w:r>
                        </w:p>
                      </w:tc>
                      <w:tc>
                        <w:tcPr>
                          <w:tcW w:w="103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-1</w:t>
                          </w:r>
                        </w:p>
                      </w:tc>
                      <w:tc>
                        <w:tcPr>
                          <w:tcW w:w="101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5600</w:t>
                          </w:r>
                        </w:p>
                      </w:tc>
                      <w:tc>
                        <w:tcPr>
                          <w:tcW w:w="102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13"/>
                            <w:widowControl/>
                          </w:pPr>
                        </w:p>
                      </w:tc>
                      <w:tc>
                        <w:tcPr>
                          <w:tcW w:w="104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ind w:left="355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-5600</w:t>
                          </w:r>
                        </w:p>
                      </w:tc>
                    </w:tr>
                    <w:tr w:rsidR="00111C03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11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112</w:t>
                          </w:r>
                        </w:p>
                      </w:tc>
                      <w:tc>
                        <w:tcPr>
                          <w:tcW w:w="427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montáž zábradlí pozorovatelna</w:t>
                          </w:r>
                        </w:p>
                      </w:tc>
                      <w:tc>
                        <w:tcPr>
                          <w:tcW w:w="59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m</w:t>
                          </w:r>
                        </w:p>
                      </w:tc>
                      <w:tc>
                        <w:tcPr>
                          <w:tcW w:w="103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6</w:t>
                          </w:r>
                        </w:p>
                      </w:tc>
                      <w:tc>
                        <w:tcPr>
                          <w:tcW w:w="101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130</w:t>
                          </w:r>
                        </w:p>
                      </w:tc>
                      <w:tc>
                        <w:tcPr>
                          <w:tcW w:w="102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780</w:t>
                          </w:r>
                        </w:p>
                      </w:tc>
                      <w:tc>
                        <w:tcPr>
                          <w:tcW w:w="104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13"/>
                            <w:widowControl/>
                          </w:pPr>
                        </w:p>
                      </w:tc>
                    </w:tr>
                    <w:tr w:rsidR="00111C03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11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113</w:t>
                          </w:r>
                        </w:p>
                      </w:tc>
                      <w:tc>
                        <w:tcPr>
                          <w:tcW w:w="427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zábradlí pozorovatelny atypické</w:t>
                          </w:r>
                        </w:p>
                      </w:tc>
                      <w:tc>
                        <w:tcPr>
                          <w:tcW w:w="59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ks</w:t>
                          </w:r>
                        </w:p>
                      </w:tc>
                      <w:tc>
                        <w:tcPr>
                          <w:tcW w:w="103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1</w:t>
                          </w:r>
                        </w:p>
                      </w:tc>
                      <w:tc>
                        <w:tcPr>
                          <w:tcW w:w="101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15520</w:t>
                          </w:r>
                        </w:p>
                      </w:tc>
                      <w:tc>
                        <w:tcPr>
                          <w:tcW w:w="102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15520</w:t>
                          </w:r>
                        </w:p>
                      </w:tc>
                      <w:tc>
                        <w:tcPr>
                          <w:tcW w:w="104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13"/>
                            <w:widowControl/>
                          </w:pPr>
                        </w:p>
                      </w:tc>
                    </w:tr>
                    <w:tr w:rsidR="00111C03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11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148</w:t>
                          </w:r>
                        </w:p>
                      </w:tc>
                      <w:tc>
                        <w:tcPr>
                          <w:tcW w:w="427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stavební přípomoce</w:t>
                          </w:r>
                        </w:p>
                      </w:tc>
                      <w:tc>
                        <w:tcPr>
                          <w:tcW w:w="59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hod</w:t>
                          </w:r>
                        </w:p>
                      </w:tc>
                      <w:tc>
                        <w:tcPr>
                          <w:tcW w:w="103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210</w:t>
                          </w:r>
                        </w:p>
                      </w:tc>
                      <w:tc>
                        <w:tcPr>
                          <w:tcW w:w="101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320</w:t>
                          </w:r>
                        </w:p>
                      </w:tc>
                      <w:tc>
                        <w:tcPr>
                          <w:tcW w:w="102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37"/>
                            <w:widowControl/>
                            <w:jc w:val="right"/>
                            <w:rPr>
                              <w:rStyle w:val="FontStyle72"/>
                            </w:rPr>
                          </w:pPr>
                          <w:r>
                            <w:rPr>
                              <w:rStyle w:val="FontStyle72"/>
                            </w:rPr>
                            <w:t>67200</w:t>
                          </w:r>
                        </w:p>
                      </w:tc>
                      <w:tc>
                        <w:tcPr>
                          <w:tcW w:w="104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11C03" w:rsidRDefault="00111C03">
                          <w:pPr>
                            <w:pStyle w:val="Style13"/>
                            <w:widowControl/>
                          </w:pPr>
                        </w:p>
                      </w:tc>
                    </w:tr>
                  </w:tbl>
                </w:txbxContent>
              </v:textbox>
            </v:shape>
            <v:shape id="_x0000_s1028" type="#_x0000_t202" style="position:absolute;left:2270;top:7632;width:615;height:254;mso-wrap-edited:f" o:allowincell="f" filled="f" strokecolor="white" strokeweight="0">
              <v:textbox style="mso-next-textbox:#_x0000_s1028" inset="0,0,0,0">
                <w:txbxContent>
                  <w:p w:rsidR="00111C03" w:rsidRDefault="00111C03">
                    <w:pPr>
                      <w:pStyle w:val="Style39"/>
                      <w:widowControl/>
                      <w:jc w:val="both"/>
                      <w:rPr>
                        <w:rStyle w:val="FontStyle72"/>
                      </w:rPr>
                    </w:pPr>
                    <w:r>
                      <w:rPr>
                        <w:rStyle w:val="FontStyle72"/>
                      </w:rPr>
                      <w:t>celkem</w:t>
                    </w:r>
                  </w:p>
                </w:txbxContent>
              </v:textbox>
            </v:shape>
            <v:shape id="_x0000_s1029" type="#_x0000_t202" style="position:absolute;left:9297;top:7637;width:1838;height:254;mso-wrap-edited:f" o:allowincell="f" filled="f" strokecolor="white" strokeweight="0">
              <v:textbox style="mso-next-textbox:#_x0000_s1029" inset="0,0,0,0">
                <w:txbxContent>
                  <w:p w:rsidR="00111C03" w:rsidRDefault="00111C03">
                    <w:pPr>
                      <w:pStyle w:val="Style39"/>
                      <w:widowControl/>
                      <w:jc w:val="both"/>
                      <w:rPr>
                        <w:rStyle w:val="FontStyle72"/>
                      </w:rPr>
                    </w:pPr>
                    <w:r>
                      <w:rPr>
                        <w:rStyle w:val="FontStyle72"/>
                      </w:rPr>
                      <w:t>192736Í9   -15985,2</w:t>
                    </w:r>
                  </w:p>
                </w:txbxContent>
              </v:textbox>
            </v:shape>
            <v:shape id="_x0000_s1030" type="#_x0000_t202" style="position:absolute;left:1156;top:1243;width:5534;height:255;mso-wrap-edited:f" o:allowincell="f" filled="f" strokecolor="white" strokeweight="0">
              <v:textbox style="mso-next-textbox:#_x0000_s1030" inset="0,0,0,0">
                <w:txbxContent>
                  <w:p w:rsidR="00111C03" w:rsidRDefault="00111C03">
                    <w:pPr>
                      <w:pStyle w:val="Style14"/>
                      <w:widowControl/>
                      <w:spacing w:line="240" w:lineRule="auto"/>
                      <w:rPr>
                        <w:rStyle w:val="FontStyle60"/>
                      </w:rPr>
                    </w:pPr>
                    <w:r>
                      <w:rPr>
                        <w:rStyle w:val="FontStyle60"/>
                      </w:rPr>
                      <w:t xml:space="preserve">Vícepráce a méněpráce objektu U dráhy </w:t>
                    </w:r>
                    <w:r>
                      <w:rPr>
                        <w:rStyle w:val="FontStyle46"/>
                      </w:rPr>
                      <w:t>11</w:t>
                    </w:r>
                    <w:r>
                      <w:rPr>
                        <w:rStyle w:val="FontStyle60"/>
                      </w:rPr>
                      <w:t>-Hvězdárna Plzeň</w:t>
                    </w:r>
                  </w:p>
                </w:txbxContent>
              </v:textbox>
            </v:shape>
            <v:shape id="_x0000_s1031" type="#_x0000_t202" style="position:absolute;left:8640;top:8001;width:1128;height:844;mso-wrap-edited:f" o:allowincell="f" filled="f" strokecolor="white" strokeweight="0">
              <v:textbox style="mso-next-textbox:#_x0000_s1031" inset="0,0,0,0">
                <w:txbxContent>
                  <w:p w:rsidR="00111C03" w:rsidRDefault="00111C03">
                    <w:pPr>
                      <w:pStyle w:val="Style21"/>
                      <w:widowControl/>
                      <w:rPr>
                        <w:rStyle w:val="FontStyle73"/>
                      </w:rPr>
                    </w:pPr>
                  </w:p>
                </w:txbxContent>
              </v:textbox>
            </v:shape>
            <w10:wrap type="topAndBottom" anchorx="margin"/>
          </v:group>
        </w:pict>
      </w:r>
    </w:p>
    <w:sectPr w:rsidR="00111C03" w:rsidSect="00111C03">
      <w:pgSz w:w="16837" w:h="23810"/>
      <w:pgMar w:top="2432" w:right="3515" w:bottom="1440" w:left="3184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C03" w:rsidRDefault="00111C03">
      <w:r>
        <w:separator/>
      </w:r>
    </w:p>
  </w:endnote>
  <w:endnote w:type="continuationSeparator" w:id="0">
    <w:p w:rsidR="00111C03" w:rsidRDefault="00111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C03" w:rsidRDefault="00111C03">
    <w:pPr>
      <w:pStyle w:val="Style2"/>
      <w:widowControl/>
      <w:ind w:left="4214"/>
      <w:jc w:val="both"/>
      <w:rPr>
        <w:rStyle w:val="FontStyle54"/>
      </w:rPr>
    </w:pPr>
    <w:r>
      <w:rPr>
        <w:rStyle w:val="FontStyle54"/>
      </w:rPr>
      <w:t xml:space="preserve">Stránka </w:t>
    </w:r>
    <w:r>
      <w:rPr>
        <w:rStyle w:val="FontStyle54"/>
      </w:rPr>
      <w:fldChar w:fldCharType="begin"/>
    </w:r>
    <w:r>
      <w:rPr>
        <w:rStyle w:val="FontStyle54"/>
      </w:rPr>
      <w:instrText>PAGE</w:instrText>
    </w:r>
    <w:r>
      <w:rPr>
        <w:rStyle w:val="FontStyle54"/>
      </w:rPr>
      <w:fldChar w:fldCharType="separate"/>
    </w:r>
    <w:r>
      <w:rPr>
        <w:rStyle w:val="FontStyle54"/>
        <w:noProof/>
      </w:rPr>
      <w:t>1</w:t>
    </w:r>
    <w:r>
      <w:rPr>
        <w:rStyle w:val="FontStyle54"/>
      </w:rPr>
      <w:fldChar w:fldCharType="end"/>
    </w:r>
    <w:r>
      <w:rPr>
        <w:rStyle w:val="FontStyle54"/>
      </w:rPr>
      <w:t xml:space="preserve"> z 2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C03" w:rsidRDefault="00111C03">
    <w:pPr>
      <w:widowControl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C03" w:rsidRDefault="00111C03">
    <w:pPr>
      <w:widowControl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C03" w:rsidRDefault="00111C03">
    <w:pPr>
      <w:widowControl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C03" w:rsidRDefault="00111C03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C03" w:rsidRDefault="00111C03">
    <w:pPr>
      <w:pStyle w:val="Style2"/>
      <w:widowControl/>
      <w:ind w:left="3201" w:right="-2962"/>
      <w:jc w:val="both"/>
      <w:rPr>
        <w:rStyle w:val="FontStyle54"/>
      </w:rPr>
    </w:pPr>
    <w:r>
      <w:rPr>
        <w:rStyle w:val="FontStyle54"/>
      </w:rPr>
      <w:t xml:space="preserve">Stránka </w:t>
    </w:r>
    <w:r>
      <w:rPr>
        <w:rStyle w:val="FontStyle54"/>
      </w:rPr>
      <w:fldChar w:fldCharType="begin"/>
    </w:r>
    <w:r>
      <w:rPr>
        <w:rStyle w:val="FontStyle54"/>
      </w:rPr>
      <w:instrText>PAGE</w:instrText>
    </w:r>
    <w:r>
      <w:rPr>
        <w:rStyle w:val="FontStyle54"/>
      </w:rPr>
      <w:fldChar w:fldCharType="separate"/>
    </w:r>
    <w:r>
      <w:rPr>
        <w:rStyle w:val="FontStyle54"/>
        <w:noProof/>
      </w:rPr>
      <w:t>2</w:t>
    </w:r>
    <w:r>
      <w:rPr>
        <w:rStyle w:val="FontStyle54"/>
      </w:rPr>
      <w:fldChar w:fldCharType="end"/>
    </w:r>
    <w:r>
      <w:rPr>
        <w:rStyle w:val="FontStyle54"/>
      </w:rPr>
      <w:t xml:space="preserve"> z 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C03" w:rsidRDefault="00111C03">
    <w:pPr>
      <w:pStyle w:val="Style2"/>
      <w:widowControl/>
      <w:ind w:left="4200"/>
      <w:jc w:val="both"/>
      <w:rPr>
        <w:rStyle w:val="FontStyle54"/>
      </w:rPr>
    </w:pPr>
    <w:r>
      <w:rPr>
        <w:rStyle w:val="FontStyle54"/>
      </w:rPr>
      <w:t xml:space="preserve">Stránka </w:t>
    </w:r>
    <w:r>
      <w:rPr>
        <w:rStyle w:val="FontStyle54"/>
      </w:rPr>
      <w:fldChar w:fldCharType="begin"/>
    </w:r>
    <w:r>
      <w:rPr>
        <w:rStyle w:val="FontStyle54"/>
      </w:rPr>
      <w:instrText>PAGE</w:instrText>
    </w:r>
    <w:r>
      <w:rPr>
        <w:rStyle w:val="FontStyle54"/>
      </w:rPr>
      <w:fldChar w:fldCharType="separate"/>
    </w:r>
    <w:r>
      <w:rPr>
        <w:rStyle w:val="FontStyle54"/>
      </w:rPr>
      <w:t>2</w:t>
    </w:r>
    <w:r>
      <w:rPr>
        <w:rStyle w:val="FontStyle54"/>
      </w:rPr>
      <w:fldChar w:fldCharType="end"/>
    </w:r>
    <w:r>
      <w:rPr>
        <w:rStyle w:val="FontStyle54"/>
      </w:rPr>
      <w:t xml:space="preserve"> z 2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C03" w:rsidRDefault="00111C03">
    <w:pPr>
      <w:pStyle w:val="Style2"/>
      <w:widowControl/>
      <w:ind w:left="4181" w:right="-1104"/>
      <w:jc w:val="both"/>
      <w:rPr>
        <w:rStyle w:val="FontStyle54"/>
      </w:rPr>
    </w:pPr>
    <w:r>
      <w:rPr>
        <w:rStyle w:val="FontStyle54"/>
      </w:rPr>
      <w:t xml:space="preserve">Stránka </w:t>
    </w:r>
    <w:r>
      <w:rPr>
        <w:rStyle w:val="FontStyle54"/>
      </w:rPr>
      <w:fldChar w:fldCharType="begin"/>
    </w:r>
    <w:r>
      <w:rPr>
        <w:rStyle w:val="FontStyle54"/>
      </w:rPr>
      <w:instrText>PAGE</w:instrText>
    </w:r>
    <w:r>
      <w:rPr>
        <w:rStyle w:val="FontStyle54"/>
      </w:rPr>
      <w:fldChar w:fldCharType="separate"/>
    </w:r>
    <w:r>
      <w:rPr>
        <w:rStyle w:val="FontStyle54"/>
      </w:rPr>
      <w:t>2</w:t>
    </w:r>
    <w:r>
      <w:rPr>
        <w:rStyle w:val="FontStyle54"/>
      </w:rPr>
      <w:fldChar w:fldCharType="end"/>
    </w:r>
    <w:r>
      <w:rPr>
        <w:rStyle w:val="FontStyle54"/>
      </w:rPr>
      <w:t xml:space="preserve"> z 2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C03" w:rsidRDefault="00111C03">
    <w:pPr>
      <w:pStyle w:val="Style2"/>
      <w:widowControl/>
      <w:ind w:left="4113" w:right="-317"/>
      <w:jc w:val="both"/>
      <w:rPr>
        <w:rStyle w:val="FontStyle54"/>
      </w:rPr>
    </w:pPr>
    <w:r>
      <w:rPr>
        <w:rStyle w:val="FontStyle54"/>
      </w:rPr>
      <w:t xml:space="preserve">Stránka </w:t>
    </w:r>
    <w:r>
      <w:rPr>
        <w:rStyle w:val="FontStyle54"/>
      </w:rPr>
      <w:fldChar w:fldCharType="begin"/>
    </w:r>
    <w:r>
      <w:rPr>
        <w:rStyle w:val="FontStyle54"/>
      </w:rPr>
      <w:instrText>PAGE</w:instrText>
    </w:r>
    <w:r>
      <w:rPr>
        <w:rStyle w:val="FontStyle54"/>
      </w:rPr>
      <w:fldChar w:fldCharType="separate"/>
    </w:r>
    <w:r>
      <w:rPr>
        <w:rStyle w:val="FontStyle54"/>
      </w:rPr>
      <w:t>2</w:t>
    </w:r>
    <w:r>
      <w:rPr>
        <w:rStyle w:val="FontStyle54"/>
      </w:rPr>
      <w:fldChar w:fldCharType="end"/>
    </w:r>
    <w:r>
      <w:rPr>
        <w:rStyle w:val="FontStyle54"/>
      </w:rPr>
      <w:t xml:space="preserve"> z 2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C03" w:rsidRDefault="00111C03">
    <w:pPr>
      <w:widowControl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C03" w:rsidRDefault="00111C03">
    <w:pPr>
      <w:widowControl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C03" w:rsidRDefault="00111C03">
    <w:pPr>
      <w:widowControl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C03" w:rsidRDefault="00111C03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C03" w:rsidRDefault="00111C03">
      <w:r>
        <w:separator/>
      </w:r>
    </w:p>
  </w:footnote>
  <w:footnote w:type="continuationSeparator" w:id="0">
    <w:p w:rsidR="00111C03" w:rsidRDefault="00111C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1185D"/>
    <w:multiLevelType w:val="singleLevel"/>
    <w:tmpl w:val="A510FFA0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C29"/>
    <w:rsid w:val="00111C03"/>
    <w:rsid w:val="0013235D"/>
    <w:rsid w:val="005C607A"/>
    <w:rsid w:val="00C12702"/>
    <w:rsid w:val="00F62C29"/>
    <w:rsid w:val="00F7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254" w:lineRule="exact"/>
      <w:jc w:val="center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  <w:pPr>
      <w:spacing w:line="250" w:lineRule="exact"/>
      <w:ind w:hanging="422"/>
      <w:jc w:val="both"/>
    </w:pPr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245" w:lineRule="exact"/>
    </w:pPr>
  </w:style>
  <w:style w:type="paragraph" w:customStyle="1" w:styleId="Style6">
    <w:name w:val="Style6"/>
    <w:basedOn w:val="Normal"/>
    <w:uiPriority w:val="99"/>
    <w:pPr>
      <w:spacing w:line="374" w:lineRule="exact"/>
    </w:pPr>
  </w:style>
  <w:style w:type="paragraph" w:customStyle="1" w:styleId="Style7">
    <w:name w:val="Style7"/>
    <w:basedOn w:val="Normal"/>
    <w:uiPriority w:val="99"/>
    <w:pPr>
      <w:spacing w:line="250" w:lineRule="exact"/>
      <w:ind w:hanging="149"/>
    </w:pPr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  <w:pPr>
      <w:spacing w:line="250" w:lineRule="exact"/>
      <w:jc w:val="both"/>
    </w:pPr>
  </w:style>
  <w:style w:type="paragraph" w:customStyle="1" w:styleId="Style10">
    <w:name w:val="Style10"/>
    <w:basedOn w:val="Normal"/>
    <w:uiPriority w:val="99"/>
    <w:pPr>
      <w:spacing w:line="370" w:lineRule="exact"/>
    </w:pPr>
  </w:style>
  <w:style w:type="paragraph" w:customStyle="1" w:styleId="Style11">
    <w:name w:val="Style11"/>
    <w:basedOn w:val="Normal"/>
    <w:uiPriority w:val="99"/>
  </w:style>
  <w:style w:type="paragraph" w:customStyle="1" w:styleId="Style12">
    <w:name w:val="Style12"/>
    <w:basedOn w:val="Normal"/>
    <w:uiPriority w:val="99"/>
  </w:style>
  <w:style w:type="paragraph" w:customStyle="1" w:styleId="Style13">
    <w:name w:val="Style13"/>
    <w:basedOn w:val="Normal"/>
    <w:uiPriority w:val="99"/>
  </w:style>
  <w:style w:type="paragraph" w:customStyle="1" w:styleId="Style14">
    <w:name w:val="Style14"/>
    <w:basedOn w:val="Normal"/>
    <w:uiPriority w:val="99"/>
    <w:pPr>
      <w:spacing w:line="240" w:lineRule="exact"/>
      <w:jc w:val="both"/>
    </w:pPr>
  </w:style>
  <w:style w:type="paragraph" w:customStyle="1" w:styleId="Style15">
    <w:name w:val="Style15"/>
    <w:basedOn w:val="Normal"/>
    <w:uiPriority w:val="99"/>
    <w:pPr>
      <w:spacing w:line="509" w:lineRule="exact"/>
      <w:ind w:hanging="398"/>
    </w:pPr>
  </w:style>
  <w:style w:type="paragraph" w:customStyle="1" w:styleId="Style16">
    <w:name w:val="Style16"/>
    <w:basedOn w:val="Normal"/>
    <w:uiPriority w:val="99"/>
    <w:pPr>
      <w:spacing w:line="254" w:lineRule="exact"/>
      <w:jc w:val="both"/>
    </w:pPr>
  </w:style>
  <w:style w:type="paragraph" w:customStyle="1" w:styleId="Style17">
    <w:name w:val="Style17"/>
    <w:basedOn w:val="Normal"/>
    <w:uiPriority w:val="99"/>
    <w:pPr>
      <w:spacing w:line="250" w:lineRule="exact"/>
      <w:jc w:val="both"/>
    </w:pPr>
  </w:style>
  <w:style w:type="paragraph" w:customStyle="1" w:styleId="Style18">
    <w:name w:val="Style18"/>
    <w:basedOn w:val="Normal"/>
    <w:uiPriority w:val="99"/>
  </w:style>
  <w:style w:type="paragraph" w:customStyle="1" w:styleId="Style19">
    <w:name w:val="Style19"/>
    <w:basedOn w:val="Normal"/>
    <w:uiPriority w:val="99"/>
  </w:style>
  <w:style w:type="paragraph" w:customStyle="1" w:styleId="Style20">
    <w:name w:val="Style20"/>
    <w:basedOn w:val="Normal"/>
    <w:uiPriority w:val="99"/>
    <w:pPr>
      <w:spacing w:line="250" w:lineRule="exact"/>
      <w:jc w:val="both"/>
    </w:pPr>
  </w:style>
  <w:style w:type="paragraph" w:customStyle="1" w:styleId="Style21">
    <w:name w:val="Style21"/>
    <w:basedOn w:val="Normal"/>
    <w:uiPriority w:val="99"/>
    <w:pPr>
      <w:spacing w:line="182" w:lineRule="exact"/>
    </w:pPr>
  </w:style>
  <w:style w:type="paragraph" w:customStyle="1" w:styleId="Style22">
    <w:name w:val="Style22"/>
    <w:basedOn w:val="Normal"/>
    <w:uiPriority w:val="99"/>
  </w:style>
  <w:style w:type="paragraph" w:customStyle="1" w:styleId="Style23">
    <w:name w:val="Style23"/>
    <w:basedOn w:val="Normal"/>
    <w:uiPriority w:val="99"/>
    <w:pPr>
      <w:spacing w:line="197" w:lineRule="exact"/>
      <w:jc w:val="center"/>
    </w:pPr>
  </w:style>
  <w:style w:type="paragraph" w:customStyle="1" w:styleId="Style24">
    <w:name w:val="Style24"/>
    <w:basedOn w:val="Normal"/>
    <w:uiPriority w:val="99"/>
  </w:style>
  <w:style w:type="paragraph" w:customStyle="1" w:styleId="Style25">
    <w:name w:val="Style25"/>
    <w:basedOn w:val="Normal"/>
    <w:uiPriority w:val="99"/>
  </w:style>
  <w:style w:type="paragraph" w:customStyle="1" w:styleId="Style26">
    <w:name w:val="Style26"/>
    <w:basedOn w:val="Normal"/>
    <w:uiPriority w:val="99"/>
  </w:style>
  <w:style w:type="paragraph" w:customStyle="1" w:styleId="Style27">
    <w:name w:val="Style27"/>
    <w:basedOn w:val="Normal"/>
    <w:uiPriority w:val="99"/>
  </w:style>
  <w:style w:type="paragraph" w:customStyle="1" w:styleId="Style28">
    <w:name w:val="Style28"/>
    <w:basedOn w:val="Normal"/>
    <w:uiPriority w:val="99"/>
    <w:pPr>
      <w:spacing w:line="187" w:lineRule="exact"/>
      <w:ind w:firstLine="278"/>
    </w:pPr>
  </w:style>
  <w:style w:type="paragraph" w:customStyle="1" w:styleId="Style29">
    <w:name w:val="Style29"/>
    <w:basedOn w:val="Normal"/>
    <w:uiPriority w:val="99"/>
  </w:style>
  <w:style w:type="paragraph" w:customStyle="1" w:styleId="Style30">
    <w:name w:val="Style30"/>
    <w:basedOn w:val="Normal"/>
    <w:uiPriority w:val="99"/>
  </w:style>
  <w:style w:type="paragraph" w:customStyle="1" w:styleId="Style31">
    <w:name w:val="Style31"/>
    <w:basedOn w:val="Normal"/>
    <w:uiPriority w:val="99"/>
  </w:style>
  <w:style w:type="paragraph" w:customStyle="1" w:styleId="Style32">
    <w:name w:val="Style32"/>
    <w:basedOn w:val="Normal"/>
    <w:uiPriority w:val="99"/>
    <w:pPr>
      <w:spacing w:line="202" w:lineRule="exact"/>
      <w:ind w:hanging="350"/>
    </w:pPr>
  </w:style>
  <w:style w:type="paragraph" w:customStyle="1" w:styleId="Style33">
    <w:name w:val="Style33"/>
    <w:basedOn w:val="Normal"/>
    <w:uiPriority w:val="99"/>
  </w:style>
  <w:style w:type="paragraph" w:customStyle="1" w:styleId="Style34">
    <w:name w:val="Style34"/>
    <w:basedOn w:val="Normal"/>
    <w:uiPriority w:val="99"/>
    <w:pPr>
      <w:spacing w:line="595" w:lineRule="exact"/>
    </w:pPr>
  </w:style>
  <w:style w:type="paragraph" w:customStyle="1" w:styleId="Style35">
    <w:name w:val="Style35"/>
    <w:basedOn w:val="Normal"/>
    <w:uiPriority w:val="99"/>
    <w:pPr>
      <w:spacing w:line="298" w:lineRule="exact"/>
      <w:jc w:val="center"/>
    </w:pPr>
  </w:style>
  <w:style w:type="paragraph" w:customStyle="1" w:styleId="Style36">
    <w:name w:val="Style36"/>
    <w:basedOn w:val="Normal"/>
    <w:uiPriority w:val="99"/>
  </w:style>
  <w:style w:type="paragraph" w:customStyle="1" w:styleId="Style37">
    <w:name w:val="Style37"/>
    <w:basedOn w:val="Normal"/>
    <w:uiPriority w:val="99"/>
  </w:style>
  <w:style w:type="paragraph" w:customStyle="1" w:styleId="Style38">
    <w:name w:val="Style38"/>
    <w:basedOn w:val="Normal"/>
    <w:uiPriority w:val="99"/>
    <w:pPr>
      <w:spacing w:line="245" w:lineRule="exact"/>
    </w:pPr>
  </w:style>
  <w:style w:type="paragraph" w:customStyle="1" w:styleId="Style39">
    <w:name w:val="Style39"/>
    <w:basedOn w:val="Normal"/>
    <w:uiPriority w:val="99"/>
  </w:style>
  <w:style w:type="paragraph" w:customStyle="1" w:styleId="Style40">
    <w:name w:val="Style40"/>
    <w:basedOn w:val="Normal"/>
    <w:uiPriority w:val="99"/>
    <w:pPr>
      <w:spacing w:line="192" w:lineRule="exact"/>
      <w:ind w:firstLine="422"/>
      <w:jc w:val="both"/>
    </w:pPr>
  </w:style>
  <w:style w:type="paragraph" w:customStyle="1" w:styleId="Style41">
    <w:name w:val="Style41"/>
    <w:basedOn w:val="Normal"/>
    <w:uiPriority w:val="99"/>
  </w:style>
  <w:style w:type="paragraph" w:customStyle="1" w:styleId="Style42">
    <w:name w:val="Style42"/>
    <w:basedOn w:val="Normal"/>
    <w:uiPriority w:val="99"/>
  </w:style>
  <w:style w:type="paragraph" w:customStyle="1" w:styleId="Style43">
    <w:name w:val="Style43"/>
    <w:basedOn w:val="Normal"/>
    <w:uiPriority w:val="99"/>
  </w:style>
  <w:style w:type="paragraph" w:customStyle="1" w:styleId="Style44">
    <w:name w:val="Style44"/>
    <w:basedOn w:val="Normal"/>
    <w:uiPriority w:val="99"/>
    <w:pPr>
      <w:spacing w:line="245" w:lineRule="exact"/>
      <w:jc w:val="right"/>
    </w:pPr>
  </w:style>
  <w:style w:type="character" w:customStyle="1" w:styleId="FontStyle46">
    <w:name w:val="Font Style46"/>
    <w:basedOn w:val="DefaultParagraphFont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basedOn w:val="DefaultParagraphFont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DefaultParagraphFont"/>
    <w:uiPriority w:val="99"/>
    <w:rPr>
      <w:rFonts w:ascii="Times New Roman" w:hAnsi="Times New Roman" w:cs="Times New Roman"/>
      <w:spacing w:val="-10"/>
      <w:sz w:val="34"/>
      <w:szCs w:val="34"/>
    </w:rPr>
  </w:style>
  <w:style w:type="character" w:customStyle="1" w:styleId="FontStyle49">
    <w:name w:val="Font Style49"/>
    <w:basedOn w:val="DefaultParagraphFont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0">
    <w:name w:val="Font Style50"/>
    <w:basedOn w:val="DefaultParagraphFont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1">
    <w:name w:val="Font Style51"/>
    <w:basedOn w:val="DefaultParagraphFont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2">
    <w:name w:val="Font Style52"/>
    <w:basedOn w:val="DefaultParagraphFont"/>
    <w:uiPriority w:val="99"/>
    <w:rPr>
      <w:rFonts w:ascii="Arial" w:hAnsi="Arial" w:cs="Arial"/>
      <w:spacing w:val="-10"/>
      <w:sz w:val="22"/>
      <w:szCs w:val="22"/>
    </w:rPr>
  </w:style>
  <w:style w:type="character" w:customStyle="1" w:styleId="FontStyle53">
    <w:name w:val="Font Style53"/>
    <w:basedOn w:val="DefaultParagraphFont"/>
    <w:uiPriority w:val="99"/>
    <w:rPr>
      <w:rFonts w:ascii="Times New Roman" w:hAnsi="Times New Roman" w:cs="Times New Roman"/>
      <w:i/>
      <w:iCs/>
      <w:smallCaps/>
      <w:spacing w:val="-10"/>
      <w:sz w:val="16"/>
      <w:szCs w:val="16"/>
    </w:rPr>
  </w:style>
  <w:style w:type="character" w:customStyle="1" w:styleId="FontStyle54">
    <w:name w:val="Font Style54"/>
    <w:basedOn w:val="DefaultParagraphFont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5">
    <w:name w:val="Font Style55"/>
    <w:basedOn w:val="DefaultParagraphFont"/>
    <w:uiPriority w:val="99"/>
    <w:rPr>
      <w:rFonts w:ascii="Arial" w:hAnsi="Arial" w:cs="Arial"/>
      <w:sz w:val="16"/>
      <w:szCs w:val="16"/>
    </w:rPr>
  </w:style>
  <w:style w:type="character" w:customStyle="1" w:styleId="FontStyle56">
    <w:name w:val="Font Style56"/>
    <w:basedOn w:val="DefaultParagraphFont"/>
    <w:uiPriority w:val="99"/>
    <w:rPr>
      <w:rFonts w:ascii="Calibri" w:hAnsi="Calibri" w:cs="Calibri"/>
      <w:sz w:val="18"/>
      <w:szCs w:val="18"/>
    </w:rPr>
  </w:style>
  <w:style w:type="character" w:customStyle="1" w:styleId="FontStyle57">
    <w:name w:val="Font Style57"/>
    <w:basedOn w:val="DefaultParagraphFont"/>
    <w:uiPriority w:val="99"/>
    <w:rPr>
      <w:rFonts w:ascii="Arial" w:hAnsi="Arial" w:cs="Arial"/>
      <w:b/>
      <w:bCs/>
      <w:sz w:val="42"/>
      <w:szCs w:val="42"/>
    </w:rPr>
  </w:style>
  <w:style w:type="character" w:customStyle="1" w:styleId="FontStyle58">
    <w:name w:val="Font Style58"/>
    <w:basedOn w:val="DefaultParagraphFont"/>
    <w:uiPriority w:val="99"/>
    <w:rPr>
      <w:rFonts w:ascii="Calibri" w:hAnsi="Calibri" w:cs="Calibri"/>
      <w:b/>
      <w:bCs/>
      <w:sz w:val="26"/>
      <w:szCs w:val="26"/>
    </w:rPr>
  </w:style>
  <w:style w:type="character" w:customStyle="1" w:styleId="FontStyle59">
    <w:name w:val="Font Style59"/>
    <w:basedOn w:val="DefaultParagraphFont"/>
    <w:uiPriority w:val="99"/>
    <w:rPr>
      <w:rFonts w:ascii="Calibri" w:hAnsi="Calibri" w:cs="Calibri"/>
      <w:b/>
      <w:bCs/>
      <w:i/>
      <w:iCs/>
      <w:spacing w:val="-10"/>
      <w:sz w:val="30"/>
      <w:szCs w:val="30"/>
    </w:rPr>
  </w:style>
  <w:style w:type="character" w:customStyle="1" w:styleId="FontStyle60">
    <w:name w:val="Font Style60"/>
    <w:basedOn w:val="DefaultParagraphFont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61">
    <w:name w:val="Font Style61"/>
    <w:basedOn w:val="DefaultParagraphFont"/>
    <w:uiPriority w:val="99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62">
    <w:name w:val="Font Style62"/>
    <w:basedOn w:val="DefaultParagraphFont"/>
    <w:uiPriority w:val="99"/>
    <w:rPr>
      <w:rFonts w:ascii="Calibri" w:hAnsi="Calibri" w:cs="Calibri"/>
      <w:b/>
      <w:bCs/>
      <w:i/>
      <w:iCs/>
      <w:sz w:val="18"/>
      <w:szCs w:val="18"/>
    </w:rPr>
  </w:style>
  <w:style w:type="character" w:customStyle="1" w:styleId="FontStyle63">
    <w:name w:val="Font Style63"/>
    <w:basedOn w:val="DefaultParagraphFont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4">
    <w:name w:val="Font Style64"/>
    <w:basedOn w:val="DefaultParagraphFont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5">
    <w:name w:val="Font Style65"/>
    <w:basedOn w:val="DefaultParagraphFont"/>
    <w:uiPriority w:val="99"/>
    <w:rPr>
      <w:rFonts w:ascii="Calibri" w:hAnsi="Calibri" w:cs="Calibri"/>
      <w:i/>
      <w:iCs/>
      <w:spacing w:val="-10"/>
      <w:sz w:val="22"/>
      <w:szCs w:val="22"/>
    </w:rPr>
  </w:style>
  <w:style w:type="character" w:customStyle="1" w:styleId="FontStyle66">
    <w:name w:val="Font Style66"/>
    <w:basedOn w:val="DefaultParagraphFont"/>
    <w:uiPriority w:val="99"/>
    <w:rPr>
      <w:rFonts w:ascii="Calibri" w:hAnsi="Calibri" w:cs="Calibri"/>
      <w:b/>
      <w:bCs/>
      <w:i/>
      <w:iCs/>
      <w:w w:val="75"/>
      <w:sz w:val="22"/>
      <w:szCs w:val="22"/>
    </w:rPr>
  </w:style>
  <w:style w:type="character" w:customStyle="1" w:styleId="FontStyle67">
    <w:name w:val="Font Style67"/>
    <w:basedOn w:val="DefaultParagraphFont"/>
    <w:uiPriority w:val="99"/>
    <w:rPr>
      <w:rFonts w:ascii="Calibri" w:hAnsi="Calibri" w:cs="Calibri"/>
      <w:b/>
      <w:bCs/>
      <w:spacing w:val="-10"/>
      <w:sz w:val="22"/>
      <w:szCs w:val="22"/>
    </w:rPr>
  </w:style>
  <w:style w:type="character" w:customStyle="1" w:styleId="FontStyle68">
    <w:name w:val="Font Style68"/>
    <w:basedOn w:val="DefaultParagraphFont"/>
    <w:uiPriority w:val="99"/>
    <w:rPr>
      <w:rFonts w:ascii="Calibri" w:hAnsi="Calibri" w:cs="Calibri"/>
      <w:b/>
      <w:bCs/>
      <w:smallCaps/>
      <w:sz w:val="18"/>
      <w:szCs w:val="18"/>
    </w:rPr>
  </w:style>
  <w:style w:type="character" w:customStyle="1" w:styleId="FontStyle69">
    <w:name w:val="Font Style69"/>
    <w:basedOn w:val="DefaultParagraphFont"/>
    <w:uiPriority w:val="99"/>
    <w:rPr>
      <w:rFonts w:ascii="Candara" w:hAnsi="Candara" w:cs="Candara"/>
      <w:b/>
      <w:bCs/>
      <w:sz w:val="18"/>
      <w:szCs w:val="18"/>
    </w:rPr>
  </w:style>
  <w:style w:type="character" w:customStyle="1" w:styleId="FontStyle70">
    <w:name w:val="Font Style70"/>
    <w:basedOn w:val="DefaultParagraphFont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71">
    <w:name w:val="Font Style71"/>
    <w:basedOn w:val="DefaultParagraphFont"/>
    <w:uiPriority w:val="99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72">
    <w:name w:val="Font Style72"/>
    <w:basedOn w:val="DefaultParagraphFont"/>
    <w:uiPriority w:val="99"/>
    <w:rPr>
      <w:rFonts w:ascii="Calibri" w:hAnsi="Calibri" w:cs="Calibri"/>
      <w:sz w:val="22"/>
      <w:szCs w:val="22"/>
    </w:rPr>
  </w:style>
  <w:style w:type="character" w:customStyle="1" w:styleId="FontStyle73">
    <w:name w:val="Font Style73"/>
    <w:basedOn w:val="DefaultParagraphFont"/>
    <w:uiPriority w:val="99"/>
    <w:rPr>
      <w:rFonts w:ascii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vezdarna@hvr.cz" TargetMode="External"/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0.xml"/><Relationship Id="rId7" Type="http://schemas.openxmlformats.org/officeDocument/2006/relationships/hyperlink" Target="http://hvezdarnaahvr.cz" TargetMode="Externa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ryta.cz" TargetMode="External"/><Relationship Id="rId24" Type="http://schemas.openxmlformats.org/officeDocument/2006/relationships/footer" Target="footer1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12.xml"/><Relationship Id="rId10" Type="http://schemas.openxmlformats.org/officeDocument/2006/relationships/hyperlink" Target="mailto:bartos@ryta.cz" TargetMode="External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hyperlink" Target="mailto:rytir@ryta.cz" TargetMode="External"/><Relationship Id="rId14" Type="http://schemas.openxmlformats.org/officeDocument/2006/relationships/footer" Target="footer3.xml"/><Relationship Id="rId22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738</Words>
  <Characters>4361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SKM_C25820060811291</dc:title>
  <dc:subject/>
  <dc:creator>Hvězdárna</dc:creator>
  <cp:keywords/>
  <dc:description/>
  <cp:lastModifiedBy>Hvězdárna</cp:lastModifiedBy>
  <cp:revision>2</cp:revision>
  <dcterms:created xsi:type="dcterms:W3CDTF">2020-06-09T08:54:00Z</dcterms:created>
  <dcterms:modified xsi:type="dcterms:W3CDTF">2020-06-09T08:54:00Z</dcterms:modified>
</cp:coreProperties>
</file>