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4230/SFDI/340153/7908/2020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128/2020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YETI, RZ: 4AE 6375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YETI, RZ: 4AE 6375.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496,92 Kč bez DPH/hod. (110 časových jednotek = 546,62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diesel: 1.000,-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950,-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3.500,-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konec července – do </w:t>
      </w:r>
      <w:proofErr w:type="gramStart"/>
      <w:r>
        <w:rPr>
          <w:rFonts w:ascii="Arial" w:hAnsi="Arial" w:cs="Arial"/>
          <w:sz w:val="22"/>
          <w:szCs w:val="22"/>
        </w:rPr>
        <w:t>8.8.2020</w:t>
      </w:r>
      <w:proofErr w:type="gramEnd"/>
      <w:r>
        <w:rPr>
          <w:rFonts w:ascii="Arial" w:hAnsi="Arial" w:cs="Arial"/>
          <w:sz w:val="22"/>
          <w:szCs w:val="22"/>
        </w:rPr>
        <w:t xml:space="preserve"> nejpozději (po telefonické domluvě s panem Volným, M: 770 184 520.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128/2020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1745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2020-06-04T08:48:00Z</dcterms:created>
  <dcterms:modified xsi:type="dcterms:W3CDTF">2020-06-04T08:49:00Z</dcterms:modified>
</cp:coreProperties>
</file>