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1D" w:rsidRPr="005071BB" w:rsidRDefault="00085D1D" w:rsidP="00085D1D">
      <w:pPr>
        <w:pStyle w:val="BodyText31"/>
        <w:spacing w:before="0" w:after="0"/>
        <w:jc w:val="center"/>
        <w:rPr>
          <w:rFonts w:asciiTheme="majorHAnsi" w:hAnsiTheme="majorHAnsi" w:cs="Calibri"/>
          <w:sz w:val="28"/>
          <w:szCs w:val="28"/>
        </w:rPr>
      </w:pPr>
      <w:r w:rsidRPr="005071BB">
        <w:rPr>
          <w:rFonts w:asciiTheme="majorHAnsi" w:hAnsiTheme="majorHAnsi" w:cs="Calibri"/>
          <w:sz w:val="28"/>
          <w:szCs w:val="28"/>
        </w:rPr>
        <w:t xml:space="preserve">Smlouva o kontrolní činnosti </w:t>
      </w:r>
    </w:p>
    <w:p w:rsidR="00085D1D" w:rsidRPr="005071BB" w:rsidRDefault="00085D1D" w:rsidP="00085D1D">
      <w:pPr>
        <w:pStyle w:val="BodyText31"/>
        <w:spacing w:before="0" w:after="0"/>
        <w:rPr>
          <w:rFonts w:asciiTheme="majorHAnsi" w:hAnsiTheme="majorHAnsi"/>
        </w:rPr>
      </w:pPr>
      <w:r w:rsidRPr="005071BB">
        <w:rPr>
          <w:rFonts w:asciiTheme="majorHAnsi" w:hAnsiTheme="majorHAnsi"/>
        </w:rPr>
        <w:t xml:space="preserve">  </w:t>
      </w:r>
    </w:p>
    <w:p w:rsidR="00085D1D" w:rsidRPr="005071BB" w:rsidRDefault="00085D1D" w:rsidP="00085D1D">
      <w:pPr>
        <w:pStyle w:val="BodyText23"/>
        <w:spacing w:before="0" w:after="120" w:line="288" w:lineRule="auto"/>
        <w:rPr>
          <w:rFonts w:asciiTheme="majorHAnsi" w:hAnsiTheme="majorHAnsi" w:cs="Calibri"/>
          <w:sz w:val="24"/>
          <w:szCs w:val="24"/>
        </w:rPr>
      </w:pPr>
      <w:r w:rsidRPr="005071BB">
        <w:rPr>
          <w:rFonts w:asciiTheme="majorHAnsi" w:hAnsiTheme="majorHAnsi" w:cs="Calibri"/>
          <w:sz w:val="24"/>
          <w:szCs w:val="24"/>
        </w:rPr>
        <w:t xml:space="preserve">Smluvní strany: </w:t>
      </w: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r w:rsidRPr="00785EAB">
        <w:rPr>
          <w:rFonts w:asciiTheme="majorHAnsi" w:hAnsiTheme="majorHAnsi" w:cs="Calibri"/>
          <w:b/>
          <w:sz w:val="24"/>
        </w:rPr>
        <w:t>Objednatel</w:t>
      </w:r>
      <w:r w:rsidRPr="00785EAB">
        <w:rPr>
          <w:rFonts w:asciiTheme="majorHAnsi" w:hAnsiTheme="majorHAnsi" w:cs="Calibri"/>
          <w:b/>
          <w:sz w:val="24"/>
        </w:rPr>
        <w:tab/>
      </w:r>
      <w:r w:rsidRPr="00785EAB">
        <w:rPr>
          <w:rFonts w:asciiTheme="majorHAnsi" w:hAnsiTheme="majorHAnsi" w:cs="Calibri"/>
          <w:b/>
          <w:sz w:val="24"/>
        </w:rPr>
        <w:tab/>
        <w:t xml:space="preserve">Technické služby města Nový Jičín, příspěvkové organizace </w:t>
      </w: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r w:rsidRPr="00785EAB">
        <w:rPr>
          <w:rFonts w:asciiTheme="majorHAnsi" w:hAnsiTheme="majorHAnsi" w:cs="Calibri"/>
          <w:sz w:val="24"/>
        </w:rPr>
        <w:t>Sídlo</w:t>
      </w:r>
      <w:r w:rsidRPr="00785EAB">
        <w:rPr>
          <w:rFonts w:asciiTheme="majorHAnsi" w:hAnsiTheme="majorHAnsi" w:cs="Calibri"/>
          <w:sz w:val="24"/>
        </w:rPr>
        <w:tab/>
      </w:r>
      <w:r w:rsidRPr="00785EAB">
        <w:rPr>
          <w:rFonts w:asciiTheme="majorHAnsi" w:hAnsiTheme="majorHAnsi" w:cs="Calibri"/>
          <w:sz w:val="24"/>
        </w:rPr>
        <w:tab/>
      </w:r>
      <w:r w:rsidRPr="00785EAB">
        <w:rPr>
          <w:rFonts w:asciiTheme="majorHAnsi" w:hAnsiTheme="majorHAnsi" w:cs="Calibri"/>
          <w:sz w:val="24"/>
        </w:rPr>
        <w:tab/>
        <w:t>Suvorovova 909/114, 741 01 Nový Jičín</w:t>
      </w: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r w:rsidRPr="00785EAB">
        <w:rPr>
          <w:rFonts w:asciiTheme="majorHAnsi" w:hAnsiTheme="majorHAnsi" w:cs="Calibri"/>
          <w:sz w:val="24"/>
        </w:rPr>
        <w:t>IČ</w:t>
      </w:r>
      <w:r w:rsidRPr="00785EAB">
        <w:rPr>
          <w:rFonts w:asciiTheme="majorHAnsi" w:hAnsiTheme="majorHAnsi" w:cs="Calibri"/>
          <w:sz w:val="24"/>
        </w:rPr>
        <w:tab/>
      </w:r>
      <w:r w:rsidRPr="00785EAB">
        <w:rPr>
          <w:rFonts w:asciiTheme="majorHAnsi" w:hAnsiTheme="majorHAnsi" w:cs="Calibri"/>
          <w:sz w:val="24"/>
        </w:rPr>
        <w:tab/>
      </w:r>
      <w:r w:rsidRPr="00785EAB">
        <w:rPr>
          <w:rFonts w:asciiTheme="majorHAnsi" w:hAnsiTheme="majorHAnsi" w:cs="Calibri"/>
          <w:sz w:val="24"/>
        </w:rPr>
        <w:tab/>
        <w:t>00417688</w:t>
      </w:r>
    </w:p>
    <w:p w:rsidR="00085D1D" w:rsidRPr="00785EAB" w:rsidRDefault="00085D1D" w:rsidP="00085D1D">
      <w:pPr>
        <w:pStyle w:val="Zpat"/>
        <w:tabs>
          <w:tab w:val="clear" w:pos="4536"/>
          <w:tab w:val="clear" w:pos="9072"/>
        </w:tabs>
        <w:spacing w:line="288" w:lineRule="auto"/>
        <w:rPr>
          <w:rFonts w:asciiTheme="majorHAnsi" w:hAnsiTheme="majorHAnsi" w:cs="Calibri"/>
          <w:sz w:val="24"/>
        </w:rPr>
      </w:pPr>
      <w:r w:rsidRPr="00785EAB">
        <w:rPr>
          <w:rFonts w:asciiTheme="majorHAnsi" w:hAnsiTheme="majorHAnsi" w:cs="Calibri"/>
          <w:sz w:val="24"/>
        </w:rPr>
        <w:t>DIČ</w:t>
      </w:r>
      <w:r w:rsidRPr="00785EAB">
        <w:rPr>
          <w:rFonts w:asciiTheme="majorHAnsi" w:hAnsiTheme="majorHAnsi" w:cs="Calibri"/>
          <w:sz w:val="24"/>
        </w:rPr>
        <w:tab/>
      </w:r>
      <w:r w:rsidRPr="00785EAB">
        <w:rPr>
          <w:rFonts w:asciiTheme="majorHAnsi" w:hAnsiTheme="majorHAnsi" w:cs="Calibri"/>
          <w:sz w:val="24"/>
        </w:rPr>
        <w:tab/>
      </w:r>
      <w:r w:rsidRPr="00785EAB">
        <w:rPr>
          <w:rFonts w:asciiTheme="majorHAnsi" w:hAnsiTheme="majorHAnsi" w:cs="Calibri"/>
          <w:sz w:val="24"/>
        </w:rPr>
        <w:tab/>
        <w:t>CZ00417688</w:t>
      </w:r>
    </w:p>
    <w:p w:rsidR="00085D1D" w:rsidRPr="00785EAB" w:rsidRDefault="00085D1D" w:rsidP="00085D1D">
      <w:pPr>
        <w:pStyle w:val="Prosttext"/>
        <w:spacing w:line="288" w:lineRule="auto"/>
        <w:jc w:val="both"/>
        <w:rPr>
          <w:rFonts w:asciiTheme="majorHAnsi" w:hAnsiTheme="majorHAnsi" w:cs="Calibri"/>
          <w:sz w:val="24"/>
          <w:szCs w:val="24"/>
          <w:highlight w:val="yellow"/>
        </w:rPr>
      </w:pPr>
      <w:r w:rsidRPr="00785EAB">
        <w:rPr>
          <w:rFonts w:asciiTheme="majorHAnsi" w:hAnsiTheme="majorHAnsi" w:cs="Calibri"/>
          <w:sz w:val="24"/>
          <w:szCs w:val="24"/>
        </w:rPr>
        <w:t xml:space="preserve">Bank. </w:t>
      </w:r>
      <w:proofErr w:type="gramStart"/>
      <w:r w:rsidRPr="00785EAB">
        <w:rPr>
          <w:rFonts w:asciiTheme="majorHAnsi" w:hAnsiTheme="majorHAnsi" w:cs="Calibri"/>
          <w:sz w:val="24"/>
          <w:szCs w:val="24"/>
        </w:rPr>
        <w:t>spojení</w:t>
      </w:r>
      <w:proofErr w:type="gramEnd"/>
      <w:r w:rsidRPr="00785EAB">
        <w:rPr>
          <w:rFonts w:asciiTheme="majorHAnsi" w:hAnsiTheme="majorHAnsi" w:cs="Calibri"/>
          <w:sz w:val="24"/>
          <w:szCs w:val="24"/>
        </w:rPr>
        <w:t xml:space="preserve">: </w:t>
      </w:r>
      <w:r w:rsidRPr="00785EAB">
        <w:rPr>
          <w:rFonts w:asciiTheme="majorHAnsi" w:hAnsiTheme="majorHAnsi" w:cs="Calibri"/>
          <w:sz w:val="24"/>
          <w:szCs w:val="24"/>
        </w:rPr>
        <w:tab/>
      </w:r>
      <w:r w:rsidRPr="00785EAB">
        <w:rPr>
          <w:rFonts w:asciiTheme="majorHAnsi" w:hAnsiTheme="majorHAnsi" w:cs="Calibri"/>
          <w:sz w:val="24"/>
          <w:szCs w:val="24"/>
        </w:rPr>
        <w:tab/>
        <w:t>16037801/0100, Komerční banka, a. s.</w:t>
      </w:r>
    </w:p>
    <w:p w:rsidR="00085D1D" w:rsidRPr="00785EAB" w:rsidRDefault="00085D1D" w:rsidP="00085D1D">
      <w:pPr>
        <w:pStyle w:val="Prosttext"/>
        <w:spacing w:line="288" w:lineRule="auto"/>
        <w:jc w:val="both"/>
        <w:rPr>
          <w:rFonts w:asciiTheme="majorHAnsi" w:hAnsiTheme="majorHAnsi" w:cs="Calibri"/>
          <w:sz w:val="24"/>
          <w:szCs w:val="24"/>
          <w:highlight w:val="yellow"/>
        </w:rPr>
      </w:pP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jehož jménem jedná</w:t>
      </w:r>
      <w:r w:rsidRPr="00085D1D">
        <w:rPr>
          <w:rFonts w:asciiTheme="majorHAnsi" w:hAnsiTheme="majorHAnsi" w:cs="Calibri"/>
          <w:sz w:val="24"/>
        </w:rPr>
        <w:tab/>
        <w:t>Ing. Václav Bukovský, ředitel</w:t>
      </w:r>
    </w:p>
    <w:p w:rsidR="00085D1D" w:rsidRPr="00085D1D" w:rsidRDefault="00085D1D" w:rsidP="00085D1D">
      <w:pPr>
        <w:pStyle w:val="Zpat"/>
        <w:tabs>
          <w:tab w:val="clear" w:pos="4536"/>
          <w:tab w:val="clear" w:pos="9072"/>
        </w:tabs>
        <w:spacing w:line="288" w:lineRule="auto"/>
        <w:rPr>
          <w:rFonts w:asciiTheme="majorHAnsi" w:hAnsiTheme="majorHAnsi" w:cs="Calibri"/>
          <w:sz w:val="24"/>
          <w:highlight w:val="yellow"/>
        </w:rPr>
      </w:pPr>
      <w:r w:rsidRPr="00085D1D">
        <w:rPr>
          <w:rFonts w:asciiTheme="majorHAnsi" w:hAnsiTheme="majorHAnsi" w:cs="Calibri"/>
          <w:sz w:val="24"/>
        </w:rPr>
        <w:t>Kontaktní osoba</w:t>
      </w:r>
      <w:r w:rsidRPr="00085D1D">
        <w:rPr>
          <w:rFonts w:asciiTheme="majorHAnsi" w:hAnsiTheme="majorHAnsi" w:cs="Calibri"/>
          <w:sz w:val="24"/>
        </w:rPr>
        <w:tab/>
        <w:t>Ing. Irena Bambuchová</w:t>
      </w: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Tel., email:</w:t>
      </w:r>
      <w:r w:rsidRPr="00085D1D">
        <w:rPr>
          <w:rFonts w:asciiTheme="majorHAnsi" w:hAnsiTheme="majorHAnsi" w:cs="Calibri"/>
          <w:sz w:val="24"/>
        </w:rPr>
        <w:tab/>
      </w:r>
      <w:r w:rsidRPr="00085D1D">
        <w:rPr>
          <w:rFonts w:asciiTheme="majorHAnsi" w:hAnsiTheme="majorHAnsi" w:cs="Calibri"/>
          <w:sz w:val="24"/>
        </w:rPr>
        <w:tab/>
        <w:t>+420 556 764 830, email: sekretariat@tsnj.cz</w:t>
      </w:r>
    </w:p>
    <w:p w:rsidR="00085D1D" w:rsidRPr="00785EAB" w:rsidRDefault="00085D1D" w:rsidP="00085D1D">
      <w:pPr>
        <w:pStyle w:val="Zpat"/>
        <w:tabs>
          <w:tab w:val="clear" w:pos="4536"/>
          <w:tab w:val="clear" w:pos="9072"/>
        </w:tabs>
        <w:spacing w:line="288" w:lineRule="auto"/>
        <w:rPr>
          <w:rFonts w:asciiTheme="majorHAnsi" w:hAnsiTheme="majorHAnsi" w:cs="Calibri"/>
          <w:sz w:val="24"/>
        </w:rPr>
      </w:pPr>
      <w:r w:rsidRPr="00785EAB">
        <w:rPr>
          <w:rFonts w:asciiTheme="majorHAnsi" w:hAnsiTheme="majorHAnsi" w:cs="Calibri"/>
          <w:sz w:val="24"/>
        </w:rPr>
        <w:t>dále jen „</w:t>
      </w:r>
      <w:r w:rsidRPr="00785EAB">
        <w:rPr>
          <w:rFonts w:asciiTheme="majorHAnsi" w:hAnsiTheme="majorHAnsi" w:cs="Calibri"/>
          <w:b/>
          <w:sz w:val="24"/>
        </w:rPr>
        <w:t>Objednatel</w:t>
      </w:r>
      <w:r w:rsidRPr="00785EAB">
        <w:rPr>
          <w:rFonts w:asciiTheme="majorHAnsi" w:hAnsiTheme="majorHAnsi" w:cs="Calibri"/>
          <w:sz w:val="24"/>
        </w:rPr>
        <w:t>“</w:t>
      </w: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r w:rsidRPr="00785EAB">
        <w:rPr>
          <w:rFonts w:asciiTheme="majorHAnsi" w:hAnsiTheme="majorHAnsi" w:cs="Calibri"/>
          <w:b/>
          <w:sz w:val="24"/>
        </w:rPr>
        <w:t>a</w:t>
      </w: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p>
    <w:p w:rsidR="00085D1D" w:rsidRPr="00785EAB" w:rsidRDefault="00085D1D" w:rsidP="00085D1D">
      <w:pPr>
        <w:pStyle w:val="Zpat"/>
        <w:tabs>
          <w:tab w:val="clear" w:pos="4536"/>
          <w:tab w:val="clear" w:pos="9072"/>
        </w:tabs>
        <w:spacing w:line="288" w:lineRule="auto"/>
        <w:rPr>
          <w:rFonts w:asciiTheme="majorHAnsi" w:hAnsiTheme="majorHAnsi" w:cs="Calibri"/>
          <w:b/>
          <w:sz w:val="24"/>
        </w:rPr>
      </w:pPr>
      <w:r>
        <w:rPr>
          <w:rFonts w:asciiTheme="majorHAnsi" w:hAnsiTheme="majorHAnsi" w:cs="Calibri"/>
          <w:b/>
          <w:sz w:val="24"/>
        </w:rPr>
        <w:t>Poskytovatel</w:t>
      </w:r>
      <w:r>
        <w:rPr>
          <w:rFonts w:asciiTheme="majorHAnsi" w:hAnsiTheme="majorHAnsi" w:cs="Calibri"/>
          <w:b/>
          <w:sz w:val="24"/>
        </w:rPr>
        <w:tab/>
      </w:r>
      <w:r w:rsidRPr="00785EAB">
        <w:rPr>
          <w:rFonts w:asciiTheme="majorHAnsi" w:hAnsiTheme="majorHAnsi" w:cs="Calibri"/>
          <w:b/>
          <w:bCs/>
          <w:snapToGrid w:val="0"/>
          <w:sz w:val="24"/>
        </w:rPr>
        <w:t xml:space="preserve">AQE </w:t>
      </w:r>
      <w:proofErr w:type="spellStart"/>
      <w:r w:rsidRPr="00785EAB">
        <w:rPr>
          <w:rFonts w:asciiTheme="majorHAnsi" w:hAnsiTheme="majorHAnsi" w:cs="Calibri"/>
          <w:b/>
          <w:bCs/>
          <w:snapToGrid w:val="0"/>
          <w:sz w:val="24"/>
        </w:rPr>
        <w:t>advisors</w:t>
      </w:r>
      <w:proofErr w:type="spellEnd"/>
      <w:r w:rsidRPr="00785EAB">
        <w:rPr>
          <w:rFonts w:asciiTheme="majorHAnsi" w:hAnsiTheme="majorHAnsi" w:cs="Calibri"/>
          <w:b/>
          <w:bCs/>
          <w:snapToGrid w:val="0"/>
          <w:sz w:val="24"/>
        </w:rPr>
        <w:t>, a.</w:t>
      </w:r>
      <w:r>
        <w:rPr>
          <w:rFonts w:asciiTheme="majorHAnsi" w:hAnsiTheme="majorHAnsi" w:cs="Calibri"/>
          <w:b/>
          <w:bCs/>
          <w:snapToGrid w:val="0"/>
          <w:sz w:val="24"/>
        </w:rPr>
        <w:t xml:space="preserve"> </w:t>
      </w:r>
      <w:r w:rsidRPr="00785EAB">
        <w:rPr>
          <w:rFonts w:asciiTheme="majorHAnsi" w:hAnsiTheme="majorHAnsi" w:cs="Calibri"/>
          <w:b/>
          <w:bCs/>
          <w:snapToGrid w:val="0"/>
          <w:sz w:val="24"/>
        </w:rPr>
        <w:t>s.</w:t>
      </w:r>
    </w:p>
    <w:p w:rsidR="00085D1D" w:rsidRPr="00085D1D" w:rsidRDefault="00085D1D" w:rsidP="00085D1D">
      <w:pPr>
        <w:pStyle w:val="Zpat"/>
        <w:tabs>
          <w:tab w:val="clear" w:pos="4536"/>
          <w:tab w:val="clear" w:pos="9072"/>
        </w:tabs>
        <w:spacing w:line="288" w:lineRule="auto"/>
        <w:rPr>
          <w:rFonts w:asciiTheme="majorHAnsi" w:hAnsiTheme="majorHAnsi" w:cs="Calibri"/>
          <w:bCs/>
          <w:snapToGrid w:val="0"/>
          <w:sz w:val="24"/>
        </w:rPr>
      </w:pPr>
      <w:r w:rsidRPr="00085D1D">
        <w:rPr>
          <w:rFonts w:asciiTheme="majorHAnsi" w:hAnsiTheme="majorHAnsi" w:cs="Calibri"/>
          <w:sz w:val="24"/>
        </w:rPr>
        <w:t>Sídlo</w:t>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bCs/>
          <w:snapToGrid w:val="0"/>
          <w:sz w:val="24"/>
        </w:rPr>
        <w:t>třída Kpt. Jaroše 1944/31, 602 00 Brno</w:t>
      </w: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IČ</w:t>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bCs/>
          <w:snapToGrid w:val="0"/>
          <w:sz w:val="24"/>
        </w:rPr>
        <w:t>269 54 770</w:t>
      </w:r>
    </w:p>
    <w:p w:rsidR="00085D1D" w:rsidRPr="00085D1D" w:rsidRDefault="00085D1D" w:rsidP="00085D1D">
      <w:pPr>
        <w:pStyle w:val="Zpat"/>
        <w:tabs>
          <w:tab w:val="clear" w:pos="4536"/>
          <w:tab w:val="clear" w:pos="9072"/>
        </w:tabs>
        <w:spacing w:line="288" w:lineRule="auto"/>
        <w:rPr>
          <w:rFonts w:asciiTheme="majorHAnsi" w:hAnsiTheme="majorHAnsi" w:cs="Calibri"/>
          <w:bCs/>
          <w:snapToGrid w:val="0"/>
          <w:sz w:val="24"/>
        </w:rPr>
      </w:pPr>
      <w:r w:rsidRPr="00085D1D">
        <w:rPr>
          <w:rFonts w:asciiTheme="majorHAnsi" w:hAnsiTheme="majorHAnsi" w:cs="Calibri"/>
          <w:sz w:val="24"/>
        </w:rPr>
        <w:t>DIČ</w:t>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bCs/>
          <w:snapToGrid w:val="0"/>
          <w:sz w:val="24"/>
        </w:rPr>
        <w:t>CZ269 54 770</w:t>
      </w:r>
    </w:p>
    <w:p w:rsidR="00085D1D" w:rsidRPr="00085D1D" w:rsidRDefault="00085D1D" w:rsidP="00085D1D">
      <w:pPr>
        <w:pStyle w:val="Zpat"/>
        <w:tabs>
          <w:tab w:val="clear" w:pos="4536"/>
          <w:tab w:val="clear" w:pos="9072"/>
        </w:tabs>
        <w:spacing w:line="288" w:lineRule="auto"/>
        <w:rPr>
          <w:rFonts w:asciiTheme="majorHAnsi" w:hAnsiTheme="majorHAnsi" w:cs="Calibri"/>
          <w:bCs/>
          <w:snapToGrid w:val="0"/>
          <w:sz w:val="24"/>
        </w:rPr>
      </w:pPr>
      <w:r w:rsidRPr="00085D1D">
        <w:rPr>
          <w:rFonts w:asciiTheme="majorHAnsi" w:hAnsiTheme="majorHAnsi" w:cs="Calibri"/>
          <w:sz w:val="24"/>
        </w:rPr>
        <w:t xml:space="preserve">Bank. </w:t>
      </w:r>
      <w:proofErr w:type="gramStart"/>
      <w:r w:rsidRPr="00085D1D">
        <w:rPr>
          <w:rFonts w:asciiTheme="majorHAnsi" w:hAnsiTheme="majorHAnsi" w:cs="Calibri"/>
          <w:sz w:val="24"/>
        </w:rPr>
        <w:t>spojení</w:t>
      </w:r>
      <w:proofErr w:type="gramEnd"/>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bCs/>
          <w:snapToGrid w:val="0"/>
          <w:sz w:val="24"/>
        </w:rPr>
        <w:t>KB a.s., č. účtu: 35-2267200297/0100</w:t>
      </w:r>
    </w:p>
    <w:p w:rsidR="00085D1D" w:rsidRPr="00785EAB" w:rsidRDefault="00085D1D" w:rsidP="00085D1D">
      <w:pPr>
        <w:pStyle w:val="Zpat"/>
        <w:tabs>
          <w:tab w:val="clear" w:pos="4536"/>
          <w:tab w:val="clear" w:pos="9072"/>
        </w:tabs>
        <w:spacing w:line="288" w:lineRule="auto"/>
        <w:rPr>
          <w:rFonts w:asciiTheme="majorHAnsi" w:hAnsiTheme="majorHAnsi" w:cs="Calibri"/>
          <w:sz w:val="24"/>
        </w:rPr>
      </w:pP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 xml:space="preserve">jehož jménem jedná </w:t>
      </w:r>
      <w:r w:rsidRPr="00085D1D">
        <w:rPr>
          <w:rFonts w:asciiTheme="majorHAnsi" w:hAnsiTheme="majorHAnsi" w:cs="Calibri"/>
          <w:sz w:val="24"/>
        </w:rPr>
        <w:tab/>
      </w:r>
      <w:r w:rsidRPr="00085D1D">
        <w:rPr>
          <w:rFonts w:asciiTheme="majorHAnsi" w:hAnsiTheme="majorHAnsi" w:cs="Calibri"/>
          <w:bCs/>
          <w:snapToGrid w:val="0"/>
          <w:sz w:val="24"/>
        </w:rPr>
        <w:t>Ing. Jan Obrovský – statutární ředitel</w:t>
      </w: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kontaktní osoba:</w:t>
      </w:r>
      <w:r w:rsidRPr="00085D1D">
        <w:rPr>
          <w:rFonts w:asciiTheme="majorHAnsi" w:hAnsiTheme="majorHAnsi" w:cs="Calibri"/>
          <w:sz w:val="24"/>
        </w:rPr>
        <w:tab/>
      </w:r>
      <w:r w:rsidRPr="00085D1D">
        <w:rPr>
          <w:rFonts w:asciiTheme="majorHAnsi" w:hAnsiTheme="majorHAnsi" w:cs="Calibri"/>
          <w:bCs/>
          <w:snapToGrid w:val="0"/>
          <w:sz w:val="24"/>
        </w:rPr>
        <w:t xml:space="preserve">Ing. David </w:t>
      </w:r>
      <w:proofErr w:type="spellStart"/>
      <w:r w:rsidRPr="00085D1D">
        <w:rPr>
          <w:rFonts w:asciiTheme="majorHAnsi" w:hAnsiTheme="majorHAnsi" w:cs="Calibri"/>
          <w:bCs/>
          <w:snapToGrid w:val="0"/>
          <w:sz w:val="24"/>
        </w:rPr>
        <w:t>Hebron</w:t>
      </w:r>
      <w:proofErr w:type="spellEnd"/>
      <w:r w:rsidRPr="00085D1D">
        <w:rPr>
          <w:rFonts w:asciiTheme="majorHAnsi" w:hAnsiTheme="majorHAnsi" w:cs="Calibri"/>
          <w:bCs/>
          <w:snapToGrid w:val="0"/>
          <w:sz w:val="24"/>
        </w:rPr>
        <w:t>, BA</w:t>
      </w:r>
    </w:p>
    <w:p w:rsidR="00085D1D" w:rsidRPr="00085D1D" w:rsidRDefault="00085D1D" w:rsidP="00085D1D">
      <w:pPr>
        <w:pStyle w:val="Zpat"/>
        <w:tabs>
          <w:tab w:val="clear" w:pos="4536"/>
          <w:tab w:val="clear" w:pos="9072"/>
        </w:tabs>
        <w:spacing w:line="288" w:lineRule="auto"/>
        <w:rPr>
          <w:rFonts w:asciiTheme="majorHAnsi" w:hAnsiTheme="majorHAnsi" w:cs="Calibri"/>
          <w:sz w:val="24"/>
        </w:rPr>
      </w:pPr>
      <w:r w:rsidRPr="00085D1D">
        <w:rPr>
          <w:rFonts w:asciiTheme="majorHAnsi" w:hAnsiTheme="majorHAnsi" w:cs="Calibri"/>
          <w:sz w:val="24"/>
        </w:rPr>
        <w:t>tel., email:</w:t>
      </w:r>
      <w:r w:rsidRPr="00085D1D">
        <w:rPr>
          <w:rFonts w:asciiTheme="majorHAnsi" w:hAnsiTheme="majorHAnsi" w:cs="Calibri"/>
          <w:sz w:val="24"/>
        </w:rPr>
        <w:tab/>
      </w:r>
      <w:r w:rsidRPr="00085D1D">
        <w:rPr>
          <w:rFonts w:asciiTheme="majorHAnsi" w:hAnsiTheme="majorHAnsi" w:cs="Calibri"/>
          <w:sz w:val="24"/>
        </w:rPr>
        <w:tab/>
      </w:r>
      <w:r w:rsidRPr="00085D1D">
        <w:rPr>
          <w:rFonts w:asciiTheme="majorHAnsi" w:hAnsiTheme="majorHAnsi" w:cs="Calibri"/>
          <w:bCs/>
          <w:snapToGrid w:val="0"/>
          <w:sz w:val="24"/>
        </w:rPr>
        <w:t>+420 734 575 228, hebron@AQE.cz</w:t>
      </w:r>
    </w:p>
    <w:p w:rsidR="00085D1D" w:rsidRPr="00085D1D" w:rsidRDefault="00085D1D" w:rsidP="00085D1D">
      <w:pPr>
        <w:rPr>
          <w:rFonts w:asciiTheme="majorHAnsi" w:hAnsiTheme="majorHAnsi" w:cs="Calibri"/>
          <w:sz w:val="24"/>
        </w:rPr>
      </w:pPr>
      <w:r w:rsidRPr="00085D1D">
        <w:rPr>
          <w:rFonts w:asciiTheme="majorHAnsi" w:hAnsiTheme="majorHAnsi" w:cs="Calibri"/>
          <w:sz w:val="24"/>
        </w:rPr>
        <w:t>Zapsán v obchodním rejstříku u Krajského soudu v </w:t>
      </w:r>
      <w:r w:rsidRPr="00085D1D">
        <w:rPr>
          <w:rFonts w:asciiTheme="majorHAnsi" w:hAnsiTheme="majorHAnsi" w:cs="Calibri"/>
          <w:bCs/>
          <w:snapToGrid w:val="0"/>
          <w:sz w:val="24"/>
        </w:rPr>
        <w:t>Brně</w:t>
      </w:r>
      <w:r w:rsidRPr="00085D1D">
        <w:rPr>
          <w:rFonts w:asciiTheme="majorHAnsi" w:hAnsiTheme="majorHAnsi" w:cs="Calibri"/>
          <w:sz w:val="24"/>
        </w:rPr>
        <w:t xml:space="preserve"> oddíl </w:t>
      </w:r>
      <w:r w:rsidRPr="00085D1D">
        <w:rPr>
          <w:rFonts w:asciiTheme="majorHAnsi" w:hAnsiTheme="majorHAnsi" w:cs="Calibri"/>
          <w:bCs/>
          <w:snapToGrid w:val="0"/>
          <w:sz w:val="24"/>
        </w:rPr>
        <w:t>B,</w:t>
      </w:r>
      <w:r w:rsidRPr="00085D1D">
        <w:rPr>
          <w:rFonts w:asciiTheme="majorHAnsi" w:hAnsiTheme="majorHAnsi" w:cs="Calibri"/>
          <w:sz w:val="24"/>
        </w:rPr>
        <w:t xml:space="preserve"> vložka </w:t>
      </w:r>
      <w:r w:rsidRPr="00085D1D">
        <w:rPr>
          <w:rFonts w:asciiTheme="majorHAnsi" w:hAnsiTheme="majorHAnsi" w:cs="Calibri"/>
          <w:bCs/>
          <w:snapToGrid w:val="0"/>
          <w:sz w:val="24"/>
        </w:rPr>
        <w:t>4997</w:t>
      </w:r>
    </w:p>
    <w:p w:rsidR="00085D1D" w:rsidRPr="00785EAB" w:rsidRDefault="00085D1D" w:rsidP="00085D1D">
      <w:pPr>
        <w:pStyle w:val="Zpat"/>
        <w:tabs>
          <w:tab w:val="clear" w:pos="4536"/>
          <w:tab w:val="clear" w:pos="9072"/>
        </w:tabs>
        <w:spacing w:line="288" w:lineRule="auto"/>
        <w:rPr>
          <w:rFonts w:asciiTheme="majorHAnsi" w:hAnsiTheme="majorHAnsi" w:cs="Calibri"/>
          <w:sz w:val="24"/>
        </w:rPr>
      </w:pPr>
      <w:r w:rsidRPr="00785EAB">
        <w:rPr>
          <w:rFonts w:asciiTheme="majorHAnsi" w:hAnsiTheme="majorHAnsi" w:cs="Calibri"/>
          <w:sz w:val="24"/>
        </w:rPr>
        <w:t>dále jen „</w:t>
      </w:r>
      <w:r w:rsidRPr="00785EAB">
        <w:rPr>
          <w:rFonts w:asciiTheme="majorHAnsi" w:hAnsiTheme="majorHAnsi" w:cs="Calibri"/>
          <w:b/>
          <w:sz w:val="24"/>
        </w:rPr>
        <w:t>Poskytovatel</w:t>
      </w:r>
      <w:r w:rsidRPr="00785EAB">
        <w:rPr>
          <w:rFonts w:asciiTheme="majorHAnsi" w:hAnsiTheme="majorHAnsi" w:cs="Calibri"/>
          <w:sz w:val="24"/>
        </w:rPr>
        <w:t>“</w:t>
      </w:r>
    </w:p>
    <w:p w:rsidR="00085D1D" w:rsidRPr="00785EAB" w:rsidRDefault="00085D1D" w:rsidP="00085D1D">
      <w:pPr>
        <w:spacing w:line="288" w:lineRule="auto"/>
        <w:rPr>
          <w:rFonts w:asciiTheme="majorHAnsi" w:hAnsiTheme="majorHAnsi" w:cs="Calibri"/>
          <w:sz w:val="24"/>
        </w:rPr>
      </w:pPr>
    </w:p>
    <w:p w:rsidR="00085D1D" w:rsidRPr="00785EAB" w:rsidRDefault="00085D1D" w:rsidP="00085D1D">
      <w:pPr>
        <w:spacing w:before="120" w:line="288" w:lineRule="auto"/>
        <w:rPr>
          <w:rFonts w:asciiTheme="majorHAnsi" w:hAnsiTheme="majorHAnsi" w:cs="Calibri"/>
          <w:bCs/>
          <w:snapToGrid w:val="0"/>
          <w:sz w:val="24"/>
        </w:rPr>
      </w:pPr>
      <w:r w:rsidRPr="00785EAB">
        <w:rPr>
          <w:rFonts w:asciiTheme="majorHAnsi" w:hAnsiTheme="majorHAnsi" w:cs="Calibri"/>
          <w:bCs/>
          <w:snapToGrid w:val="0"/>
          <w:sz w:val="24"/>
        </w:rPr>
        <w:t>uzavírají níže uvedeného dne, měsíce a roku podle § 2586 a násl. zákona č. 89/2012 Sb., občanský zákoník, v platném znění, tuto smlouvu:</w:t>
      </w:r>
    </w:p>
    <w:p w:rsidR="00085D1D" w:rsidRPr="00785EAB" w:rsidRDefault="00085D1D" w:rsidP="00085D1D">
      <w:pPr>
        <w:spacing w:after="120" w:line="288" w:lineRule="auto"/>
        <w:rPr>
          <w:rFonts w:asciiTheme="majorHAnsi" w:hAnsiTheme="majorHAnsi" w:cs="Calibri"/>
          <w:sz w:val="24"/>
        </w:rPr>
      </w:pPr>
    </w:p>
    <w:p w:rsidR="00085D1D" w:rsidRPr="00785EAB" w:rsidRDefault="00085D1D" w:rsidP="00085D1D">
      <w:pPr>
        <w:pStyle w:val="Titulek"/>
        <w:spacing w:line="288" w:lineRule="auto"/>
        <w:jc w:val="center"/>
        <w:rPr>
          <w:rFonts w:asciiTheme="majorHAnsi" w:hAnsiTheme="majorHAnsi" w:cs="Calibri"/>
          <w:sz w:val="24"/>
          <w:szCs w:val="24"/>
        </w:rPr>
      </w:pPr>
      <w:bookmarkStart w:id="0" w:name="_Toc433768390"/>
      <w:r w:rsidRPr="00785EAB">
        <w:rPr>
          <w:rFonts w:asciiTheme="majorHAnsi" w:hAnsiTheme="majorHAnsi" w:cs="Calibri"/>
          <w:sz w:val="24"/>
          <w:szCs w:val="24"/>
        </w:rPr>
        <w:t>Článek I.</w:t>
      </w:r>
      <w:bookmarkEnd w:id="0"/>
    </w:p>
    <w:p w:rsidR="00085D1D" w:rsidRPr="00785EAB" w:rsidRDefault="00085D1D" w:rsidP="00085D1D">
      <w:pPr>
        <w:pStyle w:val="Titulek"/>
        <w:spacing w:line="288" w:lineRule="auto"/>
        <w:jc w:val="center"/>
        <w:rPr>
          <w:rFonts w:asciiTheme="majorHAnsi" w:hAnsiTheme="majorHAnsi" w:cs="Calibri"/>
          <w:sz w:val="24"/>
          <w:szCs w:val="24"/>
        </w:rPr>
      </w:pPr>
      <w:bookmarkStart w:id="1" w:name="_Toc433768391"/>
      <w:r w:rsidRPr="00785EAB">
        <w:rPr>
          <w:rFonts w:asciiTheme="majorHAnsi" w:hAnsiTheme="majorHAnsi" w:cs="Calibri"/>
          <w:sz w:val="24"/>
          <w:szCs w:val="24"/>
        </w:rPr>
        <w:t>Předmět plnění</w:t>
      </w:r>
      <w:bookmarkEnd w:id="1"/>
    </w:p>
    <w:p w:rsidR="00085D1D" w:rsidRPr="00785EAB" w:rsidRDefault="00085D1D" w:rsidP="00085D1D">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Předmětem této smlouvy je závazek poskytovatele poskytnout objednateli služby spojené s ověřením hospodaření doplňkových činností Technických služeb města Nový Jičín za období let 2013, 2014 a 2015 a závazek Objednatele zaplatit Poskytovateli za řádně poskytnuté služby sjednanou cenu. Bližší specifikace předmětu plnění je uvedena v následujících odstavcích článku I. této Smlouvy a dále v příloze č. 1 Smlouvy – Podrobná </w:t>
      </w:r>
      <w:r w:rsidRPr="00785EAB">
        <w:rPr>
          <w:rFonts w:asciiTheme="majorHAnsi" w:hAnsiTheme="majorHAnsi" w:cs="Calibri"/>
          <w:szCs w:val="24"/>
        </w:rPr>
        <w:lastRenderedPageBreak/>
        <w:t>specifikace předmětu plnění.</w:t>
      </w:r>
    </w:p>
    <w:p w:rsidR="00085D1D" w:rsidRPr="00785EAB" w:rsidRDefault="00085D1D" w:rsidP="00085D1D">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Provedené služby budou zahrnovat níže uvedené aktivity:</w:t>
      </w:r>
    </w:p>
    <w:p w:rsidR="00085D1D" w:rsidRPr="00785EAB" w:rsidRDefault="00085D1D" w:rsidP="00085D1D">
      <w:pPr>
        <w:pStyle w:val="Normln1"/>
        <w:shd w:val="clear" w:color="auto" w:fill="FFFFFF"/>
        <w:tabs>
          <w:tab w:val="left" w:pos="567"/>
        </w:tabs>
        <w:spacing w:before="60" w:after="120" w:line="288" w:lineRule="auto"/>
        <w:ind w:left="567"/>
        <w:jc w:val="both"/>
        <w:rPr>
          <w:rFonts w:asciiTheme="majorHAnsi" w:hAnsiTheme="majorHAnsi" w:cs="Calibri"/>
          <w:szCs w:val="24"/>
        </w:rPr>
      </w:pPr>
      <w:r w:rsidRPr="00785EAB">
        <w:rPr>
          <w:rFonts w:asciiTheme="majorHAnsi" w:hAnsiTheme="majorHAnsi" w:cs="Calibri"/>
          <w:szCs w:val="24"/>
          <w:lang w:eastAsia="en-US"/>
        </w:rPr>
        <w:t>a) Prověrku dodržování pravidel hospodaření s majetkem a finančních transakcí.</w:t>
      </w:r>
    </w:p>
    <w:p w:rsidR="00085D1D" w:rsidRPr="00785EAB" w:rsidRDefault="00085D1D" w:rsidP="00085D1D">
      <w:pPr>
        <w:spacing w:before="60" w:after="120" w:line="288" w:lineRule="auto"/>
        <w:ind w:left="567"/>
        <w:rPr>
          <w:rFonts w:asciiTheme="majorHAnsi" w:hAnsiTheme="majorHAnsi" w:cs="Calibri"/>
          <w:sz w:val="24"/>
          <w:lang w:eastAsia="en-US"/>
        </w:rPr>
      </w:pPr>
      <w:r w:rsidRPr="00785EAB">
        <w:rPr>
          <w:rFonts w:asciiTheme="majorHAnsi" w:hAnsiTheme="majorHAnsi" w:cs="Calibri"/>
          <w:sz w:val="24"/>
          <w:lang w:eastAsia="en-US"/>
        </w:rPr>
        <w:t>b) Identifikaci nestandardních transakcí a aspektů hospodaření.</w:t>
      </w:r>
    </w:p>
    <w:p w:rsidR="00085D1D" w:rsidRPr="00785EAB" w:rsidRDefault="00085D1D" w:rsidP="00085D1D">
      <w:pPr>
        <w:spacing w:before="60" w:after="120" w:line="288" w:lineRule="auto"/>
        <w:ind w:left="567"/>
        <w:rPr>
          <w:rFonts w:asciiTheme="majorHAnsi" w:hAnsiTheme="majorHAnsi" w:cs="Calibri"/>
          <w:sz w:val="24"/>
          <w:lang w:eastAsia="en-US"/>
        </w:rPr>
      </w:pPr>
      <w:r w:rsidRPr="00785EAB">
        <w:rPr>
          <w:rFonts w:asciiTheme="majorHAnsi" w:hAnsiTheme="majorHAnsi" w:cs="Calibri"/>
          <w:sz w:val="24"/>
          <w:lang w:eastAsia="en-US"/>
        </w:rPr>
        <w:t>c) Podrobné prošetření identifikovaných případů.</w:t>
      </w:r>
    </w:p>
    <w:p w:rsidR="00085D1D" w:rsidRPr="00785EAB" w:rsidRDefault="00085D1D" w:rsidP="00085D1D">
      <w:pPr>
        <w:spacing w:before="60" w:after="120" w:line="288" w:lineRule="auto"/>
        <w:ind w:left="567"/>
        <w:rPr>
          <w:rFonts w:asciiTheme="majorHAnsi" w:hAnsiTheme="majorHAnsi" w:cs="Calibri"/>
          <w:sz w:val="24"/>
          <w:lang w:eastAsia="en-US"/>
        </w:rPr>
      </w:pPr>
      <w:r w:rsidRPr="00785EAB">
        <w:rPr>
          <w:rFonts w:asciiTheme="majorHAnsi" w:hAnsiTheme="majorHAnsi" w:cs="Calibri"/>
          <w:sz w:val="24"/>
          <w:lang w:eastAsia="en-US"/>
        </w:rPr>
        <w:t>d) Doporučení systémové změny.</w:t>
      </w:r>
    </w:p>
    <w:p w:rsidR="00085D1D" w:rsidRPr="00785EAB" w:rsidRDefault="00085D1D" w:rsidP="00085D1D">
      <w:pPr>
        <w:spacing w:before="60" w:after="120" w:line="288" w:lineRule="auto"/>
        <w:ind w:left="567"/>
        <w:rPr>
          <w:rFonts w:asciiTheme="majorHAnsi" w:hAnsiTheme="majorHAnsi" w:cs="Calibri"/>
          <w:sz w:val="24"/>
          <w:lang w:eastAsia="en-US"/>
        </w:rPr>
      </w:pPr>
      <w:r w:rsidRPr="00785EAB">
        <w:rPr>
          <w:rFonts w:asciiTheme="majorHAnsi" w:hAnsiTheme="majorHAnsi" w:cs="Calibri"/>
          <w:sz w:val="24"/>
          <w:lang w:eastAsia="en-US"/>
        </w:rPr>
        <w:t xml:space="preserve">e) Kontrola spotřeby a počtu ujetých km služebních vozidel, a to pro každé vozidlo </w:t>
      </w:r>
      <w:r w:rsidRPr="00785EAB">
        <w:rPr>
          <w:rFonts w:asciiTheme="majorHAnsi" w:hAnsiTheme="majorHAnsi" w:cs="Calibri"/>
          <w:sz w:val="24"/>
          <w:lang w:eastAsia="en-US"/>
        </w:rPr>
        <w:br/>
        <w:t>u min. 2 měsíců v každém kontrolovaném roce.</w:t>
      </w:r>
    </w:p>
    <w:p w:rsidR="00085D1D" w:rsidRPr="00785EAB" w:rsidRDefault="00085D1D" w:rsidP="00085D1D">
      <w:pPr>
        <w:spacing w:before="60" w:after="120" w:line="288" w:lineRule="auto"/>
        <w:ind w:left="567"/>
        <w:rPr>
          <w:rFonts w:asciiTheme="majorHAnsi" w:hAnsiTheme="majorHAnsi" w:cs="Calibri"/>
          <w:sz w:val="24"/>
          <w:lang w:eastAsia="en-US"/>
        </w:rPr>
      </w:pPr>
      <w:r w:rsidRPr="00785EAB">
        <w:rPr>
          <w:rFonts w:asciiTheme="majorHAnsi" w:hAnsiTheme="majorHAnsi" w:cs="Calibri"/>
          <w:sz w:val="24"/>
          <w:lang w:eastAsia="en-US"/>
        </w:rPr>
        <w:t xml:space="preserve">f) Návrh interního předpisu vztahujícího se k dodržování pravidel hospodaření s majetkem </w:t>
      </w:r>
      <w:r w:rsidRPr="00785EAB">
        <w:rPr>
          <w:rFonts w:asciiTheme="majorHAnsi" w:hAnsiTheme="majorHAnsi" w:cs="Calibri"/>
          <w:sz w:val="24"/>
          <w:lang w:eastAsia="en-US"/>
        </w:rPr>
        <w:br/>
        <w:t>a finančních transakcí, obecně závazných předpisů a interních pravidel zřizovatele v rámci fakturace spojené s výnosy doplňkových činností.</w:t>
      </w:r>
    </w:p>
    <w:p w:rsidR="00085D1D" w:rsidRPr="00785EAB" w:rsidRDefault="00085D1D" w:rsidP="00085D1D">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Poskytovatel se zavazuje poskytovat služby způsobem, v rozsahu, kvalitě a termínech uvedených v této smlouvě včetně přílohy č. 1 a v jeho nabídce podané v rámci zadávacího řízení veřejné zakázky malého rozsahu s názvem „Prověření hospodaření doplňkových činností příspěvkové organizace“. </w:t>
      </w:r>
    </w:p>
    <w:p w:rsidR="00085D1D" w:rsidRPr="00CD0AE3" w:rsidRDefault="00085D1D" w:rsidP="00CD0AE3">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Výstupy budou zpracovány ve formě Zprávy z kontroly a návrhu Interního předpisu vztahujícího</w:t>
      </w:r>
      <w:r w:rsidR="00CD0AE3">
        <w:rPr>
          <w:rFonts w:asciiTheme="majorHAnsi" w:hAnsiTheme="majorHAnsi" w:cs="Calibri"/>
          <w:szCs w:val="24"/>
        </w:rPr>
        <w:t xml:space="preserve"> </w:t>
      </w:r>
      <w:r w:rsidRPr="00CD0AE3">
        <w:rPr>
          <w:rFonts w:asciiTheme="majorHAnsi" w:hAnsiTheme="majorHAnsi" w:cs="Calibri"/>
          <w:szCs w:val="24"/>
        </w:rPr>
        <w:t xml:space="preserve">se k dodržování pravidel hospodaření s majetkem a finančních transakcí, obecně závazných předpisů a interních pravidel zřizovatele v rámci fakturace spojené s výnosy doplňkových činností ve spisovném českém jazyce v písemné formě ve dvou vyhotoveních a v elektronické formě na nosiči CD-ROM ve standardním formátu v souborech vytvořených  nástroji MS OFFICE </w:t>
      </w:r>
      <w:smartTag w:uri="urn:schemas-microsoft-com:office:smarttags" w:element="metricconverter">
        <w:smartTagPr>
          <w:attr w:name="ProductID" w:val="97 a"/>
        </w:smartTagPr>
        <w:r w:rsidRPr="00CD0AE3">
          <w:rPr>
            <w:rFonts w:asciiTheme="majorHAnsi" w:hAnsiTheme="majorHAnsi" w:cs="Calibri"/>
            <w:szCs w:val="24"/>
          </w:rPr>
          <w:t>97 a</w:t>
        </w:r>
      </w:smartTag>
      <w:r w:rsidRPr="00CD0AE3">
        <w:rPr>
          <w:rFonts w:asciiTheme="majorHAnsi" w:hAnsiTheme="majorHAnsi" w:cs="Calibri"/>
          <w:szCs w:val="24"/>
        </w:rPr>
        <w:t xml:space="preserve"> vyšší.</w:t>
      </w:r>
    </w:p>
    <w:p w:rsidR="00085D1D" w:rsidRPr="00785EAB" w:rsidRDefault="00085D1D" w:rsidP="00085D1D">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Zpráva z kontroly bude obsahovat níže uvedené minimální náležitosti: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Identifikační údaje prověřovaného subjektu.</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Identifikační údaje subjektu, který kontrolu provedl včetně členů kontrolního týmu.</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Kontrolované období.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Místo kontroly.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Termín provedení kontroly.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Předmět kontroly.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Vymezení odpovědnosti (za vedení účetnictví a hospodaření s majetkem apod.).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 xml:space="preserve">Seznam všech ověřených skutečností. </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Seznam veškerých kontrolovaných dokladů.</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lastRenderedPageBreak/>
        <w:t>Přehled zjištění a doporučení.</w:t>
      </w:r>
    </w:p>
    <w:p w:rsidR="00085D1D" w:rsidRPr="00785EAB" w:rsidRDefault="00085D1D" w:rsidP="00085D1D">
      <w:pPr>
        <w:pStyle w:val="Normln1"/>
        <w:widowControl w:val="0"/>
        <w:numPr>
          <w:ilvl w:val="0"/>
          <w:numId w:val="18"/>
        </w:numPr>
        <w:shd w:val="clear" w:color="auto" w:fill="FFFFFF"/>
        <w:tabs>
          <w:tab w:val="left" w:pos="567"/>
        </w:tabs>
        <w:spacing w:before="60" w:after="120" w:line="288" w:lineRule="auto"/>
        <w:jc w:val="both"/>
        <w:rPr>
          <w:rFonts w:asciiTheme="majorHAnsi" w:hAnsiTheme="majorHAnsi" w:cs="Calibri"/>
          <w:szCs w:val="24"/>
        </w:rPr>
      </w:pPr>
      <w:r w:rsidRPr="00785EAB">
        <w:rPr>
          <w:rFonts w:asciiTheme="majorHAnsi" w:hAnsiTheme="majorHAnsi" w:cs="Calibri"/>
          <w:szCs w:val="24"/>
        </w:rPr>
        <w:t>Celkové vyčíslení zjištěných nedostatků.</w:t>
      </w:r>
    </w:p>
    <w:p w:rsidR="00085D1D" w:rsidRPr="00785EAB" w:rsidRDefault="00085D1D" w:rsidP="00085D1D">
      <w:pPr>
        <w:pStyle w:val="Normln1"/>
        <w:widowControl w:val="0"/>
        <w:numPr>
          <w:ilvl w:val="1"/>
          <w:numId w:val="4"/>
        </w:numPr>
        <w:shd w:val="clear" w:color="auto" w:fill="FFFFFF"/>
        <w:tabs>
          <w:tab w:val="left" w:pos="567"/>
        </w:tabs>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Výstupy jednotlivých dílčích plnění podle této Smlouvy Poskytovatel předloží po jejich vypracování Objednateli k Akceptačnímu řízení. </w:t>
      </w:r>
    </w:p>
    <w:p w:rsidR="00085D1D" w:rsidRPr="00785EAB" w:rsidRDefault="00085D1D" w:rsidP="00085D1D">
      <w:pPr>
        <w:pStyle w:val="Normln1"/>
        <w:shd w:val="clear" w:color="auto" w:fill="FFFFFF"/>
        <w:tabs>
          <w:tab w:val="left" w:pos="567"/>
        </w:tabs>
        <w:spacing w:before="60" w:after="120" w:line="288" w:lineRule="auto"/>
        <w:ind w:left="567"/>
        <w:jc w:val="both"/>
        <w:rPr>
          <w:rFonts w:asciiTheme="majorHAnsi" w:hAnsiTheme="majorHAnsi" w:cs="Calibri"/>
          <w:szCs w:val="24"/>
        </w:rPr>
      </w:pPr>
    </w:p>
    <w:p w:rsidR="00085D1D" w:rsidRPr="00785EAB" w:rsidRDefault="00085D1D" w:rsidP="00085D1D">
      <w:pPr>
        <w:pStyle w:val="Titulek"/>
        <w:spacing w:line="288" w:lineRule="auto"/>
        <w:jc w:val="center"/>
        <w:rPr>
          <w:rFonts w:asciiTheme="majorHAnsi" w:hAnsiTheme="majorHAnsi" w:cs="Calibri"/>
          <w:sz w:val="24"/>
          <w:szCs w:val="24"/>
        </w:rPr>
      </w:pPr>
      <w:bookmarkStart w:id="2" w:name="_Toc433768392"/>
      <w:r w:rsidRPr="00785EAB">
        <w:rPr>
          <w:rFonts w:asciiTheme="majorHAnsi" w:hAnsiTheme="majorHAnsi" w:cs="Calibri"/>
          <w:sz w:val="24"/>
          <w:szCs w:val="24"/>
        </w:rPr>
        <w:t>Článek II.</w:t>
      </w:r>
      <w:bookmarkStart w:id="3" w:name="_Toc433768393"/>
      <w:bookmarkEnd w:id="2"/>
      <w:r w:rsidRPr="00785EAB">
        <w:rPr>
          <w:rFonts w:asciiTheme="majorHAnsi" w:hAnsiTheme="majorHAnsi" w:cs="Calibri"/>
          <w:sz w:val="24"/>
          <w:szCs w:val="24"/>
        </w:rPr>
        <w:br/>
        <w:t>Místo plnění</w:t>
      </w:r>
      <w:bookmarkEnd w:id="3"/>
    </w:p>
    <w:p w:rsidR="00085D1D" w:rsidRPr="00785EAB" w:rsidRDefault="00085D1D" w:rsidP="00085D1D">
      <w:pPr>
        <w:spacing w:line="288" w:lineRule="auto"/>
        <w:rPr>
          <w:rFonts w:asciiTheme="majorHAnsi" w:hAnsiTheme="majorHAnsi" w:cs="Calibri"/>
          <w:sz w:val="24"/>
        </w:rPr>
      </w:pPr>
      <w:r w:rsidRPr="00785EAB">
        <w:rPr>
          <w:rFonts w:asciiTheme="majorHAnsi" w:hAnsiTheme="majorHAnsi" w:cs="Calibri"/>
          <w:sz w:val="24"/>
        </w:rPr>
        <w:t>Místem plnění předmětu smlouvy je sídlo příspěvkové organizace Technické služby zřízené Městem Nový Jičín.</w:t>
      </w:r>
    </w:p>
    <w:p w:rsidR="00085D1D" w:rsidRPr="00785EAB" w:rsidRDefault="00085D1D" w:rsidP="00085D1D">
      <w:pPr>
        <w:pStyle w:val="Titulek"/>
        <w:spacing w:before="60" w:line="288" w:lineRule="auto"/>
        <w:jc w:val="center"/>
        <w:rPr>
          <w:rFonts w:asciiTheme="majorHAnsi" w:hAnsiTheme="majorHAnsi" w:cs="Calibri"/>
          <w:sz w:val="24"/>
          <w:szCs w:val="24"/>
        </w:rPr>
      </w:pPr>
      <w:bookmarkStart w:id="4" w:name="_Toc433768394"/>
    </w:p>
    <w:p w:rsidR="00085D1D" w:rsidRPr="00785EAB" w:rsidRDefault="00085D1D" w:rsidP="00085D1D">
      <w:pPr>
        <w:pStyle w:val="Titulek"/>
        <w:spacing w:before="60" w:line="288" w:lineRule="auto"/>
        <w:jc w:val="center"/>
        <w:rPr>
          <w:rFonts w:asciiTheme="majorHAnsi" w:hAnsiTheme="majorHAnsi" w:cs="Calibri"/>
          <w:sz w:val="24"/>
          <w:szCs w:val="24"/>
        </w:rPr>
      </w:pPr>
      <w:r w:rsidRPr="00785EAB">
        <w:rPr>
          <w:rFonts w:asciiTheme="majorHAnsi" w:hAnsiTheme="majorHAnsi" w:cs="Calibri"/>
          <w:sz w:val="24"/>
          <w:szCs w:val="24"/>
        </w:rPr>
        <w:t>Článek III.</w:t>
      </w:r>
      <w:bookmarkEnd w:id="4"/>
      <w:r w:rsidRPr="00785EAB">
        <w:rPr>
          <w:rFonts w:asciiTheme="majorHAnsi" w:hAnsiTheme="majorHAnsi" w:cs="Calibri"/>
          <w:sz w:val="24"/>
          <w:szCs w:val="24"/>
        </w:rPr>
        <w:t xml:space="preserve"> </w:t>
      </w:r>
    </w:p>
    <w:p w:rsidR="00085D1D" w:rsidRPr="00785EAB" w:rsidRDefault="00085D1D" w:rsidP="00085D1D">
      <w:pPr>
        <w:pStyle w:val="Titulek"/>
        <w:spacing w:line="288" w:lineRule="auto"/>
        <w:jc w:val="center"/>
        <w:rPr>
          <w:rFonts w:asciiTheme="majorHAnsi" w:hAnsiTheme="majorHAnsi" w:cs="Calibri"/>
          <w:sz w:val="24"/>
          <w:szCs w:val="24"/>
        </w:rPr>
      </w:pPr>
      <w:bookmarkStart w:id="5" w:name="_Toc433768395"/>
      <w:r w:rsidRPr="00785EAB">
        <w:rPr>
          <w:rFonts w:asciiTheme="majorHAnsi" w:hAnsiTheme="majorHAnsi" w:cs="Calibri"/>
          <w:sz w:val="24"/>
          <w:szCs w:val="24"/>
        </w:rPr>
        <w:t>Termín plnění</w:t>
      </w:r>
      <w:bookmarkEnd w:id="5"/>
    </w:p>
    <w:p w:rsidR="00085D1D" w:rsidRPr="00785EAB" w:rsidRDefault="00085D1D" w:rsidP="00085D1D">
      <w:pPr>
        <w:pStyle w:val="Odstavecseseznamem"/>
        <w:widowControl/>
        <w:numPr>
          <w:ilvl w:val="0"/>
          <w:numId w:val="2"/>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pStyle w:val="Odstavecseseznamem"/>
        <w:widowControl/>
        <w:numPr>
          <w:ilvl w:val="0"/>
          <w:numId w:val="2"/>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pStyle w:val="Odstavecseseznamem"/>
        <w:widowControl/>
        <w:numPr>
          <w:ilvl w:val="0"/>
          <w:numId w:val="2"/>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pStyle w:val="Zpat"/>
        <w:tabs>
          <w:tab w:val="clear" w:pos="4536"/>
          <w:tab w:val="clear" w:pos="9072"/>
        </w:tabs>
        <w:overflowPunct w:val="0"/>
        <w:autoSpaceDE w:val="0"/>
        <w:autoSpaceDN w:val="0"/>
        <w:spacing w:before="60" w:after="120" w:line="288" w:lineRule="auto"/>
        <w:rPr>
          <w:rFonts w:asciiTheme="majorHAnsi" w:hAnsiTheme="majorHAnsi" w:cs="Calibri"/>
          <w:sz w:val="24"/>
          <w:highlight w:val="yellow"/>
        </w:rPr>
      </w:pPr>
      <w:r w:rsidRPr="00785EAB">
        <w:rPr>
          <w:rFonts w:asciiTheme="majorHAnsi" w:hAnsiTheme="majorHAnsi" w:cs="Calibri"/>
          <w:sz w:val="24"/>
        </w:rPr>
        <w:t xml:space="preserve">Poskytovatel se zavazuje zahájit plnění předmětu této smlouvy na základě písemné výzvy objednatele a to bezprostředně po doručení této písemné výzvy. </w:t>
      </w:r>
    </w:p>
    <w:p w:rsidR="00085D1D" w:rsidRPr="00785EAB" w:rsidRDefault="00085D1D" w:rsidP="00085D1D">
      <w:pPr>
        <w:pStyle w:val="Titulek"/>
        <w:spacing w:line="288" w:lineRule="auto"/>
        <w:jc w:val="center"/>
        <w:rPr>
          <w:rFonts w:asciiTheme="majorHAnsi" w:hAnsiTheme="majorHAnsi" w:cs="Calibri"/>
          <w:sz w:val="24"/>
          <w:szCs w:val="24"/>
        </w:rPr>
      </w:pPr>
    </w:p>
    <w:p w:rsidR="00085D1D" w:rsidRPr="00785EAB" w:rsidRDefault="00085D1D" w:rsidP="00085D1D">
      <w:pPr>
        <w:pStyle w:val="Titulek"/>
        <w:spacing w:line="288" w:lineRule="auto"/>
        <w:jc w:val="center"/>
        <w:rPr>
          <w:rFonts w:asciiTheme="majorHAnsi" w:hAnsiTheme="majorHAnsi" w:cs="Calibri"/>
          <w:sz w:val="24"/>
          <w:szCs w:val="24"/>
        </w:rPr>
      </w:pPr>
      <w:r w:rsidRPr="00785EAB">
        <w:rPr>
          <w:rFonts w:asciiTheme="majorHAnsi" w:hAnsiTheme="majorHAnsi" w:cs="Calibri"/>
          <w:sz w:val="24"/>
          <w:szCs w:val="24"/>
        </w:rPr>
        <w:t>Článek IV.</w:t>
      </w:r>
    </w:p>
    <w:p w:rsidR="00085D1D" w:rsidRPr="00785EAB" w:rsidRDefault="00085D1D" w:rsidP="00085D1D">
      <w:pPr>
        <w:pStyle w:val="Titulek"/>
        <w:spacing w:line="288" w:lineRule="auto"/>
        <w:jc w:val="center"/>
        <w:rPr>
          <w:rFonts w:asciiTheme="majorHAnsi" w:hAnsiTheme="majorHAnsi" w:cs="Calibri"/>
          <w:sz w:val="24"/>
          <w:szCs w:val="24"/>
        </w:rPr>
      </w:pPr>
      <w:r w:rsidRPr="00785EAB">
        <w:rPr>
          <w:rFonts w:asciiTheme="majorHAnsi" w:hAnsiTheme="majorHAnsi" w:cs="Calibri"/>
          <w:sz w:val="24"/>
          <w:szCs w:val="24"/>
        </w:rPr>
        <w:t>Smluvní cena a platební podmínky</w:t>
      </w:r>
    </w:p>
    <w:p w:rsidR="00085D1D" w:rsidRPr="00785EAB" w:rsidRDefault="00085D1D" w:rsidP="00085D1D">
      <w:pPr>
        <w:pStyle w:val="Odstavecseseznamem"/>
        <w:widowControl/>
        <w:numPr>
          <w:ilvl w:val="0"/>
          <w:numId w:val="3"/>
        </w:numPr>
        <w:overflowPunct w:val="0"/>
        <w:autoSpaceDE w:val="0"/>
        <w:autoSpaceDN w:val="0"/>
        <w:spacing w:after="120" w:line="288" w:lineRule="auto"/>
        <w:contextualSpacing w:val="0"/>
        <w:rPr>
          <w:rFonts w:asciiTheme="majorHAnsi" w:hAnsiTheme="majorHAnsi" w:cs="Calibri"/>
          <w:vanish/>
          <w:sz w:val="24"/>
          <w:highlight w:val="yellow"/>
        </w:rPr>
      </w:pPr>
    </w:p>
    <w:p w:rsidR="00085D1D" w:rsidRPr="00785EAB" w:rsidRDefault="00085D1D" w:rsidP="00085D1D">
      <w:pPr>
        <w:pStyle w:val="Odstavecseseznamem"/>
        <w:widowControl/>
        <w:numPr>
          <w:ilvl w:val="0"/>
          <w:numId w:val="3"/>
        </w:numPr>
        <w:overflowPunct w:val="0"/>
        <w:autoSpaceDE w:val="0"/>
        <w:autoSpaceDN w:val="0"/>
        <w:spacing w:after="120" w:line="288" w:lineRule="auto"/>
        <w:contextualSpacing w:val="0"/>
        <w:rPr>
          <w:rFonts w:asciiTheme="majorHAnsi" w:hAnsiTheme="majorHAnsi" w:cs="Calibri"/>
          <w:vanish/>
          <w:sz w:val="24"/>
          <w:highlight w:val="yellow"/>
        </w:rPr>
      </w:pPr>
    </w:p>
    <w:p w:rsidR="00085D1D" w:rsidRPr="00785EAB" w:rsidRDefault="00085D1D" w:rsidP="00085D1D">
      <w:pPr>
        <w:pStyle w:val="Odstavecseseznamem"/>
        <w:widowControl/>
        <w:numPr>
          <w:ilvl w:val="0"/>
          <w:numId w:val="3"/>
        </w:numPr>
        <w:overflowPunct w:val="0"/>
        <w:autoSpaceDE w:val="0"/>
        <w:autoSpaceDN w:val="0"/>
        <w:spacing w:after="120" w:line="288" w:lineRule="auto"/>
        <w:contextualSpacing w:val="0"/>
        <w:rPr>
          <w:rFonts w:asciiTheme="majorHAnsi" w:hAnsiTheme="majorHAnsi" w:cs="Calibri"/>
          <w:vanish/>
          <w:sz w:val="24"/>
          <w:highlight w:val="yellow"/>
        </w:rPr>
      </w:pPr>
    </w:p>
    <w:p w:rsidR="00085D1D" w:rsidRPr="00785EAB" w:rsidRDefault="00085D1D" w:rsidP="00085D1D">
      <w:pPr>
        <w:pStyle w:val="Odstavecseseznamem"/>
        <w:widowControl/>
        <w:numPr>
          <w:ilvl w:val="0"/>
          <w:numId w:val="3"/>
        </w:numPr>
        <w:overflowPunct w:val="0"/>
        <w:autoSpaceDE w:val="0"/>
        <w:autoSpaceDN w:val="0"/>
        <w:spacing w:after="120" w:line="288" w:lineRule="auto"/>
        <w:contextualSpacing w:val="0"/>
        <w:rPr>
          <w:rFonts w:asciiTheme="majorHAnsi" w:hAnsiTheme="majorHAnsi" w:cs="Calibri"/>
          <w:vanish/>
          <w:sz w:val="24"/>
          <w:highlight w:val="yellow"/>
        </w:rPr>
      </w:pP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Objednatel se zavazuje zaplatit Poskytovateli cenu za poskytnuté služby dle čl. I této Smlouvy.</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Cena za poskytnuté služby podle čl. I této Smlouvy je stanovena na </w:t>
      </w:r>
      <w:r w:rsidRPr="00CD0AE3">
        <w:rPr>
          <w:rFonts w:asciiTheme="majorHAnsi" w:hAnsiTheme="majorHAnsi" w:cs="Calibri"/>
          <w:b/>
          <w:szCs w:val="24"/>
        </w:rPr>
        <w:t>79 500,-</w:t>
      </w:r>
      <w:r w:rsidRPr="00CD0AE3">
        <w:rPr>
          <w:b/>
          <w:color w:val="1F497D"/>
        </w:rPr>
        <w:t xml:space="preserve"> </w:t>
      </w:r>
      <w:r w:rsidRPr="00CD0AE3">
        <w:rPr>
          <w:rFonts w:asciiTheme="majorHAnsi" w:hAnsiTheme="majorHAnsi" w:cs="Calibri"/>
          <w:b/>
          <w:szCs w:val="24"/>
        </w:rPr>
        <w:t>Kč bez DPH</w:t>
      </w:r>
      <w:r w:rsidRPr="00785EAB">
        <w:rPr>
          <w:rFonts w:asciiTheme="majorHAnsi" w:hAnsiTheme="majorHAnsi" w:cs="Calibri"/>
          <w:szCs w:val="24"/>
        </w:rPr>
        <w:t xml:space="preserve">. DPH bude připočtena dle aktuální zákonné výše. </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Cena za poskytnuté služby uvedená v odst. 4.2 Smlouvy je konečná a nepřekročitelná a zahrnuje veškeré náklady vynaložené v souvislosti s plněním předmětu této veřejné zakázky.</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Nárok na odměnu za poskytnuté služby vzniká Poskytovateli dnem podpisu akceptačního protokolu. Odměna za poskytnuté služby je splatná na základě faktury vystavené ze strany Poskytovatele. </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Faktura vystavená Poskytovatelem musí splňovat náležitosti daňového dokladu stanovené aktuálními právními předpisy.</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Fakturovaná částka bude hrazena bezhotovostně, a to bankovním převodem na účet Poskytovatele uvedený v této smlouvě, nebo na účet Poskytovatele dodatečně písemně oznámeného Objednateli, a to nejpozději ke dni doručení faktury.</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Splatnost faktury je 30 kalendářních dnů ode dne doručení řádně vystavené faktury Objednateli. V případě, že faktura nebude obsahovat náležitosti daňového dokladu nebo nebude vystavena v souladu s podmínkami sjednanými v této smlouvě, je Objednatel </w:t>
      </w:r>
      <w:r w:rsidRPr="00785EAB">
        <w:rPr>
          <w:rFonts w:asciiTheme="majorHAnsi" w:hAnsiTheme="majorHAnsi" w:cs="Calibri"/>
          <w:szCs w:val="24"/>
        </w:rPr>
        <w:lastRenderedPageBreak/>
        <w:t xml:space="preserve">oprávněn vrátit ji Poskytovateli k doplnění. V takovém případě se přeruší plynutí lhůty splatnosti a nová lhůta splatnosti začne plynout doručením opravené faktury Objednateli. </w:t>
      </w:r>
    </w:p>
    <w:p w:rsidR="00085D1D" w:rsidRPr="00785EAB" w:rsidRDefault="00085D1D" w:rsidP="00085D1D">
      <w:pPr>
        <w:pStyle w:val="Normln1"/>
        <w:widowControl w:val="0"/>
        <w:numPr>
          <w:ilvl w:val="1"/>
          <w:numId w:val="3"/>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Faktura se považuje za zaplacenou dnem, kdy bude fakturovaná částka odeslána z účtu Objednatele ve prospěch účtu Poskytovatele. </w:t>
      </w:r>
    </w:p>
    <w:p w:rsidR="00085D1D" w:rsidRPr="00785EAB" w:rsidRDefault="00085D1D" w:rsidP="00085D1D">
      <w:pPr>
        <w:pStyle w:val="Titulek"/>
        <w:spacing w:line="288" w:lineRule="auto"/>
        <w:rPr>
          <w:rFonts w:asciiTheme="majorHAnsi" w:hAnsiTheme="majorHAnsi" w:cs="Calibri"/>
          <w:sz w:val="24"/>
          <w:szCs w:val="24"/>
          <w:highlight w:val="yellow"/>
        </w:rPr>
      </w:pPr>
      <w:bookmarkStart w:id="6" w:name="_Toc433768402"/>
    </w:p>
    <w:p w:rsidR="00085D1D" w:rsidRPr="00785EAB" w:rsidRDefault="00085D1D" w:rsidP="00085D1D">
      <w:pPr>
        <w:pStyle w:val="Titulek"/>
        <w:spacing w:line="288" w:lineRule="auto"/>
        <w:ind w:left="425" w:hanging="425"/>
        <w:jc w:val="center"/>
        <w:rPr>
          <w:rFonts w:asciiTheme="majorHAnsi" w:hAnsiTheme="majorHAnsi" w:cs="Calibri"/>
          <w:sz w:val="24"/>
          <w:szCs w:val="24"/>
        </w:rPr>
      </w:pPr>
      <w:r w:rsidRPr="00785EAB">
        <w:rPr>
          <w:rFonts w:asciiTheme="majorHAnsi" w:hAnsiTheme="majorHAnsi" w:cs="Calibri"/>
          <w:sz w:val="24"/>
          <w:szCs w:val="24"/>
        </w:rPr>
        <w:t>Článek V.</w:t>
      </w:r>
      <w:bookmarkEnd w:id="6"/>
    </w:p>
    <w:p w:rsidR="00085D1D" w:rsidRPr="00785EAB" w:rsidRDefault="00085D1D" w:rsidP="00085D1D">
      <w:pPr>
        <w:pStyle w:val="Titulek"/>
        <w:spacing w:line="288" w:lineRule="auto"/>
        <w:ind w:left="425" w:hanging="425"/>
        <w:jc w:val="center"/>
        <w:rPr>
          <w:rFonts w:asciiTheme="majorHAnsi" w:hAnsiTheme="majorHAnsi" w:cs="Calibri"/>
          <w:b w:val="0"/>
          <w:sz w:val="24"/>
          <w:szCs w:val="24"/>
        </w:rPr>
      </w:pPr>
      <w:bookmarkStart w:id="7" w:name="_Toc433768403"/>
      <w:r w:rsidRPr="00785EAB">
        <w:rPr>
          <w:rFonts w:asciiTheme="majorHAnsi" w:hAnsiTheme="majorHAnsi" w:cs="Calibri"/>
          <w:sz w:val="24"/>
          <w:szCs w:val="24"/>
        </w:rPr>
        <w:t>Další podmínky plnění předmětu smlouvy</w:t>
      </w:r>
      <w:r w:rsidRPr="00785EAB">
        <w:rPr>
          <w:rFonts w:asciiTheme="majorHAnsi" w:hAnsiTheme="majorHAnsi" w:cs="Calibri"/>
          <w:b w:val="0"/>
          <w:sz w:val="24"/>
          <w:szCs w:val="24"/>
        </w:rPr>
        <w:t xml:space="preserve"> </w:t>
      </w:r>
      <w:bookmarkEnd w:id="7"/>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Poskytovatel je povinen poskytovat služby sjednané v této smlouvě řádně, včas, s odbornou péčí, podle svých nejlepších znalostí a schopností a v souladu s obecně závaznými právními předpisy, přičemž je povinen sledovat a chránit oprávněné zájmy Objednatele. </w:t>
      </w:r>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Poskytovatel se zavazuje oznámit Objednateli všechny okolnosti, které zjistil v průběhu plnění této Smlouvy a které mohou mít vliv na plnění předmětu této Smlouvy.</w:t>
      </w:r>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Poskytovatel je povinen akceptovat Objednateli doplňující pokyny a připomínky k plnění předmětu této smlouvy.</w:t>
      </w:r>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Objednatel se zavazuje poskytnout poskytovateli potřebné podklady a nezbytnou součinnost k plnění předmětu této Smlouvy a umožnit za účelem provádění sjednaných služeb přístup pracovníkům Poskytovatele do sídla kontrolované příspěvkové organizace. </w:t>
      </w:r>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Poskytovatel se zavazuje, že nepostoupí své pohledávky z této smlouvy vzniklé na třetí osobu, stejně jak ani nesjedná zápočet této pohledávky bez předchozího souhlasu Objednatele. </w:t>
      </w:r>
    </w:p>
    <w:p w:rsidR="00085D1D" w:rsidRPr="00785EAB" w:rsidRDefault="00085D1D" w:rsidP="00085D1D">
      <w:pPr>
        <w:pStyle w:val="Normln1"/>
        <w:widowControl w:val="0"/>
        <w:numPr>
          <w:ilvl w:val="1"/>
          <w:numId w:val="5"/>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Poskytovatel může poskytovat služby, které jsou předmětem této smlouvy pouze prostřednictvím zaměstnanců a jiných osob určených k poskytování plnění uvedených v seznamu předloženém v nabídce poskytovatele v zadávacím řízení. Poskytovatel nesmí bez předchozího souhlasu objednatele provádět žádné změny v těchto osobách oproti osobám uvedeným v tomto seznamu.</w:t>
      </w:r>
    </w:p>
    <w:p w:rsidR="00085D1D" w:rsidRPr="00785EAB" w:rsidRDefault="00085D1D" w:rsidP="00085D1D">
      <w:pPr>
        <w:pStyle w:val="Normln1"/>
        <w:shd w:val="clear" w:color="auto" w:fill="FFFFFF"/>
        <w:spacing w:after="120" w:line="288" w:lineRule="auto"/>
        <w:ind w:left="567"/>
        <w:jc w:val="both"/>
        <w:rPr>
          <w:rFonts w:asciiTheme="majorHAnsi" w:hAnsiTheme="majorHAnsi" w:cs="Calibri"/>
          <w:szCs w:val="24"/>
          <w:highlight w:val="yellow"/>
        </w:rPr>
      </w:pPr>
    </w:p>
    <w:p w:rsidR="00085D1D" w:rsidRPr="00785EAB" w:rsidRDefault="00085D1D" w:rsidP="00085D1D">
      <w:pPr>
        <w:pStyle w:val="Titulek"/>
        <w:spacing w:line="288" w:lineRule="auto"/>
        <w:ind w:left="425" w:hanging="425"/>
        <w:jc w:val="center"/>
        <w:rPr>
          <w:rFonts w:asciiTheme="majorHAnsi" w:hAnsiTheme="majorHAnsi" w:cs="Calibri"/>
          <w:sz w:val="24"/>
          <w:szCs w:val="24"/>
        </w:rPr>
      </w:pPr>
      <w:bookmarkStart w:id="8" w:name="_Toc433768406"/>
      <w:r w:rsidRPr="00785EAB">
        <w:rPr>
          <w:rFonts w:asciiTheme="majorHAnsi" w:hAnsiTheme="majorHAnsi" w:cs="Calibri"/>
          <w:sz w:val="24"/>
          <w:szCs w:val="24"/>
        </w:rPr>
        <w:t xml:space="preserve">Článek </w:t>
      </w:r>
      <w:bookmarkEnd w:id="8"/>
      <w:r w:rsidRPr="00785EAB">
        <w:rPr>
          <w:rFonts w:asciiTheme="majorHAnsi" w:hAnsiTheme="majorHAnsi" w:cs="Calibri"/>
          <w:sz w:val="24"/>
          <w:szCs w:val="24"/>
        </w:rPr>
        <w:t>VI.</w:t>
      </w:r>
    </w:p>
    <w:p w:rsidR="00085D1D" w:rsidRPr="00785EAB" w:rsidRDefault="00085D1D" w:rsidP="00085D1D">
      <w:pPr>
        <w:pStyle w:val="NadpisPoznmky"/>
        <w:spacing w:after="120" w:line="288" w:lineRule="auto"/>
        <w:ind w:left="426" w:hanging="426"/>
        <w:rPr>
          <w:rFonts w:asciiTheme="majorHAnsi" w:hAnsiTheme="majorHAnsi" w:cs="Calibri"/>
          <w:sz w:val="24"/>
          <w:szCs w:val="24"/>
        </w:rPr>
      </w:pPr>
      <w:r w:rsidRPr="00785EAB">
        <w:rPr>
          <w:rFonts w:asciiTheme="majorHAnsi" w:hAnsiTheme="majorHAnsi" w:cs="Calibri"/>
          <w:sz w:val="24"/>
          <w:szCs w:val="24"/>
        </w:rPr>
        <w:t>Předání, převzetí a akceptace předmětu smlouvy</w:t>
      </w:r>
    </w:p>
    <w:p w:rsidR="00085D1D" w:rsidRPr="00785EAB" w:rsidRDefault="00085D1D" w:rsidP="00085D1D">
      <w:pPr>
        <w:pStyle w:val="Normln1"/>
        <w:widowControl w:val="0"/>
        <w:numPr>
          <w:ilvl w:val="1"/>
          <w:numId w:val="6"/>
        </w:numPr>
        <w:shd w:val="clear" w:color="auto" w:fill="FFFFFF"/>
        <w:spacing w:before="60" w:after="120" w:line="288" w:lineRule="auto"/>
        <w:ind w:left="567" w:hanging="567"/>
        <w:jc w:val="both"/>
        <w:rPr>
          <w:rFonts w:asciiTheme="majorHAnsi" w:hAnsiTheme="majorHAnsi" w:cs="Calibri"/>
          <w:szCs w:val="24"/>
        </w:rPr>
      </w:pPr>
      <w:bookmarkStart w:id="9" w:name="_Toc433768408"/>
      <w:r w:rsidRPr="00785EAB">
        <w:rPr>
          <w:rFonts w:asciiTheme="majorHAnsi" w:hAnsiTheme="majorHAnsi" w:cs="Calibri"/>
          <w:szCs w:val="24"/>
        </w:rPr>
        <w:t xml:space="preserve">Plnění předmětu Smlouvy uskutečňované ze strany Poskytovatele pro Objednatele podle čl. I. Smlouvy je při odevzdání předmětem </w:t>
      </w:r>
      <w:r>
        <w:rPr>
          <w:rFonts w:asciiTheme="majorHAnsi" w:hAnsiTheme="majorHAnsi" w:cs="Calibri"/>
          <w:szCs w:val="24"/>
        </w:rPr>
        <w:t xml:space="preserve">Akceptačního řízení. Akceptační </w:t>
      </w:r>
      <w:r w:rsidRPr="00785EAB">
        <w:rPr>
          <w:rFonts w:asciiTheme="majorHAnsi" w:hAnsiTheme="majorHAnsi" w:cs="Calibri"/>
          <w:szCs w:val="24"/>
        </w:rPr>
        <w:t>řízení je proces předání, převzetí a ak</w:t>
      </w:r>
      <w:r>
        <w:rPr>
          <w:rFonts w:asciiTheme="majorHAnsi" w:hAnsiTheme="majorHAnsi" w:cs="Calibri"/>
          <w:szCs w:val="24"/>
        </w:rPr>
        <w:t>ceptace předmětu plnění Smlouvy,</w:t>
      </w:r>
      <w:r w:rsidRPr="00785EAB">
        <w:rPr>
          <w:rFonts w:asciiTheme="majorHAnsi" w:hAnsiTheme="majorHAnsi" w:cs="Calibri"/>
          <w:szCs w:val="24"/>
        </w:rPr>
        <w:t xml:space="preserve"> ve kterém:</w:t>
      </w:r>
    </w:p>
    <w:p w:rsidR="00085D1D" w:rsidRPr="00785EAB" w:rsidRDefault="00085D1D" w:rsidP="00085D1D">
      <w:pPr>
        <w:pStyle w:val="Normln1"/>
        <w:widowControl w:val="0"/>
        <w:numPr>
          <w:ilvl w:val="0"/>
          <w:numId w:val="17"/>
        </w:numPr>
        <w:shd w:val="clear" w:color="auto" w:fill="FFFFFF"/>
        <w:spacing w:before="60" w:after="120" w:line="288" w:lineRule="auto"/>
        <w:jc w:val="both"/>
        <w:rPr>
          <w:rFonts w:asciiTheme="majorHAnsi" w:hAnsiTheme="majorHAnsi" w:cs="Calibri"/>
          <w:szCs w:val="24"/>
        </w:rPr>
      </w:pPr>
      <w:r w:rsidRPr="00785EAB">
        <w:rPr>
          <w:rFonts w:asciiTheme="majorHAnsi" w:hAnsiTheme="majorHAnsi" w:cs="Calibri"/>
          <w:szCs w:val="24"/>
        </w:rPr>
        <w:t>Poskytovatel je povinen předat Objednateli plnění předmětu Smlouvy v dohodnutém termínu.</w:t>
      </w:r>
    </w:p>
    <w:p w:rsidR="00085D1D" w:rsidRPr="00785EAB" w:rsidRDefault="00085D1D" w:rsidP="00085D1D">
      <w:pPr>
        <w:pStyle w:val="Normln1"/>
        <w:widowControl w:val="0"/>
        <w:numPr>
          <w:ilvl w:val="0"/>
          <w:numId w:val="17"/>
        </w:numPr>
        <w:shd w:val="clear" w:color="auto" w:fill="FFFFFF"/>
        <w:spacing w:before="60" w:after="120" w:line="288" w:lineRule="auto"/>
        <w:jc w:val="both"/>
        <w:rPr>
          <w:rFonts w:asciiTheme="majorHAnsi" w:hAnsiTheme="majorHAnsi" w:cs="Calibri"/>
          <w:szCs w:val="24"/>
        </w:rPr>
      </w:pPr>
      <w:r w:rsidRPr="00785EAB">
        <w:rPr>
          <w:rFonts w:asciiTheme="majorHAnsi" w:hAnsiTheme="majorHAnsi" w:cs="Calibri"/>
          <w:szCs w:val="24"/>
        </w:rPr>
        <w:t>Objednatel je povinen převzít plnění předmětu Smlouvy od Objednatele.</w:t>
      </w:r>
    </w:p>
    <w:p w:rsidR="00085D1D" w:rsidRPr="00785EAB" w:rsidRDefault="00085D1D" w:rsidP="00085D1D">
      <w:pPr>
        <w:pStyle w:val="Normln1"/>
        <w:widowControl w:val="0"/>
        <w:numPr>
          <w:ilvl w:val="0"/>
          <w:numId w:val="17"/>
        </w:numPr>
        <w:shd w:val="clear" w:color="auto" w:fill="FFFFFF"/>
        <w:spacing w:before="60" w:after="120" w:line="288" w:lineRule="auto"/>
        <w:jc w:val="both"/>
        <w:rPr>
          <w:rFonts w:asciiTheme="majorHAnsi" w:hAnsiTheme="majorHAnsi" w:cs="Calibri"/>
          <w:szCs w:val="24"/>
        </w:rPr>
      </w:pPr>
      <w:r w:rsidRPr="00785EAB">
        <w:rPr>
          <w:rFonts w:asciiTheme="majorHAnsi" w:hAnsiTheme="majorHAnsi" w:cs="Calibri"/>
          <w:szCs w:val="24"/>
        </w:rPr>
        <w:lastRenderedPageBreak/>
        <w:t>Objednatel je povinen zajistit kontrolu plnění předmětu Smlouvy do pěti pracovních dnů od jeho převzetí. V případě, že převzaté plnění předmětu Smlouvy neodpovídá dohodnutému rozsahu a kvalitě podle zjištění Objednatele v procesu kontroly, je Objednatel povinen tuto skutečnost oznámit Poskytovateli ve formě písemných připomínek (současně zaznamenaných v příslušném Akceptačním protokolu) nejpozději v pátý den od přijetí, jinak se k připomínkám nepřihlíží.</w:t>
      </w:r>
    </w:p>
    <w:p w:rsidR="00085D1D" w:rsidRPr="00785EAB" w:rsidRDefault="00085D1D" w:rsidP="00085D1D">
      <w:pPr>
        <w:pStyle w:val="Normln1"/>
        <w:widowControl w:val="0"/>
        <w:numPr>
          <w:ilvl w:val="0"/>
          <w:numId w:val="17"/>
        </w:numPr>
        <w:shd w:val="clear" w:color="auto" w:fill="FFFFFF"/>
        <w:spacing w:before="60" w:after="120" w:line="288" w:lineRule="auto"/>
        <w:jc w:val="both"/>
        <w:rPr>
          <w:rFonts w:asciiTheme="majorHAnsi" w:hAnsiTheme="majorHAnsi" w:cs="Calibri"/>
          <w:szCs w:val="24"/>
        </w:rPr>
      </w:pPr>
      <w:r w:rsidRPr="00785EAB">
        <w:rPr>
          <w:rFonts w:asciiTheme="majorHAnsi" w:hAnsiTheme="majorHAnsi" w:cs="Calibri"/>
          <w:szCs w:val="24"/>
        </w:rPr>
        <w:t>V případě uplatnění oprávněných připomínek ze strany Objednatele ve stanovené lhůtě je Poskytovatel povinen vypořádat připomínky Objednatele včetně případného odstranění zjištěných vad do pěti pracovních dnů od jejich písemného doručení. Akceptační řízení v takovém případě je ukončeno dnem doručení vypořádání a zapracování oprávněných připomínek do plnění předmětu Smlouvy Objednateli. V případě, že se připomínky Objednatele věcně netýkají předmětu této Smlouvy, Akceptační řízení se považuje za ukončené doručením písemného oznámení Poskytovatele Objednateli o neopodstatněnosti připomínek,</w:t>
      </w:r>
    </w:p>
    <w:p w:rsidR="00085D1D" w:rsidRPr="00785EAB" w:rsidRDefault="00085D1D" w:rsidP="00085D1D">
      <w:pPr>
        <w:pStyle w:val="Normln1"/>
        <w:widowControl w:val="0"/>
        <w:numPr>
          <w:ilvl w:val="0"/>
          <w:numId w:val="17"/>
        </w:numPr>
        <w:shd w:val="clear" w:color="auto" w:fill="FFFFFF"/>
        <w:spacing w:before="60" w:after="120" w:line="288" w:lineRule="auto"/>
        <w:jc w:val="both"/>
        <w:rPr>
          <w:rFonts w:asciiTheme="majorHAnsi" w:hAnsiTheme="majorHAnsi" w:cs="Calibri"/>
          <w:szCs w:val="24"/>
        </w:rPr>
      </w:pPr>
      <w:r w:rsidRPr="00785EAB">
        <w:rPr>
          <w:rFonts w:asciiTheme="majorHAnsi" w:hAnsiTheme="majorHAnsi" w:cs="Calibri"/>
          <w:szCs w:val="24"/>
        </w:rPr>
        <w:t>V případě, že Objednatel nevznese písemné připomínky k převzatému plnění předmětu Smlouvy do pěti pracovních dnů od jeho odevzdání ze strany Poskytovatele, Akceptační řízení je v takovém případě ukončeno ke dni marného uplynutí uvedené lhůty, přičemž odevzdané plnění předmětu Smlouvy se považuje ze strany Objednatele za akceptované bez připomínek, tj. jako plnění bez vad.</w:t>
      </w:r>
    </w:p>
    <w:p w:rsidR="00085D1D" w:rsidRPr="00785EAB" w:rsidRDefault="00085D1D" w:rsidP="00085D1D">
      <w:pPr>
        <w:pStyle w:val="Normln1"/>
        <w:widowControl w:val="0"/>
        <w:numPr>
          <w:ilvl w:val="1"/>
          <w:numId w:val="6"/>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Předmět Smlouvy je považován za úplně splněný podepsáním Akceptačního protokolu Objednatelem nebo posledním dnem lhůty podle čl. VI odst. 3. </w:t>
      </w:r>
    </w:p>
    <w:p w:rsidR="00085D1D" w:rsidRPr="00785EAB" w:rsidRDefault="00085D1D" w:rsidP="00085D1D">
      <w:pPr>
        <w:pStyle w:val="Normln1"/>
        <w:widowControl w:val="0"/>
        <w:numPr>
          <w:ilvl w:val="1"/>
          <w:numId w:val="6"/>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Plnění předmětu Smlouvy bude objednateli předáno v dohodnutém termínu, a to nejpozději do 20 pracovních dnů od posledního kontrolního úkonu.</w:t>
      </w:r>
    </w:p>
    <w:p w:rsidR="00085D1D" w:rsidRPr="00785EAB" w:rsidRDefault="00085D1D" w:rsidP="00085D1D">
      <w:pPr>
        <w:pStyle w:val="Normln1"/>
        <w:widowControl w:val="0"/>
        <w:numPr>
          <w:ilvl w:val="1"/>
          <w:numId w:val="6"/>
        </w:numPr>
        <w:shd w:val="clear" w:color="auto" w:fill="FFFFFF"/>
        <w:spacing w:before="60" w:after="120" w:line="288" w:lineRule="auto"/>
        <w:ind w:left="567" w:hanging="567"/>
        <w:jc w:val="both"/>
        <w:rPr>
          <w:rFonts w:asciiTheme="majorHAnsi" w:hAnsiTheme="majorHAnsi" w:cs="Calibri"/>
          <w:szCs w:val="24"/>
        </w:rPr>
      </w:pPr>
      <w:r w:rsidRPr="00785EAB">
        <w:rPr>
          <w:rFonts w:asciiTheme="majorHAnsi" w:hAnsiTheme="majorHAnsi" w:cs="Calibri"/>
          <w:szCs w:val="24"/>
        </w:rPr>
        <w:t>Poskytovatel je oprávněn prodloužit termín dodávky dílčího plnění, pokud dojde k nedodržení závazků Objednatele podle této Smlouvy nebo z důvodů vyšší moci. Termín bude prodloužen o délku zdržení ze strany Objednatele nebo vyšší moci na základě písemného oznámení s uvedením důvodu. O posunutí plnění a jeho délky bude Objednatel informován.</w:t>
      </w:r>
    </w:p>
    <w:p w:rsidR="00085D1D" w:rsidRPr="00785EAB" w:rsidRDefault="00085D1D" w:rsidP="00085D1D">
      <w:pPr>
        <w:rPr>
          <w:rFonts w:asciiTheme="majorHAnsi" w:hAnsiTheme="majorHAnsi" w:cs="Calibri"/>
          <w:sz w:val="24"/>
          <w:highlight w:val="yellow"/>
        </w:rPr>
      </w:pPr>
    </w:p>
    <w:p w:rsidR="00085D1D" w:rsidRPr="00785EAB" w:rsidRDefault="00085D1D" w:rsidP="00085D1D">
      <w:pPr>
        <w:pStyle w:val="Titulek"/>
        <w:spacing w:line="288" w:lineRule="auto"/>
        <w:jc w:val="center"/>
        <w:rPr>
          <w:rFonts w:asciiTheme="majorHAnsi" w:hAnsiTheme="majorHAnsi" w:cs="Calibri"/>
          <w:sz w:val="24"/>
          <w:szCs w:val="24"/>
        </w:rPr>
      </w:pPr>
      <w:r w:rsidRPr="00785EAB">
        <w:rPr>
          <w:rFonts w:asciiTheme="majorHAnsi" w:hAnsiTheme="majorHAnsi" w:cs="Calibri"/>
          <w:sz w:val="24"/>
          <w:szCs w:val="24"/>
        </w:rPr>
        <w:t>Článek VII.</w:t>
      </w:r>
    </w:p>
    <w:p w:rsidR="00085D1D" w:rsidRPr="00785EAB" w:rsidRDefault="00085D1D" w:rsidP="00085D1D">
      <w:pPr>
        <w:pStyle w:val="NadpisPoznmky"/>
        <w:spacing w:after="120" w:line="288" w:lineRule="auto"/>
        <w:rPr>
          <w:rFonts w:asciiTheme="majorHAnsi" w:hAnsiTheme="majorHAnsi" w:cs="Calibri"/>
          <w:sz w:val="24"/>
          <w:szCs w:val="24"/>
        </w:rPr>
      </w:pPr>
      <w:r w:rsidRPr="00785EAB">
        <w:rPr>
          <w:rFonts w:asciiTheme="majorHAnsi" w:hAnsiTheme="majorHAnsi" w:cs="Calibri"/>
          <w:sz w:val="24"/>
          <w:szCs w:val="24"/>
        </w:rPr>
        <w:t>Odpovědnost za škodu</w:t>
      </w:r>
    </w:p>
    <w:p w:rsidR="00085D1D" w:rsidRPr="00785EAB" w:rsidRDefault="00085D1D" w:rsidP="00085D1D">
      <w:pPr>
        <w:pStyle w:val="Normln1"/>
        <w:widowControl w:val="0"/>
        <w:numPr>
          <w:ilvl w:val="1"/>
          <w:numId w:val="1"/>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Poskytovatel odpovídá za případnou škodu, která jeho činností vznikne. Poskytovatel plně odpovídá za plnění této smlouvy rovněž v případě, že příslušnou část plnění poskytuje prostřednictvím třetí osoby (poddodavatele).</w:t>
      </w:r>
    </w:p>
    <w:p w:rsidR="00085D1D" w:rsidRPr="00785EAB" w:rsidRDefault="00085D1D" w:rsidP="00085D1D">
      <w:pPr>
        <w:pStyle w:val="Normln1"/>
        <w:widowControl w:val="0"/>
        <w:numPr>
          <w:ilvl w:val="1"/>
          <w:numId w:val="1"/>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lastRenderedPageBreak/>
        <w:t>Žádná ze smluvních stran neodpovídá za škodu, která vznikla v důsledku věcně nesprávného nebo jinak chybného zadání, které obdržela od druhé smluvní strany.</w:t>
      </w:r>
    </w:p>
    <w:p w:rsidR="00085D1D" w:rsidRPr="00785EAB" w:rsidRDefault="00085D1D" w:rsidP="00085D1D">
      <w:pPr>
        <w:pStyle w:val="Normln1"/>
        <w:widowControl w:val="0"/>
        <w:numPr>
          <w:ilvl w:val="1"/>
          <w:numId w:val="1"/>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Žádná ze smluvních stran není odpovědna za škodu způsobenou prodlením druhé smluvní strany s jejím vlastním plněním. </w:t>
      </w:r>
    </w:p>
    <w:p w:rsidR="00085D1D" w:rsidRPr="00785EAB" w:rsidRDefault="00085D1D" w:rsidP="00085D1D">
      <w:pPr>
        <w:pStyle w:val="Normln1"/>
        <w:widowControl w:val="0"/>
        <w:numPr>
          <w:ilvl w:val="1"/>
          <w:numId w:val="1"/>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rsidR="00085D1D" w:rsidRPr="00785EAB" w:rsidRDefault="00085D1D" w:rsidP="00085D1D">
      <w:pPr>
        <w:pStyle w:val="Titulek"/>
        <w:spacing w:line="288" w:lineRule="auto"/>
        <w:jc w:val="center"/>
        <w:rPr>
          <w:rFonts w:asciiTheme="majorHAnsi" w:hAnsiTheme="majorHAnsi" w:cs="Calibri"/>
          <w:sz w:val="24"/>
          <w:szCs w:val="24"/>
        </w:rPr>
      </w:pPr>
    </w:p>
    <w:p w:rsidR="00085D1D" w:rsidRPr="00785EAB" w:rsidRDefault="00085D1D" w:rsidP="00085D1D">
      <w:pPr>
        <w:pStyle w:val="Titulek"/>
        <w:spacing w:line="288" w:lineRule="auto"/>
        <w:jc w:val="center"/>
        <w:rPr>
          <w:rFonts w:asciiTheme="majorHAnsi" w:hAnsiTheme="majorHAnsi" w:cs="Calibri"/>
          <w:sz w:val="24"/>
          <w:szCs w:val="24"/>
        </w:rPr>
      </w:pPr>
      <w:r w:rsidRPr="00785EAB">
        <w:rPr>
          <w:rFonts w:asciiTheme="majorHAnsi" w:hAnsiTheme="majorHAnsi" w:cs="Calibri"/>
          <w:sz w:val="24"/>
          <w:szCs w:val="24"/>
        </w:rPr>
        <w:t>Článek VIII.</w:t>
      </w:r>
      <w:bookmarkEnd w:id="9"/>
    </w:p>
    <w:p w:rsidR="00085D1D" w:rsidRPr="00785EAB" w:rsidRDefault="00085D1D" w:rsidP="00085D1D">
      <w:pPr>
        <w:pStyle w:val="Titulek"/>
        <w:spacing w:line="288" w:lineRule="auto"/>
        <w:jc w:val="center"/>
        <w:rPr>
          <w:rFonts w:asciiTheme="majorHAnsi" w:hAnsiTheme="majorHAnsi" w:cs="Calibri"/>
          <w:sz w:val="24"/>
          <w:szCs w:val="24"/>
        </w:rPr>
      </w:pPr>
      <w:bookmarkStart w:id="10" w:name="_Toc433768409"/>
      <w:r w:rsidRPr="00785EAB">
        <w:rPr>
          <w:rFonts w:asciiTheme="majorHAnsi" w:hAnsiTheme="majorHAnsi" w:cs="Calibri"/>
          <w:sz w:val="24"/>
          <w:szCs w:val="24"/>
        </w:rPr>
        <w:t>Sankce</w:t>
      </w:r>
      <w:bookmarkEnd w:id="10"/>
    </w:p>
    <w:p w:rsidR="00085D1D" w:rsidRPr="00785EAB" w:rsidRDefault="00085D1D" w:rsidP="00085D1D">
      <w:pPr>
        <w:pStyle w:val="Odstavecseseznamem"/>
        <w:widowControl/>
        <w:numPr>
          <w:ilvl w:val="0"/>
          <w:numId w:val="7"/>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pStyle w:val="Odstavecseseznamem"/>
        <w:widowControl/>
        <w:numPr>
          <w:ilvl w:val="0"/>
          <w:numId w:val="7"/>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widowControl/>
        <w:numPr>
          <w:ilvl w:val="1"/>
          <w:numId w:val="7"/>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V případě, že poskytovatel bude v prodlení s jakýmkoli termínem plnění uvedeným v této smlouvě a jejích přílohách, je povinen zaplatit objednateli smluvní pokutu ve výši 500,- Kč za každý započatý den prodlení.  </w:t>
      </w:r>
    </w:p>
    <w:p w:rsidR="00085D1D" w:rsidRPr="00785EAB" w:rsidRDefault="00085D1D" w:rsidP="00085D1D">
      <w:pPr>
        <w:widowControl/>
        <w:numPr>
          <w:ilvl w:val="1"/>
          <w:numId w:val="7"/>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V případě prodlení Objednatele s úhradou řádně vystavené faktury, je poskytovatel oprávněn účtovat objednateli úrok z prodlení v zákonné výši z fakturované částky za každý započatý den prodlení. </w:t>
      </w:r>
    </w:p>
    <w:p w:rsidR="00085D1D" w:rsidRPr="00785EAB" w:rsidRDefault="00085D1D" w:rsidP="00085D1D">
      <w:pPr>
        <w:widowControl/>
        <w:numPr>
          <w:ilvl w:val="1"/>
          <w:numId w:val="7"/>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Smluvní pokuta a úrok z prodlení jsou splatné do 15 kalendářních dnů ode dne doručení jejich vyúčtování. </w:t>
      </w:r>
    </w:p>
    <w:p w:rsidR="00085D1D" w:rsidRPr="00785EAB" w:rsidRDefault="00085D1D" w:rsidP="00085D1D">
      <w:pPr>
        <w:widowControl/>
        <w:numPr>
          <w:ilvl w:val="1"/>
          <w:numId w:val="7"/>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Zaplacením smluvní pokuty není dotčeno právo oprávněné strany na náhradu škody vzniklé v příčinné souvislosti s porušením smluvní povinnosti, za jejíž nedodržení je smluvní pokuta vymáhána a účtována. </w:t>
      </w:r>
    </w:p>
    <w:p w:rsidR="00085D1D" w:rsidRPr="00785EAB" w:rsidRDefault="00085D1D" w:rsidP="00085D1D">
      <w:pPr>
        <w:pStyle w:val="Zpat"/>
        <w:tabs>
          <w:tab w:val="clear" w:pos="4536"/>
          <w:tab w:val="clear" w:pos="9072"/>
        </w:tabs>
        <w:spacing w:after="120" w:line="288" w:lineRule="auto"/>
        <w:jc w:val="center"/>
        <w:rPr>
          <w:rFonts w:asciiTheme="majorHAnsi" w:hAnsiTheme="majorHAnsi" w:cs="Calibri"/>
          <w:b/>
          <w:sz w:val="24"/>
        </w:rPr>
      </w:pPr>
      <w:bookmarkStart w:id="11" w:name="_Toc433768416"/>
    </w:p>
    <w:p w:rsidR="00085D1D" w:rsidRPr="00785EAB" w:rsidRDefault="00085D1D" w:rsidP="00085D1D">
      <w:pPr>
        <w:pStyle w:val="Zpat"/>
        <w:tabs>
          <w:tab w:val="clear" w:pos="4536"/>
          <w:tab w:val="clear" w:pos="9072"/>
        </w:tabs>
        <w:spacing w:line="288" w:lineRule="auto"/>
        <w:jc w:val="center"/>
        <w:rPr>
          <w:rFonts w:asciiTheme="majorHAnsi" w:hAnsiTheme="majorHAnsi" w:cs="Calibri"/>
          <w:b/>
          <w:sz w:val="24"/>
        </w:rPr>
      </w:pPr>
      <w:r w:rsidRPr="00785EAB">
        <w:rPr>
          <w:rFonts w:asciiTheme="majorHAnsi" w:hAnsiTheme="majorHAnsi" w:cs="Calibri"/>
          <w:b/>
          <w:sz w:val="24"/>
        </w:rPr>
        <w:t>Článek IX.</w:t>
      </w:r>
      <w:bookmarkEnd w:id="11"/>
    </w:p>
    <w:p w:rsidR="00085D1D" w:rsidRPr="00785EAB" w:rsidRDefault="00085D1D" w:rsidP="00085D1D">
      <w:pPr>
        <w:pStyle w:val="Titulek"/>
        <w:spacing w:line="288" w:lineRule="auto"/>
        <w:jc w:val="center"/>
        <w:rPr>
          <w:rFonts w:asciiTheme="majorHAnsi" w:hAnsiTheme="majorHAnsi" w:cs="Calibri"/>
          <w:sz w:val="24"/>
          <w:szCs w:val="24"/>
          <w:highlight w:val="yellow"/>
        </w:rPr>
      </w:pPr>
      <w:bookmarkStart w:id="12" w:name="_Toc433768417"/>
      <w:r w:rsidRPr="00785EAB">
        <w:rPr>
          <w:rFonts w:asciiTheme="majorHAnsi" w:hAnsiTheme="majorHAnsi" w:cs="Calibri"/>
          <w:sz w:val="24"/>
          <w:szCs w:val="24"/>
        </w:rPr>
        <w:t>Platnost smlouvy</w:t>
      </w:r>
      <w:bookmarkEnd w:id="12"/>
      <w:r w:rsidRPr="00785EAB">
        <w:rPr>
          <w:rFonts w:asciiTheme="majorHAnsi" w:hAnsiTheme="majorHAnsi" w:cs="Calibri"/>
          <w:sz w:val="24"/>
          <w:szCs w:val="24"/>
          <w:highlight w:val="yellow"/>
        </w:rPr>
        <w:t xml:space="preserve"> </w:t>
      </w:r>
    </w:p>
    <w:p w:rsidR="00085D1D" w:rsidRPr="00785EAB" w:rsidRDefault="00085D1D" w:rsidP="00085D1D">
      <w:pPr>
        <w:pStyle w:val="Odstavecseseznamem"/>
        <w:widowControl/>
        <w:numPr>
          <w:ilvl w:val="0"/>
          <w:numId w:val="8"/>
        </w:numPr>
        <w:overflowPunct w:val="0"/>
        <w:autoSpaceDE w:val="0"/>
        <w:autoSpaceDN w:val="0"/>
        <w:spacing w:before="60" w:after="120" w:line="288" w:lineRule="auto"/>
        <w:contextualSpacing w:val="0"/>
        <w:rPr>
          <w:rFonts w:asciiTheme="majorHAnsi" w:hAnsiTheme="majorHAnsi" w:cs="Calibri"/>
          <w:vanish/>
          <w:sz w:val="24"/>
          <w:highlight w:val="yellow"/>
        </w:rPr>
      </w:pPr>
    </w:p>
    <w:p w:rsidR="00085D1D" w:rsidRPr="00785EAB" w:rsidRDefault="00085D1D" w:rsidP="00085D1D">
      <w:pPr>
        <w:pStyle w:val="Odstavecseseznamem"/>
        <w:widowControl/>
        <w:numPr>
          <w:ilvl w:val="0"/>
          <w:numId w:val="8"/>
        </w:numPr>
        <w:overflowPunct w:val="0"/>
        <w:autoSpaceDE w:val="0"/>
        <w:autoSpaceDN w:val="0"/>
        <w:spacing w:before="60" w:after="120" w:line="288" w:lineRule="auto"/>
        <w:contextualSpacing w:val="0"/>
        <w:rPr>
          <w:rFonts w:asciiTheme="majorHAnsi" w:hAnsiTheme="majorHAnsi" w:cs="Calibri"/>
          <w:vanish/>
          <w:sz w:val="24"/>
          <w:highlight w:val="yellow"/>
        </w:rPr>
      </w:pPr>
    </w:p>
    <w:p w:rsidR="00085D1D" w:rsidRPr="00785EAB" w:rsidRDefault="00085D1D" w:rsidP="00085D1D">
      <w:pPr>
        <w:widowControl/>
        <w:numPr>
          <w:ilvl w:val="1"/>
          <w:numId w:val="8"/>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Tato smlouva se uzavírá na dobu určitou. Nabývá platnosti dnem jejího podepsání oběma smluvními stranami a je ukončena akceptací výstupu a uhrazením odměny Poskytovateli.</w:t>
      </w:r>
    </w:p>
    <w:p w:rsidR="00085D1D" w:rsidRPr="00785EAB" w:rsidRDefault="00085D1D" w:rsidP="00085D1D">
      <w:pPr>
        <w:pStyle w:val="Zkladntext"/>
        <w:spacing w:line="288" w:lineRule="auto"/>
        <w:ind w:left="360"/>
        <w:rPr>
          <w:rFonts w:asciiTheme="majorHAnsi" w:hAnsiTheme="majorHAnsi" w:cs="Calibri"/>
          <w:highlight w:val="yellow"/>
        </w:rPr>
      </w:pPr>
    </w:p>
    <w:p w:rsidR="00085D1D" w:rsidRPr="00785EAB" w:rsidRDefault="00085D1D" w:rsidP="00085D1D">
      <w:pPr>
        <w:pStyle w:val="Zpat"/>
        <w:tabs>
          <w:tab w:val="clear" w:pos="4536"/>
          <w:tab w:val="clear" w:pos="9072"/>
        </w:tabs>
        <w:spacing w:line="288" w:lineRule="auto"/>
        <w:jc w:val="center"/>
        <w:rPr>
          <w:rFonts w:asciiTheme="majorHAnsi" w:hAnsiTheme="majorHAnsi" w:cs="Calibri"/>
          <w:b/>
          <w:sz w:val="24"/>
        </w:rPr>
      </w:pPr>
      <w:r w:rsidRPr="00785EAB">
        <w:rPr>
          <w:rFonts w:asciiTheme="majorHAnsi" w:hAnsiTheme="majorHAnsi" w:cs="Calibri"/>
          <w:b/>
          <w:sz w:val="24"/>
        </w:rPr>
        <w:t>Článek X.</w:t>
      </w:r>
    </w:p>
    <w:p w:rsidR="00085D1D" w:rsidRPr="00785EAB" w:rsidRDefault="00085D1D" w:rsidP="00085D1D">
      <w:pPr>
        <w:pStyle w:val="Zpat"/>
        <w:tabs>
          <w:tab w:val="clear" w:pos="4536"/>
          <w:tab w:val="clear" w:pos="9072"/>
        </w:tabs>
        <w:spacing w:line="288" w:lineRule="auto"/>
        <w:jc w:val="center"/>
        <w:rPr>
          <w:rFonts w:asciiTheme="majorHAnsi" w:hAnsiTheme="majorHAnsi" w:cs="Calibri"/>
          <w:b/>
          <w:sz w:val="24"/>
        </w:rPr>
      </w:pPr>
      <w:bookmarkStart w:id="13" w:name="_Toc286998402"/>
      <w:bookmarkStart w:id="14" w:name="_Toc287011703"/>
      <w:bookmarkStart w:id="15" w:name="_Toc289001478"/>
      <w:bookmarkStart w:id="16" w:name="_Toc311719313"/>
      <w:bookmarkStart w:id="17" w:name="_Toc312009378"/>
      <w:r w:rsidRPr="00785EAB">
        <w:rPr>
          <w:rFonts w:asciiTheme="majorHAnsi" w:hAnsiTheme="majorHAnsi" w:cs="Calibri"/>
          <w:b/>
          <w:sz w:val="24"/>
        </w:rPr>
        <w:t>Ostatní ujednání</w:t>
      </w:r>
      <w:bookmarkEnd w:id="13"/>
      <w:bookmarkEnd w:id="14"/>
      <w:bookmarkEnd w:id="15"/>
      <w:bookmarkEnd w:id="16"/>
      <w:bookmarkEnd w:id="17"/>
    </w:p>
    <w:p w:rsidR="00085D1D" w:rsidRPr="00785EAB" w:rsidRDefault="00085D1D" w:rsidP="00085D1D">
      <w:pPr>
        <w:pStyle w:val="Odstavecseseznamem"/>
        <w:widowControl/>
        <w:numPr>
          <w:ilvl w:val="0"/>
          <w:numId w:val="9"/>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pStyle w:val="Odstavecseseznamem"/>
        <w:widowControl/>
        <w:numPr>
          <w:ilvl w:val="0"/>
          <w:numId w:val="9"/>
        </w:numPr>
        <w:overflowPunct w:val="0"/>
        <w:autoSpaceDE w:val="0"/>
        <w:autoSpaceDN w:val="0"/>
        <w:spacing w:before="60" w:after="120" w:line="288" w:lineRule="auto"/>
        <w:contextualSpacing w:val="0"/>
        <w:rPr>
          <w:rFonts w:asciiTheme="majorHAnsi" w:hAnsiTheme="majorHAnsi" w:cs="Calibri"/>
          <w:vanish/>
          <w:sz w:val="24"/>
        </w:rPr>
      </w:pPr>
    </w:p>
    <w:p w:rsidR="00085D1D" w:rsidRPr="00785EAB" w:rsidRDefault="00085D1D" w:rsidP="00085D1D">
      <w:pPr>
        <w:widowControl/>
        <w:numPr>
          <w:ilvl w:val="1"/>
          <w:numId w:val="9"/>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Poskytovatel se zavazuje zachovat mlčenlivost o informacích, které mu byly Objednatelem v souvislosti s touto Smlouvou poskytnuty. Tyto povinnosti trvají i po skončení této Smlouvy. </w:t>
      </w:r>
    </w:p>
    <w:p w:rsidR="00085D1D" w:rsidRPr="00785EAB" w:rsidRDefault="00085D1D" w:rsidP="00085D1D">
      <w:pPr>
        <w:pStyle w:val="Normln1"/>
        <w:widowControl w:val="0"/>
        <w:numPr>
          <w:ilvl w:val="1"/>
          <w:numId w:val="9"/>
        </w:numPr>
        <w:shd w:val="clear" w:color="auto" w:fill="FFFFFF"/>
        <w:spacing w:after="120" w:line="288" w:lineRule="auto"/>
        <w:ind w:left="567" w:hanging="567"/>
        <w:jc w:val="both"/>
        <w:rPr>
          <w:rFonts w:asciiTheme="majorHAnsi" w:hAnsiTheme="majorHAnsi" w:cs="Calibri"/>
          <w:szCs w:val="24"/>
        </w:rPr>
      </w:pPr>
      <w:r w:rsidRPr="00785EAB">
        <w:rPr>
          <w:rFonts w:asciiTheme="majorHAnsi" w:hAnsiTheme="majorHAnsi" w:cs="Calibri"/>
          <w:szCs w:val="24"/>
        </w:rPr>
        <w:t xml:space="preserve">Poskytovatel je oprávněn zpracovávat data poskytnutá Objednatelem, při tom je povinen zacházet se všemi informacemi, které mu objednatel poskytnul, jako s informacemi </w:t>
      </w:r>
      <w:r w:rsidRPr="00785EAB">
        <w:rPr>
          <w:rFonts w:asciiTheme="majorHAnsi" w:hAnsiTheme="majorHAnsi" w:cs="Calibri"/>
          <w:szCs w:val="24"/>
        </w:rPr>
        <w:lastRenderedPageBreak/>
        <w:t>důvěrnými.</w:t>
      </w:r>
    </w:p>
    <w:p w:rsidR="00085D1D" w:rsidRPr="00785EAB" w:rsidRDefault="00085D1D" w:rsidP="00085D1D">
      <w:pPr>
        <w:widowControl/>
        <w:numPr>
          <w:ilvl w:val="1"/>
          <w:numId w:val="9"/>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Důvěrnými informacemi se pro účely této smlouvy rozumí zejména všechny informace, které se strany dozvěděly v souvislosti se Smlouvou a dalšími jednáními s druhou stranou.</w:t>
      </w:r>
    </w:p>
    <w:p w:rsidR="00085D1D" w:rsidRPr="00785EAB" w:rsidRDefault="00085D1D" w:rsidP="00085D1D">
      <w:pPr>
        <w:widowControl/>
        <w:numPr>
          <w:ilvl w:val="1"/>
          <w:numId w:val="9"/>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Povinnost mlčenlivosti o důvěrných informacích a ochrany důvěrných informací dle této Smlouvy se vztahuje na smluvní strany i na všechny třetí osoby, které některá ze smluvních stran přizve s předchozím písemným souhlasem strany druhé, byť i k parciálnímu jednání, nebo které se vzájemně se sdělovanými skutečnostmi jinak seznámí. Porušení povinnosti mlčenlivosti je podstatným porušením této Smlouvy.</w:t>
      </w:r>
    </w:p>
    <w:p w:rsidR="00085D1D" w:rsidRPr="00785EAB" w:rsidRDefault="00085D1D" w:rsidP="00085D1D">
      <w:pPr>
        <w:widowControl/>
        <w:numPr>
          <w:ilvl w:val="1"/>
          <w:numId w:val="9"/>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Poskytovatel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085D1D" w:rsidRPr="00785EAB" w:rsidRDefault="00085D1D" w:rsidP="00085D1D">
      <w:pPr>
        <w:widowControl/>
        <w:overflowPunct w:val="0"/>
        <w:autoSpaceDE w:val="0"/>
        <w:autoSpaceDN w:val="0"/>
        <w:spacing w:before="60" w:after="120" w:line="288" w:lineRule="auto"/>
        <w:ind w:left="567"/>
        <w:rPr>
          <w:rFonts w:asciiTheme="majorHAnsi" w:hAnsiTheme="majorHAnsi" w:cs="Calibri"/>
          <w:sz w:val="24"/>
        </w:rPr>
      </w:pPr>
    </w:p>
    <w:p w:rsidR="00085D1D" w:rsidRPr="00785EAB" w:rsidRDefault="00085D1D" w:rsidP="00085D1D">
      <w:pPr>
        <w:pStyle w:val="Zpat"/>
        <w:tabs>
          <w:tab w:val="clear" w:pos="4536"/>
          <w:tab w:val="clear" w:pos="9072"/>
        </w:tabs>
        <w:spacing w:line="288" w:lineRule="auto"/>
        <w:jc w:val="center"/>
        <w:rPr>
          <w:rFonts w:asciiTheme="majorHAnsi" w:hAnsiTheme="majorHAnsi" w:cs="Calibri"/>
          <w:b/>
          <w:sz w:val="24"/>
        </w:rPr>
      </w:pPr>
      <w:r w:rsidRPr="00785EAB">
        <w:rPr>
          <w:rFonts w:asciiTheme="majorHAnsi" w:hAnsiTheme="majorHAnsi" w:cs="Calibri"/>
          <w:sz w:val="24"/>
        </w:rPr>
        <w:t xml:space="preserve">  </w:t>
      </w:r>
      <w:r w:rsidRPr="00785EAB">
        <w:rPr>
          <w:rFonts w:asciiTheme="majorHAnsi" w:hAnsiTheme="majorHAnsi" w:cs="Calibri"/>
          <w:b/>
          <w:sz w:val="24"/>
        </w:rPr>
        <w:t>Článek XI.</w:t>
      </w:r>
    </w:p>
    <w:p w:rsidR="00085D1D" w:rsidRPr="00785EAB" w:rsidRDefault="00085D1D" w:rsidP="00085D1D">
      <w:pPr>
        <w:pStyle w:val="NadpisPoznmky"/>
        <w:spacing w:after="120" w:line="288" w:lineRule="auto"/>
        <w:rPr>
          <w:rFonts w:asciiTheme="majorHAnsi" w:hAnsiTheme="majorHAnsi" w:cs="Calibri"/>
          <w:sz w:val="24"/>
          <w:szCs w:val="24"/>
        </w:rPr>
      </w:pPr>
      <w:r w:rsidRPr="00785EAB">
        <w:rPr>
          <w:rFonts w:asciiTheme="majorHAnsi" w:hAnsiTheme="majorHAnsi" w:cs="Calibri"/>
          <w:sz w:val="24"/>
          <w:szCs w:val="24"/>
        </w:rPr>
        <w:t>Ukončení smlouvy</w:t>
      </w:r>
    </w:p>
    <w:p w:rsidR="00085D1D" w:rsidRPr="00785EAB" w:rsidRDefault="00085D1D" w:rsidP="00085D1D">
      <w:pPr>
        <w:pStyle w:val="Odstavecseseznamem"/>
        <w:widowControl/>
        <w:numPr>
          <w:ilvl w:val="0"/>
          <w:numId w:val="10"/>
        </w:numPr>
        <w:overflowPunct w:val="0"/>
        <w:autoSpaceDE w:val="0"/>
        <w:autoSpaceDN w:val="0"/>
        <w:spacing w:before="60" w:after="120" w:line="288" w:lineRule="auto"/>
        <w:contextualSpacing w:val="0"/>
        <w:rPr>
          <w:rFonts w:asciiTheme="majorHAnsi" w:hAnsiTheme="majorHAnsi" w:cs="Calibri"/>
          <w:vanish/>
          <w:sz w:val="24"/>
          <w:highlight w:val="yellow"/>
        </w:rPr>
      </w:pPr>
    </w:p>
    <w:p w:rsidR="00085D1D" w:rsidRPr="00785EAB" w:rsidRDefault="00085D1D" w:rsidP="00085D1D">
      <w:pPr>
        <w:pStyle w:val="Odstavecseseznamem"/>
        <w:widowControl/>
        <w:numPr>
          <w:ilvl w:val="0"/>
          <w:numId w:val="10"/>
        </w:numPr>
        <w:overflowPunct w:val="0"/>
        <w:autoSpaceDE w:val="0"/>
        <w:autoSpaceDN w:val="0"/>
        <w:spacing w:before="60" w:after="120" w:line="288" w:lineRule="auto"/>
        <w:contextualSpacing w:val="0"/>
        <w:rPr>
          <w:rFonts w:asciiTheme="majorHAnsi" w:hAnsiTheme="majorHAnsi" w:cs="Calibri"/>
          <w:vanish/>
          <w:sz w:val="24"/>
          <w:highlight w:val="yellow"/>
        </w:rPr>
      </w:pPr>
    </w:p>
    <w:p w:rsidR="00085D1D" w:rsidRPr="00785EAB" w:rsidRDefault="00085D1D" w:rsidP="00085D1D">
      <w:pPr>
        <w:widowControl/>
        <w:numPr>
          <w:ilvl w:val="1"/>
          <w:numId w:val="10"/>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Tato Smlouva zaniká uplynutím doby, na kterou byla uzavřena, dohodou smluvních stran nebo odstoupením od Smlouvy.</w:t>
      </w:r>
    </w:p>
    <w:p w:rsidR="00085D1D" w:rsidRPr="00785EAB" w:rsidRDefault="00085D1D" w:rsidP="00085D1D">
      <w:pPr>
        <w:widowControl/>
        <w:numPr>
          <w:ilvl w:val="1"/>
          <w:numId w:val="10"/>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Poskytovatel je oprávněn od této Smlouvy odstoupit v případě:</w:t>
      </w:r>
    </w:p>
    <w:p w:rsidR="00085D1D" w:rsidRPr="00785EAB" w:rsidRDefault="00085D1D" w:rsidP="00085D1D">
      <w:pPr>
        <w:widowControl/>
        <w:numPr>
          <w:ilvl w:val="2"/>
          <w:numId w:val="10"/>
        </w:numPr>
        <w:overflowPunct w:val="0"/>
        <w:autoSpaceDE w:val="0"/>
        <w:autoSpaceDN w:val="0"/>
        <w:spacing w:before="60" w:after="120" w:line="288" w:lineRule="auto"/>
        <w:ind w:left="1021" w:hanging="57"/>
        <w:rPr>
          <w:rFonts w:asciiTheme="majorHAnsi" w:hAnsiTheme="majorHAnsi" w:cs="Calibri"/>
          <w:sz w:val="24"/>
        </w:rPr>
      </w:pPr>
      <w:r w:rsidRPr="00785EAB">
        <w:rPr>
          <w:rFonts w:asciiTheme="majorHAnsi" w:hAnsiTheme="majorHAnsi" w:cs="Calibri"/>
          <w:sz w:val="24"/>
        </w:rPr>
        <w:t>že mu Objednatel nedodá řádně a včas dokumenty potřebné na vypracování, dopracování služeb, které jsou předmětem Smlouvy;</w:t>
      </w:r>
    </w:p>
    <w:p w:rsidR="00085D1D" w:rsidRPr="00785EAB" w:rsidRDefault="00085D1D" w:rsidP="00085D1D">
      <w:pPr>
        <w:widowControl/>
        <w:numPr>
          <w:ilvl w:val="2"/>
          <w:numId w:val="10"/>
        </w:numPr>
        <w:overflowPunct w:val="0"/>
        <w:autoSpaceDE w:val="0"/>
        <w:autoSpaceDN w:val="0"/>
        <w:spacing w:before="60" w:after="120" w:line="288" w:lineRule="auto"/>
        <w:ind w:left="1021" w:hanging="57"/>
        <w:rPr>
          <w:rFonts w:asciiTheme="majorHAnsi" w:hAnsiTheme="majorHAnsi" w:cs="Calibri"/>
          <w:sz w:val="24"/>
        </w:rPr>
      </w:pPr>
      <w:r w:rsidRPr="00785EAB">
        <w:rPr>
          <w:rFonts w:asciiTheme="majorHAnsi" w:hAnsiTheme="majorHAnsi" w:cs="Calibri"/>
          <w:sz w:val="24"/>
        </w:rPr>
        <w:t>prodlení Poskytovatele s jakoukoliv platbou podle této Smlouvy přesahující čtrnáct dnů.</w:t>
      </w:r>
    </w:p>
    <w:p w:rsidR="00085D1D" w:rsidRPr="00785EAB" w:rsidRDefault="00085D1D" w:rsidP="00085D1D">
      <w:pPr>
        <w:widowControl/>
        <w:numPr>
          <w:ilvl w:val="1"/>
          <w:numId w:val="10"/>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Objednatel má právo od této Smlouvy odstoupit v případě:</w:t>
      </w:r>
    </w:p>
    <w:p w:rsidR="00085D1D" w:rsidRPr="00785EAB" w:rsidRDefault="00085D1D" w:rsidP="00085D1D">
      <w:pPr>
        <w:widowControl/>
        <w:numPr>
          <w:ilvl w:val="2"/>
          <w:numId w:val="10"/>
        </w:numPr>
        <w:overflowPunct w:val="0"/>
        <w:autoSpaceDE w:val="0"/>
        <w:autoSpaceDN w:val="0"/>
        <w:spacing w:before="60" w:after="120" w:line="288" w:lineRule="auto"/>
        <w:ind w:left="1021" w:hanging="57"/>
        <w:rPr>
          <w:rFonts w:asciiTheme="majorHAnsi" w:hAnsiTheme="majorHAnsi" w:cs="Calibri"/>
          <w:sz w:val="24"/>
        </w:rPr>
      </w:pPr>
      <w:r w:rsidRPr="00785EAB">
        <w:rPr>
          <w:rFonts w:asciiTheme="majorHAnsi" w:hAnsiTheme="majorHAnsi" w:cs="Calibri"/>
          <w:sz w:val="24"/>
        </w:rPr>
        <w:t>že Poskytovatel hrubě porušuje svoje povinnosti podle této Smlouvy, zejména pokud Objednateli neposkytne dohodnuté služby řádně a včas a ani po písemné výzvě Objednatele, ve které na splnění povinnosti Poskytovateli poskytl přiměřenou dodatečnou lhůtu;</w:t>
      </w:r>
    </w:p>
    <w:p w:rsidR="00085D1D" w:rsidRPr="00785EAB" w:rsidRDefault="00085D1D" w:rsidP="00085D1D">
      <w:pPr>
        <w:widowControl/>
        <w:numPr>
          <w:ilvl w:val="2"/>
          <w:numId w:val="10"/>
        </w:numPr>
        <w:overflowPunct w:val="0"/>
        <w:autoSpaceDE w:val="0"/>
        <w:autoSpaceDN w:val="0"/>
        <w:spacing w:before="60" w:after="120" w:line="288" w:lineRule="auto"/>
        <w:ind w:left="1021" w:hanging="57"/>
        <w:rPr>
          <w:rFonts w:asciiTheme="majorHAnsi" w:hAnsiTheme="majorHAnsi" w:cs="Calibri"/>
          <w:sz w:val="24"/>
        </w:rPr>
      </w:pPr>
      <w:r w:rsidRPr="00785EAB">
        <w:rPr>
          <w:rFonts w:asciiTheme="majorHAnsi" w:hAnsiTheme="majorHAnsi" w:cs="Calibri"/>
          <w:sz w:val="24"/>
        </w:rPr>
        <w:t>porušení závazku mlčenlivosti podle čl. X. této Smlouvy Poskytovatelem.</w:t>
      </w:r>
    </w:p>
    <w:p w:rsidR="00085D1D" w:rsidRPr="00785EAB" w:rsidRDefault="00085D1D" w:rsidP="00085D1D">
      <w:pPr>
        <w:widowControl/>
        <w:numPr>
          <w:ilvl w:val="1"/>
          <w:numId w:val="10"/>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Odstoupení musí být písemné a musí být doručeno druhé Smluvní straně. V odstoupení se musí uvést důvod odstoupení tak, aby byl jednoznačně identifikovatelný a nezaměnitelný s jiným důvodem, jinak je odstoupení neplatné. Odstoupení je účinné dnem doručení smluvní straně. </w:t>
      </w:r>
    </w:p>
    <w:p w:rsidR="00085D1D" w:rsidRPr="00785EAB" w:rsidRDefault="00085D1D" w:rsidP="00085D1D">
      <w:pPr>
        <w:widowControl/>
        <w:numPr>
          <w:ilvl w:val="1"/>
          <w:numId w:val="10"/>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lastRenderedPageBreak/>
        <w:t>Odstoupení ze strany Objednatele není účinné dřív, než je zaplacená část odměny dle čl. IV. této Smlouvy za do té doby poskytnuté plnění ze strany Poskytovatele.</w:t>
      </w:r>
    </w:p>
    <w:p w:rsidR="00085D1D" w:rsidRPr="00785EAB" w:rsidRDefault="00085D1D" w:rsidP="00085D1D">
      <w:pPr>
        <w:spacing w:after="120" w:line="288" w:lineRule="auto"/>
        <w:ind w:hanging="360"/>
        <w:rPr>
          <w:rFonts w:asciiTheme="majorHAnsi" w:hAnsiTheme="majorHAnsi" w:cs="Calibri"/>
          <w:sz w:val="24"/>
        </w:rPr>
      </w:pPr>
    </w:p>
    <w:p w:rsidR="00085D1D" w:rsidRPr="00785EAB" w:rsidRDefault="00085D1D" w:rsidP="00085D1D">
      <w:pPr>
        <w:pStyle w:val="Zpat"/>
        <w:tabs>
          <w:tab w:val="clear" w:pos="4536"/>
          <w:tab w:val="clear" w:pos="9072"/>
        </w:tabs>
        <w:spacing w:line="288" w:lineRule="auto"/>
        <w:jc w:val="center"/>
        <w:rPr>
          <w:rFonts w:asciiTheme="majorHAnsi" w:hAnsiTheme="majorHAnsi" w:cs="Calibri"/>
          <w:b/>
          <w:sz w:val="24"/>
        </w:rPr>
      </w:pPr>
      <w:r w:rsidRPr="00785EAB">
        <w:rPr>
          <w:rFonts w:asciiTheme="majorHAnsi" w:hAnsiTheme="majorHAnsi" w:cs="Calibri"/>
          <w:b/>
          <w:sz w:val="24"/>
        </w:rPr>
        <w:t>Článek XII.</w:t>
      </w:r>
    </w:p>
    <w:p w:rsidR="00085D1D" w:rsidRPr="00785EAB" w:rsidRDefault="00085D1D" w:rsidP="00085D1D">
      <w:pPr>
        <w:pStyle w:val="NadpisPoznmky"/>
        <w:spacing w:after="120" w:line="288" w:lineRule="auto"/>
        <w:rPr>
          <w:rFonts w:asciiTheme="majorHAnsi" w:hAnsiTheme="majorHAnsi" w:cs="Calibri"/>
          <w:sz w:val="24"/>
          <w:szCs w:val="24"/>
        </w:rPr>
      </w:pPr>
      <w:r w:rsidRPr="00785EAB">
        <w:rPr>
          <w:rFonts w:asciiTheme="majorHAnsi" w:hAnsiTheme="majorHAnsi" w:cs="Calibri"/>
          <w:sz w:val="24"/>
          <w:szCs w:val="24"/>
        </w:rPr>
        <w:t>Závěrečná ustanovení</w:t>
      </w:r>
    </w:p>
    <w:p w:rsidR="00085D1D" w:rsidRPr="00785EAB" w:rsidRDefault="00085D1D" w:rsidP="00085D1D">
      <w:pPr>
        <w:widowControl/>
        <w:overflowPunct w:val="0"/>
        <w:autoSpaceDE w:val="0"/>
        <w:autoSpaceDN w:val="0"/>
        <w:spacing w:before="60" w:after="120" w:line="288" w:lineRule="auto"/>
        <w:rPr>
          <w:rFonts w:asciiTheme="majorHAnsi" w:hAnsiTheme="majorHAnsi" w:cs="Calibri"/>
          <w:vanish/>
          <w:sz w:val="24"/>
        </w:rPr>
      </w:pPr>
    </w:p>
    <w:p w:rsidR="00085D1D" w:rsidRPr="00655B09" w:rsidRDefault="00085D1D" w:rsidP="00085D1D">
      <w:pPr>
        <w:widowControl/>
        <w:overflowPunct w:val="0"/>
        <w:autoSpaceDE w:val="0"/>
        <w:autoSpaceDN w:val="0"/>
        <w:spacing w:before="60" w:after="120" w:line="288" w:lineRule="auto"/>
        <w:rPr>
          <w:rFonts w:asciiTheme="majorHAnsi" w:hAnsiTheme="majorHAnsi" w:cs="Calibri"/>
          <w:vanish/>
          <w:sz w:val="24"/>
        </w:rPr>
      </w:pPr>
      <w:r>
        <w:rPr>
          <w:rFonts w:asciiTheme="majorHAnsi" w:hAnsiTheme="majorHAnsi" w:cs="Calibri"/>
          <w:vanish/>
          <w:sz w:val="24"/>
        </w:rPr>
        <w:t>12</w:t>
      </w:r>
    </w:p>
    <w:p w:rsidR="00085D1D" w:rsidRPr="00655B09" w:rsidRDefault="00085D1D" w:rsidP="00085D1D">
      <w:pPr>
        <w:pStyle w:val="Odstavecseseznamem"/>
        <w:widowControl/>
        <w:numPr>
          <w:ilvl w:val="1"/>
          <w:numId w:val="22"/>
        </w:numPr>
        <w:overflowPunct w:val="0"/>
        <w:autoSpaceDE w:val="0"/>
        <w:autoSpaceDN w:val="0"/>
        <w:spacing w:before="60" w:after="120" w:line="288" w:lineRule="auto"/>
        <w:rPr>
          <w:rFonts w:asciiTheme="majorHAnsi" w:hAnsiTheme="majorHAnsi" w:cs="Calibri"/>
          <w:sz w:val="24"/>
        </w:rPr>
      </w:pPr>
      <w:r w:rsidRPr="00655B09">
        <w:rPr>
          <w:rFonts w:asciiTheme="majorHAnsi" w:hAnsiTheme="majorHAnsi" w:cs="Calibri"/>
          <w:sz w:val="24"/>
        </w:rPr>
        <w:t xml:space="preserve">Tato smlouva, jakož i práva a povinnosti vzniklé na základě této smlouvy nebo v souvislosti s ní se řídí </w:t>
      </w:r>
      <w:r w:rsidRPr="00655B09">
        <w:rPr>
          <w:rFonts w:asciiTheme="majorHAnsi" w:hAnsiTheme="majorHAnsi" w:cs="Calibri"/>
          <w:bCs/>
          <w:snapToGrid w:val="0"/>
          <w:sz w:val="24"/>
        </w:rPr>
        <w:t>zákonem č. 89/2012 Sb., občanský zákoník, v platném znění pro tuto Smlouvu.</w:t>
      </w:r>
    </w:p>
    <w:p w:rsidR="00085D1D" w:rsidRPr="00655B09" w:rsidRDefault="00085D1D" w:rsidP="00085D1D">
      <w:pPr>
        <w:pStyle w:val="Odstavecseseznamem"/>
        <w:widowControl/>
        <w:numPr>
          <w:ilvl w:val="1"/>
          <w:numId w:val="22"/>
        </w:numPr>
        <w:overflowPunct w:val="0"/>
        <w:autoSpaceDE w:val="0"/>
        <w:autoSpaceDN w:val="0"/>
        <w:spacing w:before="60" w:after="120" w:line="288" w:lineRule="auto"/>
        <w:rPr>
          <w:rFonts w:asciiTheme="majorHAnsi" w:hAnsiTheme="majorHAnsi" w:cs="Calibri"/>
          <w:sz w:val="24"/>
        </w:rPr>
      </w:pPr>
      <w:r w:rsidRPr="00655B09">
        <w:rPr>
          <w:rFonts w:asciiTheme="majorHAnsi" w:hAnsiTheme="majorHAnsi" w:cs="Calibri"/>
          <w:sz w:val="24"/>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rsidR="00085D1D" w:rsidRPr="00785EAB" w:rsidRDefault="00085D1D" w:rsidP="00085D1D">
      <w:pPr>
        <w:widowControl/>
        <w:numPr>
          <w:ilvl w:val="1"/>
          <w:numId w:val="22"/>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p>
    <w:p w:rsidR="00085D1D" w:rsidRPr="00785EAB" w:rsidRDefault="00085D1D" w:rsidP="00085D1D">
      <w:pPr>
        <w:widowControl/>
        <w:numPr>
          <w:ilvl w:val="1"/>
          <w:numId w:val="22"/>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Nedílnou součást Smlouvy tvoří tato příloha:</w:t>
      </w:r>
    </w:p>
    <w:p w:rsidR="00085D1D" w:rsidRPr="00785EAB" w:rsidRDefault="00085D1D" w:rsidP="00085D1D">
      <w:pPr>
        <w:pStyle w:val="Zkladntext"/>
        <w:ind w:left="567"/>
        <w:jc w:val="both"/>
        <w:rPr>
          <w:rFonts w:asciiTheme="majorHAnsi" w:hAnsiTheme="majorHAnsi" w:cs="Calibri"/>
          <w:b/>
          <w:i/>
        </w:rPr>
      </w:pPr>
      <w:r w:rsidRPr="00785EAB">
        <w:rPr>
          <w:rFonts w:asciiTheme="majorHAnsi" w:hAnsiTheme="majorHAnsi" w:cs="Calibri"/>
          <w:i/>
        </w:rPr>
        <w:t>Příloha č. 1</w:t>
      </w:r>
      <w:r w:rsidRPr="00785EAB">
        <w:rPr>
          <w:rFonts w:asciiTheme="majorHAnsi" w:hAnsiTheme="majorHAnsi" w:cs="Calibri"/>
          <w:b/>
          <w:i/>
        </w:rPr>
        <w:t xml:space="preserve"> </w:t>
      </w:r>
      <w:r w:rsidRPr="00785EAB">
        <w:rPr>
          <w:rFonts w:asciiTheme="majorHAnsi" w:hAnsiTheme="majorHAnsi" w:cs="Calibri"/>
          <w:i/>
        </w:rPr>
        <w:t>– Podrobná specifikace předmětu plnění</w:t>
      </w:r>
    </w:p>
    <w:p w:rsidR="00085D1D" w:rsidRPr="00785EAB" w:rsidRDefault="00085D1D" w:rsidP="00085D1D">
      <w:pPr>
        <w:widowControl/>
        <w:numPr>
          <w:ilvl w:val="1"/>
          <w:numId w:val="22"/>
        </w:numPr>
        <w:overflowPunct w:val="0"/>
        <w:autoSpaceDE w:val="0"/>
        <w:autoSpaceDN w:val="0"/>
        <w:spacing w:before="60" w:after="120" w:line="288" w:lineRule="auto"/>
        <w:ind w:left="567" w:hanging="567"/>
        <w:rPr>
          <w:rFonts w:asciiTheme="majorHAnsi" w:hAnsiTheme="majorHAnsi" w:cs="Calibri"/>
          <w:sz w:val="24"/>
        </w:rPr>
      </w:pPr>
      <w:r w:rsidRPr="00785EAB">
        <w:rPr>
          <w:rFonts w:asciiTheme="majorHAnsi" w:hAnsiTheme="majorHAnsi" w:cs="Calibri"/>
          <w:sz w:val="24"/>
        </w:rPr>
        <w:t>Tato Smlouva je uzavřena ve dvou (2) vyhotoveních, z nichž každá strana obdrží po jednom vyhotovení.</w:t>
      </w:r>
    </w:p>
    <w:p w:rsidR="00085D1D" w:rsidRPr="00785EAB" w:rsidRDefault="00085D1D" w:rsidP="00085D1D">
      <w:pPr>
        <w:pStyle w:val="podpis1"/>
        <w:spacing w:after="120" w:line="288" w:lineRule="auto"/>
        <w:rPr>
          <w:rFonts w:asciiTheme="majorHAnsi" w:hAnsiTheme="majorHAnsi" w:cs="Calibri"/>
          <w:sz w:val="24"/>
          <w:szCs w:val="24"/>
          <w:highlight w:val="yellow"/>
        </w:rPr>
      </w:pPr>
    </w:p>
    <w:p w:rsidR="00085D1D" w:rsidRPr="00785EAB" w:rsidRDefault="00085D1D" w:rsidP="00085D1D">
      <w:pPr>
        <w:pStyle w:val="podpis1"/>
        <w:spacing w:after="120" w:line="288" w:lineRule="auto"/>
        <w:rPr>
          <w:rFonts w:asciiTheme="majorHAnsi" w:hAnsiTheme="majorHAnsi" w:cs="Calibri"/>
          <w:sz w:val="24"/>
          <w:szCs w:val="24"/>
          <w:highlight w:val="yellow"/>
        </w:rPr>
      </w:pPr>
      <w:r w:rsidRPr="00785EAB">
        <w:rPr>
          <w:rFonts w:asciiTheme="majorHAnsi" w:hAnsiTheme="majorHAnsi" w:cs="Calibri"/>
          <w:sz w:val="24"/>
          <w:szCs w:val="24"/>
        </w:rPr>
        <w:t xml:space="preserve">V Novém Jičíně dne </w:t>
      </w:r>
      <w:r w:rsidR="00CD6AA8">
        <w:rPr>
          <w:rFonts w:asciiTheme="majorHAnsi" w:hAnsiTheme="majorHAnsi" w:cs="Calibri"/>
          <w:sz w:val="24"/>
          <w:szCs w:val="24"/>
        </w:rPr>
        <w:t xml:space="preserve">20. 12. </w:t>
      </w:r>
      <w:proofErr w:type="gramStart"/>
      <w:r w:rsidR="00CD6AA8">
        <w:rPr>
          <w:rFonts w:asciiTheme="majorHAnsi" w:hAnsiTheme="majorHAnsi" w:cs="Calibri"/>
          <w:sz w:val="24"/>
          <w:szCs w:val="24"/>
        </w:rPr>
        <w:t>2016</w:t>
      </w:r>
      <w:r w:rsidRPr="00785EAB">
        <w:rPr>
          <w:rFonts w:asciiTheme="majorHAnsi" w:hAnsiTheme="majorHAnsi" w:cs="Calibri"/>
          <w:sz w:val="24"/>
          <w:szCs w:val="24"/>
        </w:rPr>
        <w:t xml:space="preserve">                                 </w:t>
      </w:r>
      <w:r w:rsidRPr="00785EAB">
        <w:rPr>
          <w:rFonts w:asciiTheme="majorHAnsi" w:hAnsiTheme="majorHAnsi" w:cs="Calibri"/>
          <w:sz w:val="24"/>
          <w:szCs w:val="24"/>
        </w:rPr>
        <w:tab/>
      </w:r>
      <w:r w:rsidRPr="00785EAB">
        <w:rPr>
          <w:rFonts w:asciiTheme="majorHAnsi" w:hAnsiTheme="majorHAnsi" w:cs="Calibri"/>
          <w:sz w:val="24"/>
          <w:szCs w:val="24"/>
        </w:rPr>
        <w:tab/>
        <w:t>V  Brně</w:t>
      </w:r>
      <w:proofErr w:type="gramEnd"/>
      <w:r w:rsidRPr="00785EAB">
        <w:rPr>
          <w:rFonts w:asciiTheme="majorHAnsi" w:hAnsiTheme="majorHAnsi" w:cs="Calibri"/>
          <w:sz w:val="24"/>
          <w:szCs w:val="24"/>
        </w:rPr>
        <w:t xml:space="preserve"> dne </w:t>
      </w:r>
      <w:r w:rsidR="00CD6AA8">
        <w:rPr>
          <w:rFonts w:asciiTheme="majorHAnsi" w:hAnsiTheme="majorHAnsi" w:cs="Calibri"/>
          <w:sz w:val="24"/>
          <w:szCs w:val="24"/>
        </w:rPr>
        <w:t>02. 01. 2017</w:t>
      </w:r>
      <w:bookmarkStart w:id="18" w:name="_GoBack"/>
      <w:bookmarkEnd w:id="18"/>
    </w:p>
    <w:p w:rsidR="00085D1D" w:rsidRPr="00785EAB" w:rsidRDefault="00085D1D" w:rsidP="00085D1D">
      <w:pPr>
        <w:pStyle w:val="Zkladntext"/>
        <w:spacing w:line="288" w:lineRule="auto"/>
        <w:rPr>
          <w:rFonts w:asciiTheme="majorHAnsi" w:hAnsiTheme="majorHAnsi" w:cs="Calibri"/>
          <w:highlight w:val="yellow"/>
        </w:rPr>
      </w:pPr>
    </w:p>
    <w:p w:rsidR="00085D1D" w:rsidRPr="00785EAB" w:rsidRDefault="00085D1D" w:rsidP="00085D1D">
      <w:pPr>
        <w:pStyle w:val="Zkladntext"/>
        <w:spacing w:line="288" w:lineRule="auto"/>
        <w:rPr>
          <w:rFonts w:asciiTheme="majorHAnsi" w:hAnsiTheme="majorHAnsi" w:cs="Calibri"/>
          <w:highlight w:val="yellow"/>
        </w:rPr>
      </w:pPr>
    </w:p>
    <w:p w:rsidR="00085D1D" w:rsidRPr="00785EAB" w:rsidRDefault="00085D1D" w:rsidP="00085D1D">
      <w:pPr>
        <w:pStyle w:val="podpisy2"/>
        <w:spacing w:line="288" w:lineRule="auto"/>
        <w:rPr>
          <w:rFonts w:asciiTheme="majorHAnsi" w:hAnsiTheme="majorHAnsi" w:cs="Calibri"/>
          <w:color w:val="auto"/>
          <w:sz w:val="24"/>
          <w:szCs w:val="24"/>
          <w:highlight w:val="yellow"/>
        </w:rPr>
      </w:pPr>
      <w:r w:rsidRPr="00785EAB">
        <w:rPr>
          <w:rFonts w:asciiTheme="majorHAnsi" w:hAnsiTheme="majorHAnsi" w:cs="Calibri"/>
          <w:color w:val="auto"/>
          <w:sz w:val="24"/>
          <w:szCs w:val="24"/>
        </w:rPr>
        <w:tab/>
        <w:t>…………………………………….</w:t>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t xml:space="preserve">   …….…………………………………</w:t>
      </w:r>
    </w:p>
    <w:p w:rsidR="00CD0AE3" w:rsidRDefault="00085D1D" w:rsidP="00085D1D">
      <w:pPr>
        <w:pStyle w:val="podpisy2"/>
        <w:spacing w:after="120" w:line="288" w:lineRule="auto"/>
        <w:rPr>
          <w:rFonts w:asciiTheme="majorHAnsi" w:hAnsiTheme="majorHAnsi" w:cs="Calibri"/>
          <w:color w:val="auto"/>
          <w:sz w:val="24"/>
          <w:szCs w:val="24"/>
        </w:rPr>
      </w:pPr>
      <w:r w:rsidRPr="00785EAB">
        <w:rPr>
          <w:rFonts w:asciiTheme="majorHAnsi" w:hAnsiTheme="majorHAnsi" w:cs="Calibri"/>
          <w:color w:val="auto"/>
          <w:sz w:val="24"/>
          <w:szCs w:val="24"/>
        </w:rPr>
        <w:tab/>
        <w:t xml:space="preserve">Ing. Václav Bukovský, ředitel </w:t>
      </w:r>
      <w:r w:rsidRPr="00785EAB">
        <w:rPr>
          <w:rFonts w:asciiTheme="majorHAnsi" w:hAnsiTheme="majorHAnsi" w:cs="Calibri"/>
          <w:color w:val="auto"/>
          <w:sz w:val="24"/>
          <w:szCs w:val="24"/>
        </w:rPr>
        <w:tab/>
      </w:r>
      <w:r w:rsidRPr="00785EAB">
        <w:rPr>
          <w:rFonts w:asciiTheme="majorHAnsi" w:hAnsiTheme="majorHAnsi" w:cs="Calibri"/>
          <w:sz w:val="24"/>
          <w:szCs w:val="24"/>
        </w:rPr>
        <w:tab/>
      </w:r>
      <w:r w:rsidRPr="00785EAB">
        <w:rPr>
          <w:rFonts w:asciiTheme="majorHAnsi" w:hAnsiTheme="majorHAnsi" w:cs="Calibri"/>
          <w:sz w:val="24"/>
          <w:szCs w:val="24"/>
        </w:rPr>
        <w:tab/>
      </w:r>
      <w:r w:rsidRPr="00785EAB">
        <w:rPr>
          <w:rFonts w:asciiTheme="majorHAnsi" w:hAnsiTheme="majorHAnsi" w:cs="Calibri"/>
          <w:sz w:val="24"/>
          <w:szCs w:val="24"/>
        </w:rPr>
        <w:tab/>
      </w:r>
      <w:r w:rsidRPr="00785EAB">
        <w:rPr>
          <w:rFonts w:asciiTheme="majorHAnsi" w:hAnsiTheme="majorHAnsi" w:cs="Calibri"/>
          <w:color w:val="auto"/>
          <w:sz w:val="24"/>
          <w:szCs w:val="24"/>
        </w:rPr>
        <w:t xml:space="preserve">Ing. Jan Obrovský, </w:t>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r>
      <w:r w:rsidRPr="00785EAB">
        <w:rPr>
          <w:rFonts w:asciiTheme="majorHAnsi" w:hAnsiTheme="majorHAnsi" w:cs="Calibri"/>
          <w:color w:val="auto"/>
          <w:sz w:val="24"/>
          <w:szCs w:val="24"/>
        </w:rPr>
        <w:tab/>
        <w:t>statutární ředitel</w:t>
      </w:r>
    </w:p>
    <w:p w:rsidR="00085D1D" w:rsidRPr="00CD0AE3" w:rsidRDefault="00CD0AE3" w:rsidP="00085D1D">
      <w:pPr>
        <w:pStyle w:val="podpisy2"/>
        <w:spacing w:after="120" w:line="288" w:lineRule="auto"/>
        <w:rPr>
          <w:rFonts w:asciiTheme="majorHAnsi" w:hAnsiTheme="majorHAnsi" w:cs="Calibri"/>
          <w:color w:val="auto"/>
          <w:sz w:val="24"/>
          <w:szCs w:val="24"/>
        </w:rPr>
      </w:pPr>
      <w:r>
        <w:rPr>
          <w:rFonts w:asciiTheme="majorHAnsi" w:hAnsiTheme="majorHAnsi" w:cs="Calibri"/>
          <w:color w:val="auto"/>
          <w:sz w:val="24"/>
          <w:szCs w:val="24"/>
        </w:rPr>
        <w:tab/>
      </w:r>
      <w:r w:rsidR="00085D1D" w:rsidRPr="00785EAB">
        <w:rPr>
          <w:rFonts w:asciiTheme="majorHAnsi" w:hAnsiTheme="majorHAnsi" w:cs="Calibri"/>
          <w:color w:val="auto"/>
          <w:sz w:val="24"/>
          <w:szCs w:val="24"/>
        </w:rPr>
        <w:t>Objednatel</w:t>
      </w:r>
      <w:r w:rsidR="00085D1D" w:rsidRPr="00785EAB">
        <w:rPr>
          <w:rFonts w:asciiTheme="majorHAnsi" w:hAnsiTheme="majorHAnsi" w:cs="Calibri"/>
          <w:b/>
          <w:sz w:val="24"/>
          <w:szCs w:val="24"/>
        </w:rPr>
        <w:tab/>
      </w:r>
      <w:r w:rsidR="00085D1D" w:rsidRPr="00785EAB">
        <w:rPr>
          <w:rFonts w:asciiTheme="majorHAnsi" w:hAnsiTheme="majorHAnsi" w:cs="Calibri"/>
          <w:b/>
          <w:sz w:val="24"/>
          <w:szCs w:val="24"/>
        </w:rPr>
        <w:tab/>
      </w:r>
      <w:r w:rsidR="00085D1D" w:rsidRPr="00785EAB">
        <w:rPr>
          <w:rFonts w:asciiTheme="majorHAnsi" w:hAnsiTheme="majorHAnsi" w:cs="Calibri"/>
          <w:b/>
          <w:sz w:val="24"/>
          <w:szCs w:val="24"/>
        </w:rPr>
        <w:tab/>
      </w:r>
      <w:r w:rsidR="00085D1D" w:rsidRPr="00785EAB">
        <w:rPr>
          <w:rFonts w:asciiTheme="majorHAnsi" w:hAnsiTheme="majorHAnsi" w:cs="Calibri"/>
          <w:b/>
          <w:sz w:val="24"/>
          <w:szCs w:val="24"/>
        </w:rPr>
        <w:tab/>
        <w:t xml:space="preserve">   </w:t>
      </w:r>
      <w:r w:rsidR="00085D1D" w:rsidRPr="00785EAB">
        <w:rPr>
          <w:rFonts w:asciiTheme="majorHAnsi" w:hAnsiTheme="majorHAnsi" w:cs="Calibri"/>
          <w:color w:val="auto"/>
          <w:sz w:val="24"/>
          <w:szCs w:val="24"/>
        </w:rPr>
        <w:t>Poskytovatel</w:t>
      </w:r>
    </w:p>
    <w:p w:rsidR="00085D1D" w:rsidRPr="00785EAB" w:rsidRDefault="00085D1D" w:rsidP="00085D1D">
      <w:pPr>
        <w:spacing w:before="60" w:after="60" w:line="288" w:lineRule="auto"/>
        <w:rPr>
          <w:rFonts w:asciiTheme="majorHAnsi" w:hAnsiTheme="majorHAnsi" w:cs="Calibri"/>
          <w:b/>
          <w:sz w:val="24"/>
        </w:rPr>
      </w:pPr>
      <w:r w:rsidRPr="00785EAB">
        <w:rPr>
          <w:rFonts w:asciiTheme="majorHAnsi" w:hAnsiTheme="majorHAnsi" w:cs="Calibri"/>
          <w:b/>
          <w:sz w:val="24"/>
          <w:highlight w:val="yellow"/>
        </w:rPr>
        <w:br w:type="page"/>
      </w:r>
      <w:r w:rsidRPr="00785EAB">
        <w:rPr>
          <w:rFonts w:asciiTheme="majorHAnsi" w:hAnsiTheme="majorHAnsi" w:cs="Calibri"/>
          <w:b/>
          <w:sz w:val="24"/>
        </w:rPr>
        <w:lastRenderedPageBreak/>
        <w:t>Příloha č. 1 smlouvy – Podrobná specifikace předmětu plnění</w:t>
      </w:r>
    </w:p>
    <w:p w:rsidR="00085D1D" w:rsidRPr="00785EAB" w:rsidRDefault="00085D1D" w:rsidP="00085D1D">
      <w:pPr>
        <w:spacing w:before="60" w:after="60" w:line="259" w:lineRule="auto"/>
        <w:rPr>
          <w:rFonts w:asciiTheme="majorHAnsi" w:eastAsia="Calibri" w:hAnsiTheme="majorHAnsi"/>
          <w:sz w:val="24"/>
          <w:lang w:eastAsia="en-US"/>
        </w:rPr>
      </w:pPr>
      <w:r w:rsidRPr="00785EAB">
        <w:rPr>
          <w:rFonts w:asciiTheme="majorHAnsi" w:eastAsia="Calibri" w:hAnsiTheme="majorHAnsi"/>
          <w:sz w:val="24"/>
          <w:lang w:eastAsia="en-US"/>
        </w:rPr>
        <w:t xml:space="preserve">Předmětem této veřejné zakázky malého rozsahu (dále jen „VZMR“) jsou služby spojené s ověřením hospodaření doplňkových činností Technických služeb města Nový Jičín, příspěvkové organizace za období let 2013, 2014 a 2015.  Jedná se o ověření fakturace spojené s výnosy doplňkové činnosti. Bližší přehled předmětu kontroly je uveden v kapitole 1.1. Přehled jednotlivých doplňkových činností je pak uveden v kapitole 1.2 níže. </w:t>
      </w:r>
    </w:p>
    <w:p w:rsidR="00085D1D" w:rsidRPr="00785EAB" w:rsidRDefault="00085D1D" w:rsidP="00085D1D">
      <w:pPr>
        <w:spacing w:before="60" w:after="60" w:line="259" w:lineRule="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Předmětem zakázky bude kontrola zaměřena na 100 % fakturace spojené s výnosy u hospodářského střediska 203 (Místní komunikace) a 208 (Veřejná zeleň). </w:t>
      </w:r>
    </w:p>
    <w:p w:rsidR="00085D1D" w:rsidRPr="00785EAB" w:rsidRDefault="00085D1D" w:rsidP="00085D1D">
      <w:pPr>
        <w:spacing w:before="60" w:after="60" w:line="259" w:lineRule="auto"/>
        <w:rPr>
          <w:rFonts w:asciiTheme="majorHAnsi" w:eastAsia="Calibri" w:hAnsiTheme="majorHAnsi" w:cs="Calibri"/>
          <w:sz w:val="24"/>
          <w:lang w:eastAsia="en-US"/>
        </w:rPr>
      </w:pPr>
      <w:r w:rsidRPr="00785EAB">
        <w:rPr>
          <w:rFonts w:asciiTheme="majorHAnsi" w:eastAsia="Calibri" w:hAnsiTheme="majorHAnsi" w:cs="Calibri"/>
          <w:sz w:val="24"/>
          <w:lang w:eastAsia="en-US"/>
        </w:rPr>
        <w:t>Předmětem zakázky bude kontrola zaměřená na vzorek fakturace spojené s výnosy u</w:t>
      </w:r>
      <w:r w:rsidR="00CD0AE3">
        <w:rPr>
          <w:rFonts w:asciiTheme="majorHAnsi" w:eastAsia="Calibri" w:hAnsiTheme="majorHAnsi" w:cs="Calibri"/>
          <w:sz w:val="24"/>
          <w:lang w:eastAsia="en-US"/>
        </w:rPr>
        <w:t xml:space="preserve"> střediska 202 (Parkoviště)</w:t>
      </w:r>
      <w:r w:rsidRPr="00785EAB">
        <w:rPr>
          <w:rFonts w:asciiTheme="majorHAnsi" w:eastAsia="Calibri" w:hAnsiTheme="majorHAnsi" w:cs="Calibri"/>
          <w:sz w:val="24"/>
          <w:lang w:eastAsia="en-US"/>
        </w:rPr>
        <w:t>, 204 (Veřejné osvětlení), 207 (Tržnice), 209 (Hřbitovy), 210 (Odpadové hospodářství a ekologie) a 211 – (MHD).</w:t>
      </w:r>
    </w:p>
    <w:p w:rsidR="00085D1D" w:rsidRPr="00785EAB" w:rsidRDefault="00085D1D" w:rsidP="00085D1D">
      <w:pPr>
        <w:spacing w:before="60" w:after="60" w:line="259" w:lineRule="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Popis výběru vzorku je uveden v kapitole 1.3 níže. </w:t>
      </w:r>
    </w:p>
    <w:p w:rsidR="00085D1D" w:rsidRPr="00785EAB" w:rsidRDefault="00085D1D" w:rsidP="00085D1D">
      <w:pPr>
        <w:spacing w:before="60" w:after="60"/>
        <w:ind w:left="705" w:hanging="705"/>
        <w:rPr>
          <w:rFonts w:asciiTheme="majorHAnsi" w:eastAsia="Calibri" w:hAnsiTheme="majorHAnsi"/>
          <w:sz w:val="24"/>
          <w:lang w:eastAsia="en-US"/>
        </w:rPr>
      </w:pPr>
      <w:r w:rsidRPr="00785EAB">
        <w:rPr>
          <w:rFonts w:asciiTheme="majorHAnsi" w:eastAsia="Calibri" w:hAnsiTheme="majorHAnsi"/>
          <w:sz w:val="24"/>
          <w:lang w:eastAsia="en-US"/>
        </w:rPr>
        <w:tab/>
      </w:r>
    </w:p>
    <w:p w:rsidR="00085D1D" w:rsidRPr="00785EAB" w:rsidRDefault="00085D1D" w:rsidP="00085D1D">
      <w:pPr>
        <w:widowControl/>
        <w:numPr>
          <w:ilvl w:val="1"/>
          <w:numId w:val="20"/>
        </w:numPr>
        <w:adjustRightInd/>
        <w:spacing w:before="60" w:after="60" w:line="259" w:lineRule="auto"/>
        <w:contextualSpacing/>
        <w:textAlignment w:val="auto"/>
        <w:rPr>
          <w:rFonts w:asciiTheme="majorHAnsi" w:eastAsia="Calibri" w:hAnsiTheme="majorHAnsi"/>
          <w:b/>
          <w:sz w:val="24"/>
          <w:lang w:eastAsia="en-US"/>
        </w:rPr>
      </w:pPr>
      <w:r w:rsidRPr="00785EAB">
        <w:rPr>
          <w:rFonts w:asciiTheme="majorHAnsi" w:eastAsia="Calibri" w:hAnsiTheme="majorHAnsi"/>
          <w:b/>
          <w:sz w:val="24"/>
          <w:lang w:eastAsia="en-US"/>
        </w:rPr>
        <w:t xml:space="preserve">Veřejnosprávní kontrola bude zahrnovat následující služby: </w:t>
      </w:r>
    </w:p>
    <w:p w:rsidR="00085D1D" w:rsidRPr="00785EAB" w:rsidRDefault="00085D1D" w:rsidP="00085D1D">
      <w:pPr>
        <w:spacing w:before="60" w:after="60"/>
        <w:rPr>
          <w:rFonts w:asciiTheme="majorHAnsi" w:eastAsia="Calibri" w:hAnsiTheme="majorHAnsi"/>
          <w:sz w:val="24"/>
          <w:lang w:eastAsia="en-US"/>
        </w:rPr>
      </w:pPr>
      <w:r w:rsidRPr="00785EAB">
        <w:rPr>
          <w:rFonts w:asciiTheme="majorHAnsi" w:eastAsia="Calibri" w:hAnsiTheme="majorHAnsi"/>
          <w:sz w:val="24"/>
          <w:lang w:eastAsia="en-US"/>
        </w:rPr>
        <w:t>Kontrola se nemá vztahovat na ověření hospodaření doplňkových činností jako celku, ale pouze k fakturaci  (výnosů doplňkové činnosti) – podkladů pro fakturaci, vystavení faktur, objednávek, smluv, které s fakturací souvisí.</w:t>
      </w:r>
    </w:p>
    <w:p w:rsidR="00085D1D" w:rsidRPr="00785EAB" w:rsidRDefault="00085D1D" w:rsidP="00085D1D">
      <w:pPr>
        <w:spacing w:before="60" w:after="60"/>
        <w:rPr>
          <w:rFonts w:asciiTheme="majorHAnsi" w:eastAsia="Calibri" w:hAnsiTheme="majorHAnsi"/>
          <w:b/>
          <w:sz w:val="24"/>
          <w:lang w:eastAsia="en-US"/>
        </w:rPr>
      </w:pPr>
      <w:r w:rsidRPr="00785EAB">
        <w:rPr>
          <w:rFonts w:asciiTheme="majorHAnsi" w:eastAsia="Calibri" w:hAnsiTheme="majorHAnsi"/>
          <w:sz w:val="24"/>
          <w:lang w:eastAsia="en-US"/>
        </w:rPr>
        <w:t>Kontrola jednotlivých hospodářských středisek bude zaměřena na fakturaci vztahující se k výnosům doplňkových činností.</w:t>
      </w:r>
    </w:p>
    <w:p w:rsidR="00085D1D" w:rsidRPr="00785EAB" w:rsidRDefault="00085D1D" w:rsidP="00085D1D">
      <w:pPr>
        <w:spacing w:before="60" w:after="60" w:line="259" w:lineRule="auto"/>
        <w:ind w:left="705" w:hanging="705"/>
        <w:rPr>
          <w:rFonts w:asciiTheme="majorHAnsi" w:eastAsia="Calibri" w:hAnsiTheme="majorHAnsi"/>
          <w:sz w:val="24"/>
          <w:lang w:eastAsia="en-US"/>
        </w:rPr>
      </w:pPr>
    </w:p>
    <w:p w:rsidR="00085D1D" w:rsidRPr="00785EAB" w:rsidRDefault="00085D1D" w:rsidP="00085D1D">
      <w:pPr>
        <w:widowControl/>
        <w:numPr>
          <w:ilvl w:val="0"/>
          <w:numId w:val="21"/>
        </w:numPr>
        <w:adjustRightInd/>
        <w:spacing w:before="60" w:after="60" w:line="259" w:lineRule="auto"/>
        <w:ind w:left="357" w:hanging="357"/>
        <w:contextualSpacing/>
        <w:textAlignment w:val="auto"/>
        <w:rPr>
          <w:rFonts w:asciiTheme="majorHAnsi" w:eastAsia="Calibri" w:hAnsiTheme="majorHAnsi"/>
          <w:b/>
          <w:sz w:val="24"/>
          <w:lang w:eastAsia="en-US"/>
        </w:rPr>
      </w:pPr>
      <w:r w:rsidRPr="00785EAB">
        <w:rPr>
          <w:rFonts w:asciiTheme="majorHAnsi" w:eastAsia="Calibri" w:hAnsiTheme="majorHAnsi"/>
          <w:b/>
          <w:sz w:val="24"/>
          <w:lang w:eastAsia="en-US"/>
        </w:rPr>
        <w:t>Prověrku dodržování pravidel hospodaření, obecně závazných předpisů a interních pravidel zřizovatele v rámci fakturace spojené s výnosy doplňkových činností</w:t>
      </w:r>
    </w:p>
    <w:p w:rsidR="00085D1D" w:rsidRPr="00785EAB" w:rsidRDefault="00085D1D" w:rsidP="00085D1D">
      <w:pPr>
        <w:spacing w:before="60" w:after="60" w:line="259" w:lineRule="auto"/>
        <w:rPr>
          <w:rFonts w:asciiTheme="majorHAnsi" w:eastAsia="Calibri" w:hAnsiTheme="majorHAnsi"/>
          <w:sz w:val="24"/>
          <w:lang w:eastAsia="en-US"/>
        </w:rPr>
      </w:pPr>
      <w:r w:rsidRPr="00785EAB">
        <w:rPr>
          <w:rFonts w:asciiTheme="majorHAnsi" w:eastAsia="Calibri" w:hAnsiTheme="majorHAnsi"/>
          <w:sz w:val="24"/>
          <w:lang w:eastAsia="en-US"/>
        </w:rPr>
        <w:t>Dodavatel bude povinen prověřit, zda u fakturace spojené s výnosy doplňkových činností nedošlo k porušení obecně závazných</w:t>
      </w:r>
      <w:r w:rsidRPr="00785EAB">
        <w:rPr>
          <w:rFonts w:asciiTheme="majorHAnsi" w:eastAsia="Calibri" w:hAnsiTheme="majorHAnsi" w:cs="Calibri"/>
          <w:sz w:val="24"/>
          <w:lang w:eastAsia="en-US"/>
        </w:rPr>
        <w:t xml:space="preserve"> </w:t>
      </w:r>
      <w:r w:rsidRPr="00785EAB">
        <w:rPr>
          <w:rFonts w:asciiTheme="majorHAnsi" w:eastAsia="Calibri" w:hAnsiTheme="majorHAnsi"/>
          <w:sz w:val="24"/>
          <w:lang w:eastAsia="en-US"/>
        </w:rPr>
        <w:t>právních předpisů nebo interních pravidel zřizovatele. Tzn., budou ze strany dodavatele ověřeny podklady pro vystavenou fakturaci, vydané objednávky, faktury vč. veškerých příloh, úhrada a správnost zaúčtování jednotlivých transakcí. Dále pak bude ověřeno, zda je u těchto jednotlivých transakcí dodržen princip “3E“ (hospodárnost, efektivnost, účelnost) a zda byl u jednotlivých transakcí dodržen vnitřní kontrolní systém dle zákona č. 320/2001 Sb., o finanční kontrole, ve znění pozdějších předpisů.</w:t>
      </w:r>
    </w:p>
    <w:p w:rsidR="00085D1D" w:rsidRPr="00785EAB" w:rsidRDefault="00085D1D" w:rsidP="00085D1D">
      <w:pPr>
        <w:spacing w:before="60" w:after="60"/>
        <w:rPr>
          <w:rFonts w:asciiTheme="majorHAnsi" w:eastAsia="Calibri" w:hAnsiTheme="majorHAnsi"/>
          <w:b/>
          <w:sz w:val="24"/>
          <w:lang w:eastAsia="en-US"/>
        </w:rPr>
      </w:pPr>
    </w:p>
    <w:p w:rsidR="00085D1D" w:rsidRPr="00785EAB" w:rsidRDefault="00085D1D" w:rsidP="00085D1D">
      <w:pPr>
        <w:spacing w:before="60" w:after="60" w:line="259" w:lineRule="auto"/>
        <w:rPr>
          <w:rFonts w:asciiTheme="majorHAnsi" w:eastAsia="Calibri" w:hAnsiTheme="majorHAnsi"/>
          <w:b/>
          <w:sz w:val="24"/>
          <w:lang w:eastAsia="en-US"/>
        </w:rPr>
      </w:pPr>
      <w:r w:rsidRPr="00785EAB">
        <w:rPr>
          <w:rFonts w:asciiTheme="majorHAnsi" w:eastAsia="Calibri" w:hAnsiTheme="majorHAnsi"/>
          <w:b/>
          <w:sz w:val="24"/>
          <w:lang w:eastAsia="en-US"/>
        </w:rPr>
        <w:t>b) Identifikaci nestandardních transakcí a aspektů hospodaření</w:t>
      </w:r>
    </w:p>
    <w:p w:rsidR="00085D1D" w:rsidRPr="00785EAB" w:rsidRDefault="00085D1D" w:rsidP="00085D1D">
      <w:pPr>
        <w:spacing w:before="60" w:after="60" w:line="259" w:lineRule="auto"/>
        <w:rPr>
          <w:rFonts w:asciiTheme="majorHAnsi" w:eastAsia="Calibri" w:hAnsiTheme="majorHAnsi" w:cs="Calibri"/>
          <w:sz w:val="24"/>
          <w:lang w:eastAsia="en-US"/>
        </w:rPr>
      </w:pPr>
      <w:r w:rsidRPr="00785EAB">
        <w:rPr>
          <w:rFonts w:asciiTheme="majorHAnsi" w:eastAsia="Calibri" w:hAnsiTheme="majorHAnsi" w:cs="Calibri"/>
          <w:sz w:val="24"/>
          <w:lang w:eastAsia="en-US"/>
        </w:rPr>
        <w:t>Dodavatel bude povinen provést prověření veškerých smluvních vztahů a souvisejících</w:t>
      </w:r>
      <w:r w:rsidRPr="00785EAB">
        <w:rPr>
          <w:rFonts w:asciiTheme="majorHAnsi" w:eastAsia="Calibri" w:hAnsiTheme="majorHAnsi"/>
          <w:b/>
          <w:sz w:val="24"/>
          <w:lang w:eastAsia="en-US"/>
        </w:rPr>
        <w:t xml:space="preserve"> </w:t>
      </w:r>
      <w:r w:rsidRPr="00785EAB">
        <w:rPr>
          <w:rFonts w:asciiTheme="majorHAnsi" w:eastAsia="Calibri" w:hAnsiTheme="majorHAnsi" w:cs="Calibri"/>
          <w:sz w:val="24"/>
          <w:lang w:eastAsia="en-US"/>
        </w:rPr>
        <w:t>transakcí majících zásadní dopad na hospodaření a finanční toky, zahrnující</w:t>
      </w:r>
      <w:r w:rsidRPr="00785EAB">
        <w:rPr>
          <w:rFonts w:asciiTheme="majorHAnsi" w:eastAsia="Calibri" w:hAnsiTheme="majorHAnsi"/>
          <w:b/>
          <w:sz w:val="24"/>
          <w:lang w:eastAsia="en-US"/>
        </w:rPr>
        <w:t xml:space="preserve"> </w:t>
      </w:r>
      <w:r w:rsidRPr="00785EAB">
        <w:rPr>
          <w:rFonts w:asciiTheme="majorHAnsi" w:eastAsia="Calibri" w:hAnsiTheme="majorHAnsi" w:cs="Calibri"/>
          <w:sz w:val="24"/>
          <w:lang w:eastAsia="en-US"/>
        </w:rPr>
        <w:t>prověření postupů vedoucích k uzavření smluvních vztahů a souvisejících transakcí, včetně prověření jednotlivých smluvních vztahů z pohledu ekonomického přínosu pro p. o. (efektivního vynakládání finančních prostředků). Dodavatel bude povinen identifikovat neobvyklé trendy při nakládání s majetkem a nestandardní či rizikové transakce včetně případů střetu zájmů současných nebo minulých vedoucích zaměstnanců ve vztahu k dodavatelům dodávek služeb a stavebních prací. Relevantním obdobím je období od 1. 1. 2013 do 31. 12. 2015. Kontrola prověří veškeré úkony ovlivňující hospodaření v tomto období.</w:t>
      </w:r>
    </w:p>
    <w:p w:rsidR="00085D1D" w:rsidRPr="00785EAB" w:rsidRDefault="00085D1D" w:rsidP="00085D1D">
      <w:pPr>
        <w:spacing w:before="60" w:after="60" w:line="259" w:lineRule="auto"/>
        <w:rPr>
          <w:rFonts w:asciiTheme="majorHAnsi" w:eastAsia="Calibri" w:hAnsiTheme="majorHAnsi" w:cs="Calibri"/>
          <w:sz w:val="24"/>
          <w:lang w:eastAsia="en-US"/>
        </w:rPr>
      </w:pPr>
    </w:p>
    <w:p w:rsidR="00085D1D" w:rsidRPr="00785EAB" w:rsidRDefault="00085D1D" w:rsidP="00085D1D">
      <w:pPr>
        <w:spacing w:before="60" w:after="60" w:line="259" w:lineRule="auto"/>
        <w:rPr>
          <w:rFonts w:asciiTheme="majorHAnsi" w:eastAsia="Calibri" w:hAnsiTheme="majorHAnsi"/>
          <w:b/>
          <w:sz w:val="24"/>
          <w:lang w:eastAsia="en-US"/>
        </w:rPr>
      </w:pPr>
      <w:r w:rsidRPr="00785EAB">
        <w:rPr>
          <w:rFonts w:asciiTheme="majorHAnsi" w:eastAsia="Calibri" w:hAnsiTheme="majorHAnsi" w:cs="Calibri"/>
          <w:b/>
          <w:sz w:val="24"/>
          <w:lang w:eastAsia="en-US"/>
        </w:rPr>
        <w:lastRenderedPageBreak/>
        <w:t xml:space="preserve">c) </w:t>
      </w:r>
      <w:r w:rsidRPr="00785EAB">
        <w:rPr>
          <w:rFonts w:asciiTheme="majorHAnsi" w:eastAsia="Calibri" w:hAnsiTheme="majorHAnsi"/>
          <w:b/>
          <w:sz w:val="24"/>
          <w:lang w:eastAsia="en-US"/>
        </w:rPr>
        <w:t>Podrobné prošetření identifikovaných případů</w:t>
      </w:r>
    </w:p>
    <w:p w:rsidR="00085D1D" w:rsidRPr="00785EAB" w:rsidRDefault="00085D1D" w:rsidP="00085D1D">
      <w:pPr>
        <w:spacing w:before="60" w:after="60" w:line="259" w:lineRule="auto"/>
        <w:rPr>
          <w:rFonts w:asciiTheme="majorHAnsi" w:eastAsia="Calibri" w:hAnsiTheme="majorHAnsi"/>
          <w:sz w:val="24"/>
          <w:lang w:eastAsia="en-US"/>
        </w:rPr>
      </w:pPr>
      <w:r w:rsidRPr="00785EAB">
        <w:rPr>
          <w:rFonts w:asciiTheme="majorHAnsi" w:eastAsia="Calibri" w:hAnsiTheme="majorHAnsi"/>
          <w:sz w:val="24"/>
          <w:lang w:eastAsia="en-US"/>
        </w:rPr>
        <w:t xml:space="preserve">Na základě identifikace uvedené v bodě b) „Identifikace nestandardních transakcí a aspektů hospodaření“ bude dodavatel povinen provést podrobné prošetření identifikovaných případů, a to konkrétně zda došlo k řádnému výběru dodavatele, k dodání zboží, služeb a stavebních prací za standardní ceny, zda finanční prostředky byly vynaloženy efektivně účelně a hospodárně, v souladu s právními předpisy a interními pravidly a zda jsou transakce řádně podloženy příslušnými dokumenty (objednávky, smlouvy, apod. včetně odpovídající účetní analytické evidence). Zároveň tyto případy detailně popíše a předloží ve Zprávě z kontroly. Relevantním obdobím je období od 1. 1. 2013 do 31. 12. 2015. Kontrola prověří i všechny úkony ovlivňující hospodaření v tomto období. </w:t>
      </w:r>
    </w:p>
    <w:p w:rsidR="00085D1D" w:rsidRPr="00785EAB" w:rsidRDefault="00085D1D" w:rsidP="00085D1D">
      <w:pPr>
        <w:spacing w:before="60" w:after="60" w:line="259" w:lineRule="auto"/>
        <w:rPr>
          <w:rFonts w:asciiTheme="majorHAnsi" w:eastAsia="Calibri" w:hAnsiTheme="majorHAnsi"/>
          <w:sz w:val="24"/>
          <w:lang w:eastAsia="en-US"/>
        </w:rPr>
      </w:pPr>
    </w:p>
    <w:p w:rsidR="00085D1D" w:rsidRPr="00785EAB" w:rsidRDefault="00085D1D" w:rsidP="00085D1D">
      <w:pPr>
        <w:spacing w:before="60" w:after="60" w:line="259" w:lineRule="auto"/>
        <w:rPr>
          <w:rFonts w:asciiTheme="majorHAnsi" w:eastAsia="Calibri" w:hAnsiTheme="majorHAnsi"/>
          <w:b/>
          <w:sz w:val="24"/>
          <w:lang w:eastAsia="en-US"/>
        </w:rPr>
      </w:pPr>
      <w:r w:rsidRPr="00785EAB">
        <w:rPr>
          <w:rFonts w:asciiTheme="majorHAnsi" w:eastAsia="Calibri" w:hAnsiTheme="majorHAnsi"/>
          <w:b/>
          <w:sz w:val="24"/>
          <w:lang w:eastAsia="en-US"/>
        </w:rPr>
        <w:t>d) Doporučení systémové změny</w:t>
      </w:r>
    </w:p>
    <w:p w:rsidR="00085D1D" w:rsidRPr="00785EAB" w:rsidRDefault="00085D1D" w:rsidP="00085D1D">
      <w:pPr>
        <w:spacing w:before="60" w:after="60" w:line="259" w:lineRule="auto"/>
        <w:rPr>
          <w:rFonts w:asciiTheme="majorHAnsi" w:eastAsia="Calibri" w:hAnsiTheme="majorHAnsi"/>
          <w:sz w:val="24"/>
          <w:lang w:eastAsia="en-US"/>
        </w:rPr>
      </w:pPr>
      <w:r w:rsidRPr="00785EAB">
        <w:rPr>
          <w:rFonts w:asciiTheme="majorHAnsi" w:eastAsia="Calibri" w:hAnsiTheme="majorHAnsi"/>
          <w:sz w:val="24"/>
          <w:lang w:eastAsia="en-US"/>
        </w:rPr>
        <w:t>V situaci, kdy se objeví případy nehospodárnosti je dodavatel povinen rámcově vyčíslit škodu, která nastala a zároveň je povinen navrhnout systémové změny, které by vedly k nápravě vzniklého nehospodárného jednání a zabránily jeho opakování.</w:t>
      </w:r>
    </w:p>
    <w:p w:rsidR="00085D1D" w:rsidRPr="00785EAB" w:rsidRDefault="00085D1D" w:rsidP="00085D1D">
      <w:pPr>
        <w:spacing w:before="60" w:after="60" w:line="259" w:lineRule="auto"/>
        <w:rPr>
          <w:rFonts w:asciiTheme="majorHAnsi" w:eastAsia="Calibri" w:hAnsiTheme="majorHAnsi"/>
          <w:sz w:val="24"/>
          <w:lang w:eastAsia="en-US"/>
        </w:rPr>
      </w:pPr>
    </w:p>
    <w:p w:rsidR="00085D1D" w:rsidRPr="00785EAB" w:rsidRDefault="00085D1D" w:rsidP="00085D1D">
      <w:pPr>
        <w:spacing w:before="60" w:after="60" w:line="259" w:lineRule="auto"/>
        <w:rPr>
          <w:rFonts w:asciiTheme="majorHAnsi" w:eastAsia="Calibri" w:hAnsiTheme="majorHAnsi"/>
          <w:b/>
          <w:sz w:val="24"/>
          <w:lang w:eastAsia="en-US"/>
        </w:rPr>
      </w:pPr>
      <w:r w:rsidRPr="00785EAB">
        <w:rPr>
          <w:rFonts w:asciiTheme="majorHAnsi" w:eastAsia="Calibri" w:hAnsiTheme="majorHAnsi"/>
          <w:b/>
          <w:sz w:val="24"/>
          <w:lang w:eastAsia="en-US"/>
        </w:rPr>
        <w:t>e) Kontrola spotřeby a počtu najetých km služebních vozidel, a to pro každé vozidlo u min. 2 měsíců v každém kontrolovaném roce.</w:t>
      </w:r>
      <w:r w:rsidRPr="00785EAB">
        <w:rPr>
          <w:rFonts w:asciiTheme="majorHAnsi" w:eastAsia="Calibri" w:hAnsiTheme="majorHAnsi"/>
          <w:sz w:val="24"/>
          <w:lang w:eastAsia="en-US"/>
        </w:rPr>
        <w:t xml:space="preserve"> </w:t>
      </w:r>
      <w:r w:rsidRPr="00785EAB">
        <w:rPr>
          <w:rFonts w:asciiTheme="majorHAnsi" w:eastAsia="Calibri" w:hAnsiTheme="majorHAnsi"/>
          <w:b/>
          <w:sz w:val="24"/>
          <w:lang w:eastAsia="en-US"/>
        </w:rPr>
        <w:t>Kontrola spotřeby a počtu najetých km služebních vozidel bude provedena v návaznosti na fakturaci spojenou s DČ.</w:t>
      </w:r>
    </w:p>
    <w:p w:rsidR="00085D1D" w:rsidRPr="00785EAB" w:rsidRDefault="00085D1D" w:rsidP="00085D1D">
      <w:pPr>
        <w:spacing w:before="60" w:after="60" w:line="259" w:lineRule="auto"/>
        <w:rPr>
          <w:rFonts w:asciiTheme="majorHAnsi" w:eastAsia="Calibri" w:hAnsiTheme="majorHAnsi"/>
          <w:b/>
          <w:sz w:val="24"/>
          <w:lang w:eastAsia="en-US"/>
        </w:rPr>
      </w:pPr>
    </w:p>
    <w:p w:rsidR="00085D1D" w:rsidRPr="00785EAB" w:rsidRDefault="00085D1D" w:rsidP="00085D1D">
      <w:pPr>
        <w:spacing w:before="60" w:after="60" w:line="259" w:lineRule="auto"/>
        <w:rPr>
          <w:rFonts w:asciiTheme="majorHAnsi" w:eastAsia="Calibri" w:hAnsiTheme="majorHAnsi"/>
          <w:b/>
          <w:sz w:val="24"/>
          <w:lang w:eastAsia="en-US"/>
        </w:rPr>
      </w:pPr>
      <w:r w:rsidRPr="00785EAB">
        <w:rPr>
          <w:rFonts w:asciiTheme="majorHAnsi" w:eastAsia="Calibri" w:hAnsiTheme="majorHAnsi"/>
          <w:b/>
          <w:sz w:val="24"/>
          <w:lang w:eastAsia="en-US"/>
        </w:rPr>
        <w:t xml:space="preserve">f) Návrh interního předpisu vztahujícího se k dodržování pravidel hospodaření s majetkem </w:t>
      </w:r>
      <w:r w:rsidRPr="00785EAB">
        <w:rPr>
          <w:rFonts w:asciiTheme="majorHAnsi" w:eastAsia="Calibri" w:hAnsiTheme="majorHAnsi"/>
          <w:b/>
          <w:sz w:val="24"/>
          <w:lang w:eastAsia="en-US"/>
        </w:rPr>
        <w:br/>
        <w:t>a finančních transakcí, obecně závazných předpisů a interních pravidel zřizovatele v rámci fakturace spojené s výnosy doplňkových čin</w:t>
      </w:r>
      <w:r>
        <w:rPr>
          <w:rFonts w:asciiTheme="majorHAnsi" w:eastAsia="Calibri" w:hAnsiTheme="majorHAnsi"/>
          <w:b/>
          <w:sz w:val="24"/>
          <w:lang w:eastAsia="en-US"/>
        </w:rPr>
        <w:t xml:space="preserve">ností </w:t>
      </w:r>
      <w:r w:rsidRPr="00785EAB">
        <w:rPr>
          <w:rFonts w:asciiTheme="majorHAnsi" w:eastAsia="Calibri" w:hAnsiTheme="majorHAnsi"/>
          <w:b/>
          <w:sz w:val="24"/>
          <w:lang w:eastAsia="en-US"/>
        </w:rPr>
        <w:t>v min. rozsahu 5 stran.</w:t>
      </w:r>
    </w:p>
    <w:p w:rsidR="00085D1D" w:rsidRPr="00785EAB" w:rsidRDefault="00085D1D" w:rsidP="00085D1D">
      <w:pPr>
        <w:spacing w:after="160" w:line="259" w:lineRule="auto"/>
        <w:rPr>
          <w:rFonts w:asciiTheme="majorHAnsi" w:eastAsia="Calibri" w:hAnsiTheme="majorHAnsi"/>
          <w:b/>
          <w:sz w:val="24"/>
          <w:lang w:eastAsia="en-US"/>
        </w:rPr>
      </w:pPr>
    </w:p>
    <w:p w:rsidR="00085D1D" w:rsidRPr="00785EAB" w:rsidRDefault="00085D1D" w:rsidP="00085D1D">
      <w:pPr>
        <w:spacing w:after="160" w:line="259" w:lineRule="auto"/>
        <w:rPr>
          <w:rFonts w:asciiTheme="majorHAnsi" w:eastAsia="Calibri" w:hAnsiTheme="majorHAnsi"/>
          <w:b/>
          <w:sz w:val="24"/>
          <w:lang w:eastAsia="en-US"/>
        </w:rPr>
      </w:pPr>
      <w:r w:rsidRPr="00785EAB">
        <w:rPr>
          <w:rFonts w:asciiTheme="majorHAnsi" w:eastAsia="Calibri" w:hAnsiTheme="majorHAnsi"/>
          <w:b/>
          <w:sz w:val="24"/>
          <w:lang w:eastAsia="en-US"/>
        </w:rPr>
        <w:t>1.2 Přehled doplňkových činností (číselník dle hospodářských středisek)</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 xml:space="preserve">202 – Parkoviště (pouze výběr parkovacích automatů) </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203 – Místní komunikace</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204 – Veřejné osvětlení</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 xml:space="preserve">207 – Tržnice </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208 – Veřejná zeleň</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209 – Hřbitovy</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210 – Odpadové hospodářství a ekologie</w:t>
      </w:r>
    </w:p>
    <w:p w:rsidR="00085D1D" w:rsidRPr="00785EAB" w:rsidRDefault="00085D1D" w:rsidP="00085D1D">
      <w:pPr>
        <w:spacing w:after="160" w:line="259" w:lineRule="auto"/>
        <w:rPr>
          <w:rFonts w:asciiTheme="majorHAnsi" w:eastAsia="Calibri" w:hAnsiTheme="majorHAnsi"/>
          <w:sz w:val="24"/>
          <w:lang w:eastAsia="en-US"/>
        </w:rPr>
      </w:pPr>
      <w:r w:rsidRPr="00785EAB">
        <w:rPr>
          <w:rFonts w:asciiTheme="majorHAnsi" w:eastAsia="Calibri" w:hAnsiTheme="majorHAnsi"/>
          <w:sz w:val="24"/>
          <w:lang w:eastAsia="en-US"/>
        </w:rPr>
        <w:t>211 – MHD (pouze výlepy plakátů v autobusech)</w:t>
      </w:r>
    </w:p>
    <w:p w:rsidR="00CD0AE3" w:rsidRDefault="00CD0AE3" w:rsidP="00085D1D">
      <w:pPr>
        <w:spacing w:after="160" w:line="259" w:lineRule="auto"/>
        <w:rPr>
          <w:rFonts w:asciiTheme="majorHAnsi" w:eastAsia="Calibri" w:hAnsiTheme="majorHAnsi" w:cs="Calibri"/>
          <w:b/>
          <w:sz w:val="24"/>
          <w:lang w:eastAsia="en-US"/>
        </w:rPr>
      </w:pPr>
    </w:p>
    <w:p w:rsidR="00CD0AE3" w:rsidRDefault="00CD0AE3" w:rsidP="00085D1D">
      <w:pPr>
        <w:spacing w:after="160" w:line="259" w:lineRule="auto"/>
        <w:rPr>
          <w:rFonts w:asciiTheme="majorHAnsi" w:eastAsia="Calibri" w:hAnsiTheme="majorHAnsi" w:cs="Calibri"/>
          <w:b/>
          <w:sz w:val="24"/>
          <w:lang w:eastAsia="en-US"/>
        </w:rPr>
      </w:pPr>
    </w:p>
    <w:p w:rsidR="00CD0AE3" w:rsidRDefault="00CD0AE3" w:rsidP="00085D1D">
      <w:pPr>
        <w:spacing w:after="160" w:line="259" w:lineRule="auto"/>
        <w:rPr>
          <w:rFonts w:asciiTheme="majorHAnsi" w:eastAsia="Calibri" w:hAnsiTheme="majorHAnsi" w:cs="Calibri"/>
          <w:b/>
          <w:sz w:val="24"/>
          <w:lang w:eastAsia="en-US"/>
        </w:rPr>
      </w:pPr>
    </w:p>
    <w:p w:rsidR="00085D1D" w:rsidRPr="00785EAB" w:rsidRDefault="00085D1D" w:rsidP="00085D1D">
      <w:pPr>
        <w:spacing w:after="160" w:line="259" w:lineRule="auto"/>
        <w:rPr>
          <w:rFonts w:asciiTheme="majorHAnsi" w:eastAsia="Calibri" w:hAnsiTheme="majorHAnsi" w:cs="Calibri"/>
          <w:b/>
          <w:sz w:val="24"/>
          <w:lang w:eastAsia="en-US"/>
        </w:rPr>
      </w:pPr>
      <w:r w:rsidRPr="00785EAB">
        <w:rPr>
          <w:rFonts w:asciiTheme="majorHAnsi" w:eastAsia="Calibri" w:hAnsiTheme="majorHAnsi" w:cs="Calibri"/>
          <w:b/>
          <w:sz w:val="24"/>
          <w:lang w:eastAsia="en-US"/>
        </w:rPr>
        <w:lastRenderedPageBreak/>
        <w:t>1.3 Výběr vzorku pro kontrolu doplňkových činností (DČ) u jednotlivých hospodářských středisek (HS)</w:t>
      </w:r>
    </w:p>
    <w:p w:rsidR="00085D1D" w:rsidRPr="00785EAB" w:rsidRDefault="00085D1D" w:rsidP="00085D1D">
      <w:pPr>
        <w:widowControl/>
        <w:numPr>
          <w:ilvl w:val="0"/>
          <w:numId w:val="11"/>
        </w:numPr>
        <w:adjustRightInd/>
        <w:spacing w:after="160" w:line="259" w:lineRule="auto"/>
        <w:contextualSpacing/>
        <w:jc w:val="left"/>
        <w:textAlignment w:val="auto"/>
        <w:rPr>
          <w:rFonts w:asciiTheme="majorHAnsi" w:eastAsia="Calibri" w:hAnsiTheme="majorHAnsi" w:cs="Calibri"/>
          <w:sz w:val="24"/>
          <w:u w:val="single"/>
          <w:lang w:eastAsia="en-US"/>
        </w:rPr>
      </w:pPr>
      <w:r w:rsidRPr="00785EAB">
        <w:rPr>
          <w:rFonts w:asciiTheme="majorHAnsi" w:eastAsia="Calibri" w:hAnsiTheme="majorHAnsi" w:cs="Calibri"/>
          <w:sz w:val="24"/>
          <w:u w:val="single"/>
          <w:lang w:eastAsia="en-US"/>
        </w:rPr>
        <w:t xml:space="preserve">HS č. 203 (Místní komunikace) </w:t>
      </w:r>
    </w:p>
    <w:p w:rsidR="00085D1D" w:rsidRPr="00785EAB" w:rsidRDefault="00085D1D" w:rsidP="00085D1D">
      <w:pPr>
        <w:widowControl/>
        <w:numPr>
          <w:ilvl w:val="0"/>
          <w:numId w:val="12"/>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Bude provedena kontrola v plném rozsahu DČ (tzn. ve výši 100 % </w:t>
      </w:r>
      <w:r w:rsidRPr="00785EAB">
        <w:rPr>
          <w:rFonts w:asciiTheme="majorHAnsi" w:eastAsia="Calibri" w:hAnsiTheme="majorHAnsi"/>
          <w:sz w:val="24"/>
          <w:lang w:eastAsia="en-US"/>
        </w:rPr>
        <w:t>fakturace spojené s výnosy doplňkové činnosti</w:t>
      </w:r>
      <w:r w:rsidRPr="00785EAB">
        <w:rPr>
          <w:rFonts w:asciiTheme="majorHAnsi" w:eastAsia="Calibri" w:hAnsiTheme="majorHAnsi" w:cs="Calibri"/>
          <w:sz w:val="24"/>
          <w:lang w:eastAsia="en-US"/>
        </w:rPr>
        <w:t>) za jednotlivé roky 2013, 2014, 2015.</w:t>
      </w:r>
    </w:p>
    <w:p w:rsidR="00085D1D" w:rsidRPr="00785EAB" w:rsidRDefault="00085D1D" w:rsidP="00085D1D">
      <w:pPr>
        <w:widowControl/>
        <w:numPr>
          <w:ilvl w:val="0"/>
          <w:numId w:val="12"/>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Kontrola spotřeby a počtu najetých km služebních vozidel, a to pro každé vozidlo </w:t>
      </w:r>
      <w:r w:rsidRPr="00785EAB">
        <w:rPr>
          <w:rFonts w:asciiTheme="majorHAnsi" w:eastAsia="Calibri" w:hAnsiTheme="majorHAnsi" w:cs="Calibri"/>
          <w:sz w:val="24"/>
          <w:lang w:eastAsia="en-US"/>
        </w:rPr>
        <w:br/>
        <w:t xml:space="preserve">u min. 2 měsíců v každém kontrolovaném roce. Kontrola spotřeby a počtu najetých km služebních vozidel bude provedena v návaznosti na </w:t>
      </w:r>
      <w:r w:rsidRPr="00785EAB">
        <w:rPr>
          <w:rFonts w:asciiTheme="majorHAnsi" w:eastAsia="Calibri" w:hAnsiTheme="majorHAnsi"/>
          <w:sz w:val="24"/>
          <w:lang w:eastAsia="en-US"/>
        </w:rPr>
        <w:t>fakturaci spojenou s  DČ.</w:t>
      </w:r>
    </w:p>
    <w:p w:rsidR="00085D1D" w:rsidRPr="00785EAB" w:rsidRDefault="00085D1D" w:rsidP="00085D1D">
      <w:pPr>
        <w:spacing w:after="160" w:line="259" w:lineRule="auto"/>
        <w:ind w:left="1440"/>
        <w:contextualSpacing/>
        <w:rPr>
          <w:rFonts w:asciiTheme="majorHAnsi" w:eastAsia="Calibri" w:hAnsiTheme="majorHAnsi" w:cs="Calibri"/>
          <w:sz w:val="24"/>
          <w:lang w:eastAsia="en-US"/>
        </w:rPr>
      </w:pPr>
    </w:p>
    <w:p w:rsidR="00085D1D" w:rsidRPr="00785EAB" w:rsidRDefault="00085D1D" w:rsidP="00085D1D">
      <w:pPr>
        <w:widowControl/>
        <w:numPr>
          <w:ilvl w:val="0"/>
          <w:numId w:val="11"/>
        </w:numPr>
        <w:adjustRightInd/>
        <w:spacing w:after="160" w:line="259" w:lineRule="auto"/>
        <w:contextualSpacing/>
        <w:jc w:val="left"/>
        <w:textAlignment w:val="auto"/>
        <w:rPr>
          <w:rFonts w:asciiTheme="majorHAnsi" w:eastAsia="Calibri" w:hAnsiTheme="majorHAnsi" w:cs="Calibri"/>
          <w:sz w:val="24"/>
          <w:u w:val="single"/>
          <w:lang w:eastAsia="en-US"/>
        </w:rPr>
      </w:pPr>
      <w:r w:rsidRPr="00785EAB">
        <w:rPr>
          <w:rFonts w:asciiTheme="majorHAnsi" w:eastAsia="Calibri" w:hAnsiTheme="majorHAnsi" w:cs="Calibri"/>
          <w:sz w:val="24"/>
          <w:u w:val="single"/>
          <w:lang w:eastAsia="en-US"/>
        </w:rPr>
        <w:t>HS č. 208 (Veřejná zeleň)</w:t>
      </w:r>
    </w:p>
    <w:p w:rsidR="00085D1D" w:rsidRPr="00785EAB" w:rsidRDefault="00085D1D" w:rsidP="00085D1D">
      <w:pPr>
        <w:widowControl/>
        <w:numPr>
          <w:ilvl w:val="0"/>
          <w:numId w:val="12"/>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Bude provedena kontrola v plném rozsahu DČ (tzn. ve výši 100 % </w:t>
      </w:r>
      <w:r w:rsidRPr="00785EAB">
        <w:rPr>
          <w:rFonts w:asciiTheme="majorHAnsi" w:eastAsia="Calibri" w:hAnsiTheme="majorHAnsi"/>
          <w:sz w:val="24"/>
          <w:lang w:eastAsia="en-US"/>
        </w:rPr>
        <w:t>fakturace spojené s výnosy DČ</w:t>
      </w:r>
      <w:r w:rsidRPr="00785EAB">
        <w:rPr>
          <w:rFonts w:asciiTheme="majorHAnsi" w:eastAsia="Calibri" w:hAnsiTheme="majorHAnsi" w:cs="Calibri"/>
          <w:sz w:val="24"/>
          <w:lang w:eastAsia="en-US"/>
        </w:rPr>
        <w:t>) za jednotlivé roky 2013, 2014, 2015.</w:t>
      </w:r>
    </w:p>
    <w:p w:rsidR="00085D1D" w:rsidRPr="00785EAB" w:rsidRDefault="00085D1D" w:rsidP="00085D1D">
      <w:pPr>
        <w:widowControl/>
        <w:numPr>
          <w:ilvl w:val="0"/>
          <w:numId w:val="12"/>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Kontrola spotřeby a počtu najetých km služebních vozidel, a to pro každé vozidlo u min. 2 měsíců v každém kontrolovaném roce. Kontrola spotřeby a počtu najetých km služebních vozidel bude provedena v návaznosti na </w:t>
      </w:r>
      <w:r w:rsidRPr="00785EAB">
        <w:rPr>
          <w:rFonts w:asciiTheme="majorHAnsi" w:eastAsia="Calibri" w:hAnsiTheme="majorHAnsi"/>
          <w:sz w:val="24"/>
          <w:lang w:eastAsia="en-US"/>
        </w:rPr>
        <w:t>fakturaci spojenou s  DČ.</w:t>
      </w:r>
    </w:p>
    <w:p w:rsidR="00085D1D" w:rsidRPr="00785EAB" w:rsidRDefault="00085D1D" w:rsidP="00085D1D">
      <w:pPr>
        <w:spacing w:after="160" w:line="259" w:lineRule="auto"/>
        <w:ind w:left="1440"/>
        <w:contextualSpacing/>
        <w:rPr>
          <w:rFonts w:asciiTheme="majorHAnsi" w:eastAsia="Calibri" w:hAnsiTheme="majorHAnsi" w:cs="Calibri"/>
          <w:sz w:val="24"/>
          <w:lang w:eastAsia="en-US"/>
        </w:rPr>
      </w:pPr>
    </w:p>
    <w:p w:rsidR="00085D1D" w:rsidRPr="00785EAB" w:rsidRDefault="00085D1D" w:rsidP="00085D1D">
      <w:pPr>
        <w:widowControl/>
        <w:numPr>
          <w:ilvl w:val="0"/>
          <w:numId w:val="11"/>
        </w:numPr>
        <w:adjustRightInd/>
        <w:spacing w:after="160" w:line="259" w:lineRule="auto"/>
        <w:contextualSpacing/>
        <w:jc w:val="left"/>
        <w:textAlignment w:val="auto"/>
        <w:rPr>
          <w:rFonts w:asciiTheme="majorHAnsi" w:eastAsia="Calibri" w:hAnsiTheme="majorHAnsi" w:cs="Calibri"/>
          <w:sz w:val="24"/>
          <w:u w:val="single"/>
          <w:lang w:eastAsia="en-US"/>
        </w:rPr>
      </w:pPr>
      <w:r w:rsidRPr="00785EAB">
        <w:rPr>
          <w:rFonts w:asciiTheme="majorHAnsi" w:eastAsia="Calibri" w:hAnsiTheme="majorHAnsi" w:cs="Calibri"/>
          <w:sz w:val="24"/>
          <w:u w:val="single"/>
          <w:lang w:eastAsia="en-US"/>
        </w:rPr>
        <w:t>HS č. 202, 204, 207, 209, 211</w:t>
      </w:r>
    </w:p>
    <w:p w:rsidR="00085D1D" w:rsidRPr="00785EAB" w:rsidRDefault="00085D1D" w:rsidP="00085D1D">
      <w:pPr>
        <w:widowControl/>
        <w:numPr>
          <w:ilvl w:val="0"/>
          <w:numId w:val="13"/>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Ke kontrole bude vybrán kvalifikovaný vzorek </w:t>
      </w:r>
      <w:r w:rsidRPr="00785EAB">
        <w:rPr>
          <w:rFonts w:asciiTheme="majorHAnsi" w:eastAsia="Calibri" w:hAnsiTheme="majorHAnsi"/>
          <w:sz w:val="24"/>
          <w:lang w:eastAsia="en-US"/>
        </w:rPr>
        <w:t>fakturace spojené s výnosy DČ</w:t>
      </w:r>
      <w:r w:rsidRPr="00785EAB">
        <w:rPr>
          <w:rFonts w:asciiTheme="majorHAnsi" w:eastAsia="Calibri" w:hAnsiTheme="majorHAnsi" w:cs="Calibri"/>
          <w:sz w:val="24"/>
          <w:lang w:eastAsia="en-US"/>
        </w:rPr>
        <w:t>, který bude odpovídat rozsahu doplňkové činnosti na příslušném středisku, tzn., vzorek bude vybrán takovým způsobem, aby zaručil dostatečnou reprezentativnost kontroly.</w:t>
      </w:r>
    </w:p>
    <w:p w:rsidR="00085D1D" w:rsidRPr="00785EAB" w:rsidRDefault="00085D1D" w:rsidP="00085D1D">
      <w:pPr>
        <w:widowControl/>
        <w:numPr>
          <w:ilvl w:val="0"/>
          <w:numId w:val="13"/>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sz w:val="24"/>
          <w:lang w:eastAsia="en-US"/>
        </w:rPr>
        <w:t>V rámci každého střediska bude za jednotlivé roky 2013, 2014, 2015 stanoven kontrolní vzorek v min. rozsahu:</w:t>
      </w:r>
    </w:p>
    <w:p w:rsidR="00085D1D" w:rsidRPr="00785EAB" w:rsidRDefault="00085D1D" w:rsidP="00085D1D">
      <w:pPr>
        <w:widowControl/>
        <w:numPr>
          <w:ilvl w:val="0"/>
          <w:numId w:val="14"/>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sz w:val="24"/>
          <w:lang w:eastAsia="en-US"/>
        </w:rPr>
        <w:t>50 % z celkové hodnoty fakturace spojené s výnosy DČ za jednotlivé kontrolované roky.</w:t>
      </w:r>
    </w:p>
    <w:p w:rsidR="00085D1D" w:rsidRPr="00785EAB" w:rsidRDefault="00085D1D" w:rsidP="00085D1D">
      <w:pPr>
        <w:widowControl/>
        <w:numPr>
          <w:ilvl w:val="0"/>
          <w:numId w:val="14"/>
        </w:numPr>
        <w:adjustRightInd/>
        <w:spacing w:after="160" w:line="259" w:lineRule="auto"/>
        <w:contextualSpacing/>
        <w:textAlignment w:val="auto"/>
        <w:rPr>
          <w:rFonts w:asciiTheme="majorHAnsi" w:eastAsia="Calibri" w:hAnsiTheme="majorHAnsi" w:cs="Calibri"/>
          <w:sz w:val="24"/>
          <w:lang w:eastAsia="en-US"/>
        </w:rPr>
      </w:pPr>
      <w:r w:rsidRPr="00785EAB">
        <w:rPr>
          <w:rFonts w:asciiTheme="majorHAnsi" w:eastAsia="Calibri" w:hAnsiTheme="majorHAnsi"/>
          <w:sz w:val="24"/>
          <w:lang w:eastAsia="en-US"/>
        </w:rPr>
        <w:t xml:space="preserve">Kontrola spotřeby a počtu najetých km služebních vozidel, a to pro každé vozidlo u min. 2 měsíců v každém kontrolovaném roce. </w:t>
      </w:r>
      <w:r w:rsidRPr="00785EAB">
        <w:rPr>
          <w:rFonts w:asciiTheme="majorHAnsi" w:eastAsia="Calibri" w:hAnsiTheme="majorHAnsi" w:cs="Calibri"/>
          <w:sz w:val="24"/>
          <w:lang w:eastAsia="en-US"/>
        </w:rPr>
        <w:t xml:space="preserve">Kontrola spotřeby a počtu najetých km služebních vozidel bude provedena v návaznosti na </w:t>
      </w:r>
      <w:r w:rsidRPr="00785EAB">
        <w:rPr>
          <w:rFonts w:asciiTheme="majorHAnsi" w:eastAsia="Calibri" w:hAnsiTheme="majorHAnsi"/>
          <w:sz w:val="24"/>
          <w:lang w:eastAsia="en-US"/>
        </w:rPr>
        <w:t>fakturaci spojenou s  DČ.</w:t>
      </w:r>
    </w:p>
    <w:p w:rsidR="00085D1D" w:rsidRPr="00785EAB" w:rsidRDefault="00085D1D" w:rsidP="00085D1D">
      <w:pPr>
        <w:spacing w:after="160" w:line="259" w:lineRule="auto"/>
        <w:ind w:left="2160"/>
        <w:contextualSpacing/>
        <w:rPr>
          <w:rFonts w:asciiTheme="majorHAnsi" w:eastAsia="Calibri" w:hAnsiTheme="majorHAnsi" w:cs="Calibri"/>
          <w:sz w:val="24"/>
          <w:lang w:eastAsia="en-US"/>
        </w:rPr>
      </w:pPr>
    </w:p>
    <w:p w:rsidR="00085D1D" w:rsidRPr="00785EAB" w:rsidRDefault="00085D1D" w:rsidP="00085D1D">
      <w:pPr>
        <w:widowControl/>
        <w:numPr>
          <w:ilvl w:val="0"/>
          <w:numId w:val="11"/>
        </w:numPr>
        <w:adjustRightInd/>
        <w:spacing w:after="160" w:line="259" w:lineRule="auto"/>
        <w:contextualSpacing/>
        <w:textAlignment w:val="auto"/>
        <w:rPr>
          <w:rFonts w:asciiTheme="majorHAnsi" w:eastAsia="Calibri" w:hAnsiTheme="majorHAnsi"/>
          <w:sz w:val="24"/>
          <w:u w:val="single"/>
          <w:lang w:eastAsia="en-US"/>
        </w:rPr>
      </w:pPr>
      <w:r w:rsidRPr="00785EAB">
        <w:rPr>
          <w:rFonts w:asciiTheme="majorHAnsi" w:eastAsia="Calibri" w:hAnsiTheme="majorHAnsi"/>
          <w:sz w:val="24"/>
          <w:u w:val="single"/>
          <w:lang w:eastAsia="en-US"/>
        </w:rPr>
        <w:t>HS č. 210</w:t>
      </w:r>
    </w:p>
    <w:p w:rsidR="00085D1D" w:rsidRPr="00785EAB" w:rsidRDefault="00085D1D" w:rsidP="00085D1D">
      <w:pPr>
        <w:widowControl/>
        <w:numPr>
          <w:ilvl w:val="0"/>
          <w:numId w:val="15"/>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Ke kontrole bude vybrán kvalifikovaný vzorek fakturace spojené s výnosy DČ, který bude odpovídat rozsahu doplňkové činnosti na příslušném středisku, tzn., vzorek bude vybrán takovým způsobem, aby zaručil dostatečnou reprezentativnost kontroly.</w:t>
      </w:r>
    </w:p>
    <w:p w:rsidR="00085D1D" w:rsidRPr="00785EAB" w:rsidRDefault="00085D1D" w:rsidP="00085D1D">
      <w:pPr>
        <w:widowControl/>
        <w:numPr>
          <w:ilvl w:val="0"/>
          <w:numId w:val="15"/>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V rámci střediska bude za jednotlivé roky 2013, 2014, 2015 stanoven kontrolní vzorek v min. rozsahu:</w:t>
      </w:r>
    </w:p>
    <w:p w:rsidR="00085D1D" w:rsidRPr="00785EAB" w:rsidRDefault="00085D1D" w:rsidP="00085D1D">
      <w:pPr>
        <w:widowControl/>
        <w:numPr>
          <w:ilvl w:val="0"/>
          <w:numId w:val="16"/>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10 % z celkové hodnoty fakturace spojené s výnosy DČ za jednotlivé kontrolované roky.</w:t>
      </w:r>
    </w:p>
    <w:p w:rsidR="00085D1D" w:rsidRPr="00785EAB" w:rsidRDefault="00085D1D" w:rsidP="00085D1D">
      <w:pPr>
        <w:widowControl/>
        <w:numPr>
          <w:ilvl w:val="0"/>
          <w:numId w:val="16"/>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 xml:space="preserve">Kontrola spotřeby a počtu najetých km služebních vozidel, a to pro každé vozidlo u min. 2 měsíců v každém kontrolovaném roce. </w:t>
      </w:r>
      <w:r w:rsidRPr="00785EAB">
        <w:rPr>
          <w:rFonts w:asciiTheme="majorHAnsi" w:eastAsia="Calibri" w:hAnsiTheme="majorHAnsi" w:cs="Calibri"/>
          <w:sz w:val="24"/>
          <w:lang w:eastAsia="en-US"/>
        </w:rPr>
        <w:t xml:space="preserve">Kontrola </w:t>
      </w:r>
      <w:r w:rsidRPr="00785EAB">
        <w:rPr>
          <w:rFonts w:asciiTheme="majorHAnsi" w:eastAsia="Calibri" w:hAnsiTheme="majorHAnsi" w:cs="Calibri"/>
          <w:sz w:val="24"/>
          <w:lang w:eastAsia="en-US"/>
        </w:rPr>
        <w:lastRenderedPageBreak/>
        <w:t xml:space="preserve">spotřeby a počtu najetých km služebních vozidel bude provedena v návaznosti na </w:t>
      </w:r>
      <w:r w:rsidRPr="00785EAB">
        <w:rPr>
          <w:rFonts w:asciiTheme="majorHAnsi" w:eastAsia="Calibri" w:hAnsiTheme="majorHAnsi"/>
          <w:sz w:val="24"/>
          <w:lang w:eastAsia="en-US"/>
        </w:rPr>
        <w:t>fakturaci spojenou s  DČ.</w:t>
      </w:r>
    </w:p>
    <w:p w:rsidR="00085D1D" w:rsidRPr="00785EAB" w:rsidRDefault="00085D1D" w:rsidP="00085D1D">
      <w:pPr>
        <w:spacing w:after="160" w:line="259" w:lineRule="auto"/>
        <w:rPr>
          <w:rFonts w:asciiTheme="majorHAnsi" w:eastAsia="Calibri" w:hAnsiTheme="majorHAnsi"/>
          <w:b/>
          <w:sz w:val="24"/>
          <w:lang w:eastAsia="en-US"/>
        </w:rPr>
      </w:pPr>
    </w:p>
    <w:p w:rsidR="00085D1D" w:rsidRPr="00785EAB" w:rsidRDefault="00085D1D" w:rsidP="00085D1D">
      <w:pPr>
        <w:spacing w:after="160" w:line="259" w:lineRule="auto"/>
        <w:rPr>
          <w:rFonts w:asciiTheme="majorHAnsi" w:eastAsia="Calibri" w:hAnsiTheme="majorHAnsi"/>
          <w:b/>
          <w:sz w:val="24"/>
          <w:lang w:eastAsia="en-US"/>
        </w:rPr>
      </w:pPr>
      <w:r w:rsidRPr="00785EAB">
        <w:rPr>
          <w:rFonts w:asciiTheme="majorHAnsi" w:eastAsia="Calibri" w:hAnsiTheme="majorHAnsi"/>
          <w:b/>
          <w:sz w:val="24"/>
          <w:lang w:eastAsia="en-US"/>
        </w:rPr>
        <w:t>1.3.1 Přehled podílu doplňkových činností, dokladů, objednávek, smluv a služebních vozů za poslední tři roky</w:t>
      </w:r>
    </w:p>
    <w:tbl>
      <w:tblPr>
        <w:tblW w:w="7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690"/>
        <w:gridCol w:w="709"/>
        <w:gridCol w:w="709"/>
        <w:gridCol w:w="709"/>
        <w:gridCol w:w="708"/>
        <w:gridCol w:w="709"/>
        <w:gridCol w:w="709"/>
        <w:gridCol w:w="709"/>
        <w:gridCol w:w="709"/>
      </w:tblGrid>
      <w:tr w:rsidR="00085D1D" w:rsidRPr="00785EAB" w:rsidTr="00C653B1">
        <w:trPr>
          <w:jc w:val="center"/>
        </w:trPr>
        <w:tc>
          <w:tcPr>
            <w:tcW w:w="1006" w:type="dxa"/>
            <w:vMerge w:val="restart"/>
            <w:tcBorders>
              <w:top w:val="single" w:sz="12" w:space="0" w:color="auto"/>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HS</w:t>
            </w:r>
          </w:p>
        </w:tc>
        <w:tc>
          <w:tcPr>
            <w:tcW w:w="2108" w:type="dxa"/>
            <w:gridSpan w:val="3"/>
            <w:tcBorders>
              <w:top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 xml:space="preserve">Podíl DČ v % </w:t>
            </w:r>
            <w:r w:rsidRPr="00785EAB">
              <w:rPr>
                <w:rFonts w:asciiTheme="majorHAnsi" w:eastAsia="Calibri" w:hAnsiTheme="majorHAnsi" w:cs="Calibri"/>
                <w:b/>
                <w:sz w:val="24"/>
                <w:vertAlign w:val="superscript"/>
                <w:lang w:eastAsia="en-US"/>
              </w:rPr>
              <w:t>1)</w:t>
            </w:r>
          </w:p>
        </w:tc>
        <w:tc>
          <w:tcPr>
            <w:tcW w:w="2126" w:type="dxa"/>
            <w:gridSpan w:val="3"/>
            <w:tcBorders>
              <w:top w:val="single" w:sz="12" w:space="0" w:color="auto"/>
              <w:left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Faktury přijaté</w:t>
            </w:r>
          </w:p>
        </w:tc>
        <w:tc>
          <w:tcPr>
            <w:tcW w:w="2127" w:type="dxa"/>
            <w:gridSpan w:val="3"/>
            <w:tcBorders>
              <w:top w:val="single" w:sz="12" w:space="0" w:color="auto"/>
              <w:left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Počty objednávek</w:t>
            </w:r>
          </w:p>
        </w:tc>
      </w:tr>
      <w:tr w:rsidR="00085D1D" w:rsidRPr="00785EAB" w:rsidTr="00C653B1">
        <w:trPr>
          <w:jc w:val="center"/>
        </w:trPr>
        <w:tc>
          <w:tcPr>
            <w:tcW w:w="1006" w:type="dxa"/>
            <w:vMerge/>
            <w:tcBorders>
              <w:left w:val="single" w:sz="12" w:space="0" w:color="auto"/>
              <w:bottom w:val="single" w:sz="12" w:space="0" w:color="auto"/>
            </w:tcBorders>
            <w:shd w:val="clear" w:color="auto" w:fill="auto"/>
          </w:tcPr>
          <w:p w:rsidR="00085D1D" w:rsidRPr="00785EAB" w:rsidRDefault="00085D1D" w:rsidP="00C653B1">
            <w:pPr>
              <w:spacing w:after="160" w:line="259" w:lineRule="auto"/>
              <w:rPr>
                <w:rFonts w:asciiTheme="majorHAnsi" w:eastAsia="Calibri" w:hAnsiTheme="majorHAnsi" w:cs="Calibri"/>
                <w:sz w:val="24"/>
                <w:lang w:eastAsia="en-US"/>
              </w:rPr>
            </w:pPr>
          </w:p>
        </w:tc>
        <w:tc>
          <w:tcPr>
            <w:tcW w:w="690"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09"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09" w:type="dxa"/>
            <w:tcBorders>
              <w:bottom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c>
          <w:tcPr>
            <w:tcW w:w="709" w:type="dxa"/>
            <w:tcBorders>
              <w:left w:val="single" w:sz="12" w:space="0" w:color="auto"/>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08"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09" w:type="dxa"/>
            <w:tcBorders>
              <w:bottom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c>
          <w:tcPr>
            <w:tcW w:w="709" w:type="dxa"/>
            <w:tcBorders>
              <w:left w:val="single" w:sz="12" w:space="0" w:color="auto"/>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09"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09" w:type="dxa"/>
            <w:tcBorders>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r>
      <w:tr w:rsidR="00085D1D" w:rsidRPr="00785EAB" w:rsidTr="00C653B1">
        <w:trPr>
          <w:jc w:val="center"/>
        </w:trPr>
        <w:tc>
          <w:tcPr>
            <w:tcW w:w="1006"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202</w:t>
            </w:r>
          </w:p>
        </w:tc>
        <w:tc>
          <w:tcPr>
            <w:tcW w:w="2108" w:type="dxa"/>
            <w:gridSpan w:val="3"/>
            <w:tcBorders>
              <w:top w:val="single" w:sz="12"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Pouze DČ.</w:t>
            </w:r>
          </w:p>
        </w:tc>
        <w:tc>
          <w:tcPr>
            <w:tcW w:w="709"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w:t>
            </w:r>
          </w:p>
        </w:tc>
        <w:tc>
          <w:tcPr>
            <w:tcW w:w="708" w:type="dxa"/>
            <w:tcBorders>
              <w:top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w:t>
            </w:r>
          </w:p>
        </w:tc>
        <w:tc>
          <w:tcPr>
            <w:tcW w:w="709" w:type="dxa"/>
            <w:tcBorders>
              <w:top w:val="single" w:sz="12"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w:t>
            </w:r>
          </w:p>
        </w:tc>
        <w:tc>
          <w:tcPr>
            <w:tcW w:w="709"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6"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203</w:t>
            </w:r>
          </w:p>
        </w:tc>
        <w:tc>
          <w:tcPr>
            <w:tcW w:w="690"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4,62</w:t>
            </w:r>
          </w:p>
        </w:tc>
        <w:tc>
          <w:tcPr>
            <w:tcW w:w="709" w:type="dxa"/>
            <w:shd w:val="clear" w:color="auto" w:fill="92D050"/>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3,69</w:t>
            </w:r>
          </w:p>
        </w:tc>
        <w:tc>
          <w:tcPr>
            <w:tcW w:w="709" w:type="dxa"/>
            <w:tcBorders>
              <w:right w:val="single" w:sz="12" w:space="0" w:color="auto"/>
            </w:tcBorders>
            <w:shd w:val="clear" w:color="auto" w:fill="92D050"/>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3,68</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214</w:t>
            </w:r>
          </w:p>
        </w:tc>
        <w:tc>
          <w:tcPr>
            <w:tcW w:w="708"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154</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139</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65</w:t>
            </w:r>
          </w:p>
        </w:tc>
        <w:tc>
          <w:tcPr>
            <w:tcW w:w="709"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79</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73</w:t>
            </w:r>
          </w:p>
        </w:tc>
      </w:tr>
      <w:tr w:rsidR="00085D1D" w:rsidRPr="00785EAB" w:rsidTr="00C653B1">
        <w:trPr>
          <w:jc w:val="center"/>
        </w:trPr>
        <w:tc>
          <w:tcPr>
            <w:tcW w:w="1006"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204</w:t>
            </w:r>
          </w:p>
        </w:tc>
        <w:tc>
          <w:tcPr>
            <w:tcW w:w="690"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1,01</w:t>
            </w:r>
          </w:p>
        </w:tc>
        <w:tc>
          <w:tcPr>
            <w:tcW w:w="709" w:type="dxa"/>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1,47</w:t>
            </w:r>
          </w:p>
        </w:tc>
        <w:tc>
          <w:tcPr>
            <w:tcW w:w="709" w:type="dxa"/>
            <w:tcBorders>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3,52</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36</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27</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34</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12</w:t>
            </w:r>
          </w:p>
        </w:tc>
        <w:tc>
          <w:tcPr>
            <w:tcW w:w="709"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15</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19</w:t>
            </w:r>
          </w:p>
        </w:tc>
      </w:tr>
      <w:tr w:rsidR="00085D1D" w:rsidRPr="00785EAB" w:rsidTr="00C653B1">
        <w:trPr>
          <w:jc w:val="center"/>
        </w:trPr>
        <w:tc>
          <w:tcPr>
            <w:tcW w:w="1006"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207</w:t>
            </w:r>
          </w:p>
        </w:tc>
        <w:tc>
          <w:tcPr>
            <w:tcW w:w="2108" w:type="dxa"/>
            <w:gridSpan w:val="3"/>
            <w:tcBorders>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Pouze DČ.</w:t>
            </w:r>
          </w:p>
        </w:tc>
        <w:tc>
          <w:tcPr>
            <w:tcW w:w="709"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w:t>
            </w:r>
          </w:p>
        </w:tc>
        <w:tc>
          <w:tcPr>
            <w:tcW w:w="708" w:type="dxa"/>
            <w:tcBorders>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6"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208</w:t>
            </w:r>
          </w:p>
        </w:tc>
        <w:tc>
          <w:tcPr>
            <w:tcW w:w="690"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2,56</w:t>
            </w:r>
          </w:p>
        </w:tc>
        <w:tc>
          <w:tcPr>
            <w:tcW w:w="709" w:type="dxa"/>
            <w:shd w:val="clear" w:color="auto" w:fill="92D050"/>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2,94</w:t>
            </w:r>
          </w:p>
        </w:tc>
        <w:tc>
          <w:tcPr>
            <w:tcW w:w="709" w:type="dxa"/>
            <w:tcBorders>
              <w:right w:val="single" w:sz="12" w:space="0" w:color="auto"/>
            </w:tcBorders>
            <w:shd w:val="clear" w:color="auto" w:fill="92D050"/>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3,27</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133</w:t>
            </w:r>
          </w:p>
        </w:tc>
        <w:tc>
          <w:tcPr>
            <w:tcW w:w="708"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109</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104</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82</w:t>
            </w:r>
          </w:p>
        </w:tc>
        <w:tc>
          <w:tcPr>
            <w:tcW w:w="709"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84</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136</w:t>
            </w:r>
          </w:p>
        </w:tc>
      </w:tr>
      <w:tr w:rsidR="00085D1D" w:rsidRPr="00785EAB" w:rsidTr="00C653B1">
        <w:trPr>
          <w:jc w:val="center"/>
        </w:trPr>
        <w:tc>
          <w:tcPr>
            <w:tcW w:w="1006"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209</w:t>
            </w:r>
          </w:p>
        </w:tc>
        <w:tc>
          <w:tcPr>
            <w:tcW w:w="690"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23,26</w:t>
            </w:r>
          </w:p>
        </w:tc>
        <w:tc>
          <w:tcPr>
            <w:tcW w:w="709" w:type="dxa"/>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27,75</w:t>
            </w:r>
          </w:p>
        </w:tc>
        <w:tc>
          <w:tcPr>
            <w:tcW w:w="709" w:type="dxa"/>
            <w:tcBorders>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35,21</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16</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19</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6"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210</w:t>
            </w:r>
          </w:p>
        </w:tc>
        <w:tc>
          <w:tcPr>
            <w:tcW w:w="690"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30,70</w:t>
            </w:r>
          </w:p>
        </w:tc>
        <w:tc>
          <w:tcPr>
            <w:tcW w:w="709" w:type="dxa"/>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29,95</w:t>
            </w:r>
          </w:p>
        </w:tc>
        <w:tc>
          <w:tcPr>
            <w:tcW w:w="709" w:type="dxa"/>
            <w:tcBorders>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28,49</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76</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49</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46</w:t>
            </w:r>
          </w:p>
        </w:tc>
        <w:tc>
          <w:tcPr>
            <w:tcW w:w="2127" w:type="dxa"/>
            <w:gridSpan w:val="3"/>
            <w:tcBorders>
              <w:left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1260</w:t>
            </w:r>
            <w:r w:rsidRPr="00785EAB">
              <w:rPr>
                <w:rFonts w:asciiTheme="majorHAnsi" w:eastAsia="Calibri" w:hAnsiTheme="majorHAnsi" w:cs="Calibri"/>
                <w:sz w:val="24"/>
                <w:vertAlign w:val="superscript"/>
                <w:lang w:eastAsia="en-US"/>
              </w:rPr>
              <w:t>2)</w:t>
            </w:r>
            <w:r w:rsidRPr="00785EAB">
              <w:rPr>
                <w:rFonts w:asciiTheme="majorHAnsi" w:eastAsia="Calibri" w:hAnsiTheme="majorHAnsi" w:cs="Calibri"/>
                <w:sz w:val="24"/>
                <w:lang w:eastAsia="en-US"/>
              </w:rPr>
              <w:t xml:space="preserve"> </w:t>
            </w:r>
          </w:p>
        </w:tc>
      </w:tr>
      <w:tr w:rsidR="00085D1D" w:rsidRPr="00785EAB" w:rsidTr="00C653B1">
        <w:trPr>
          <w:jc w:val="center"/>
        </w:trPr>
        <w:tc>
          <w:tcPr>
            <w:tcW w:w="1006"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211</w:t>
            </w:r>
          </w:p>
        </w:tc>
        <w:tc>
          <w:tcPr>
            <w:tcW w:w="2108" w:type="dxa"/>
            <w:gridSpan w:val="3"/>
            <w:tcBorders>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rPr>
                <w:rFonts w:asciiTheme="majorHAnsi" w:eastAsia="Calibri" w:hAnsiTheme="majorHAnsi" w:cs="Calibri"/>
                <w:sz w:val="24"/>
                <w:lang w:eastAsia="en-US"/>
              </w:rPr>
            </w:pPr>
            <w:r w:rsidRPr="00785EAB">
              <w:rPr>
                <w:rFonts w:asciiTheme="majorHAnsi" w:eastAsia="Calibri" w:hAnsiTheme="majorHAnsi" w:cs="Calibri"/>
                <w:sz w:val="24"/>
                <w:lang w:eastAsia="en-US"/>
              </w:rPr>
              <w:t>Podíl DČ se nepočítá, je nepatrný.</w:t>
            </w:r>
          </w:p>
        </w:tc>
        <w:tc>
          <w:tcPr>
            <w:tcW w:w="709"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79</w:t>
            </w:r>
          </w:p>
        </w:tc>
        <w:tc>
          <w:tcPr>
            <w:tcW w:w="708" w:type="dxa"/>
            <w:tcBorders>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79</w:t>
            </w:r>
          </w:p>
        </w:tc>
        <w:tc>
          <w:tcPr>
            <w:tcW w:w="709" w:type="dxa"/>
            <w:tcBorders>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69</w:t>
            </w:r>
          </w:p>
        </w:tc>
        <w:tc>
          <w:tcPr>
            <w:tcW w:w="709"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14</w:t>
            </w:r>
          </w:p>
        </w:tc>
        <w:tc>
          <w:tcPr>
            <w:tcW w:w="709" w:type="dxa"/>
            <w:tcBorders>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18</w:t>
            </w:r>
          </w:p>
        </w:tc>
        <w:tc>
          <w:tcPr>
            <w:tcW w:w="709" w:type="dxa"/>
            <w:tcBorders>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11</w:t>
            </w:r>
          </w:p>
        </w:tc>
      </w:tr>
    </w:tbl>
    <w:p w:rsidR="00085D1D" w:rsidRPr="00785EAB" w:rsidRDefault="00085D1D" w:rsidP="00085D1D">
      <w:pPr>
        <w:rPr>
          <w:rFonts w:asciiTheme="majorHAnsi" w:eastAsia="Calibri" w:hAnsiTheme="majorHAnsi" w:cs="Calibri"/>
          <w:sz w:val="24"/>
          <w:lang w:eastAsia="en-US"/>
        </w:rPr>
      </w:pPr>
      <w:r w:rsidRPr="00785EAB">
        <w:rPr>
          <w:rFonts w:asciiTheme="majorHAnsi" w:eastAsia="Calibri" w:hAnsiTheme="majorHAnsi" w:cs="Calibri"/>
          <w:sz w:val="24"/>
          <w:lang w:eastAsia="en-US"/>
        </w:rPr>
        <w:t xml:space="preserve">Pozn.: </w:t>
      </w:r>
    </w:p>
    <w:p w:rsidR="00085D1D" w:rsidRPr="00785EAB" w:rsidRDefault="00085D1D" w:rsidP="00085D1D">
      <w:pPr>
        <w:rPr>
          <w:rFonts w:asciiTheme="majorHAnsi" w:eastAsia="Calibri" w:hAnsiTheme="majorHAnsi" w:cs="Calibri"/>
          <w:sz w:val="24"/>
          <w:lang w:eastAsia="en-US"/>
        </w:rPr>
      </w:pPr>
      <w:r w:rsidRPr="00785EAB">
        <w:rPr>
          <w:rFonts w:asciiTheme="majorHAnsi" w:eastAsia="Calibri" w:hAnsiTheme="majorHAnsi" w:cs="Calibri"/>
          <w:sz w:val="24"/>
          <w:vertAlign w:val="superscript"/>
          <w:lang w:eastAsia="en-US"/>
        </w:rPr>
        <w:t>1)</w:t>
      </w:r>
      <w:r w:rsidRPr="00785EAB">
        <w:rPr>
          <w:rFonts w:asciiTheme="majorHAnsi" w:eastAsia="Calibri" w:hAnsiTheme="majorHAnsi" w:cs="Calibri"/>
          <w:sz w:val="24"/>
          <w:lang w:eastAsia="en-US"/>
        </w:rPr>
        <w:t xml:space="preserve"> Podíl DČ je uveden k 31. 12. příslušného kalendářního roku</w:t>
      </w:r>
    </w:p>
    <w:p w:rsidR="00085D1D" w:rsidRPr="00785EAB" w:rsidRDefault="00085D1D" w:rsidP="00085D1D">
      <w:pPr>
        <w:rPr>
          <w:rFonts w:asciiTheme="majorHAnsi" w:eastAsia="Calibri" w:hAnsiTheme="majorHAnsi" w:cs="Calibri"/>
          <w:sz w:val="24"/>
          <w:lang w:eastAsia="en-US"/>
        </w:rPr>
      </w:pPr>
      <w:r w:rsidRPr="00785EAB">
        <w:rPr>
          <w:rFonts w:asciiTheme="majorHAnsi" w:eastAsia="Calibri" w:hAnsiTheme="majorHAnsi" w:cs="Calibri"/>
          <w:sz w:val="24"/>
          <w:vertAlign w:val="superscript"/>
          <w:lang w:eastAsia="en-US"/>
        </w:rPr>
        <w:t>2)</w:t>
      </w:r>
      <w:r w:rsidRPr="00785EAB">
        <w:rPr>
          <w:rFonts w:asciiTheme="majorHAnsi" w:eastAsia="Calibri" w:hAnsiTheme="majorHAnsi" w:cs="Calibri"/>
          <w:sz w:val="24"/>
          <w:lang w:eastAsia="en-US"/>
        </w:rPr>
        <w:t xml:space="preserve"> Evidence je vedena kumulativně, stejně jako počty odběratelských smluv</w:t>
      </w:r>
    </w:p>
    <w:p w:rsidR="00085D1D" w:rsidRPr="00785EAB" w:rsidRDefault="00085D1D" w:rsidP="00085D1D">
      <w:pPr>
        <w:rPr>
          <w:rFonts w:asciiTheme="majorHAnsi" w:eastAsia="Calibri" w:hAnsiTheme="majorHAnsi" w:cs="Calibri"/>
          <w:sz w:val="24"/>
          <w:lang w:eastAsia="en-US"/>
        </w:rPr>
      </w:pPr>
    </w:p>
    <w:p w:rsidR="00085D1D" w:rsidRPr="00785EAB" w:rsidRDefault="00085D1D" w:rsidP="00085D1D">
      <w:pPr>
        <w:rPr>
          <w:rFonts w:asciiTheme="majorHAnsi" w:eastAsia="Calibri" w:hAnsiTheme="majorHAnsi" w:cs="Calibri"/>
          <w:sz w:val="24"/>
          <w:lang w:eastAsia="en-US"/>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84"/>
        <w:gridCol w:w="716"/>
        <w:gridCol w:w="712"/>
        <w:gridCol w:w="709"/>
        <w:gridCol w:w="708"/>
        <w:gridCol w:w="709"/>
        <w:gridCol w:w="709"/>
        <w:gridCol w:w="709"/>
        <w:gridCol w:w="708"/>
      </w:tblGrid>
      <w:tr w:rsidR="00085D1D" w:rsidRPr="00785EAB" w:rsidTr="00C653B1">
        <w:trPr>
          <w:jc w:val="center"/>
        </w:trPr>
        <w:tc>
          <w:tcPr>
            <w:tcW w:w="1002" w:type="dxa"/>
            <w:vMerge w:val="restart"/>
            <w:tcBorders>
              <w:top w:val="single" w:sz="12" w:space="0" w:color="auto"/>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HS</w:t>
            </w:r>
          </w:p>
        </w:tc>
        <w:tc>
          <w:tcPr>
            <w:tcW w:w="2112" w:type="dxa"/>
            <w:gridSpan w:val="3"/>
            <w:tcBorders>
              <w:top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Počty odběr. smluv</w:t>
            </w:r>
          </w:p>
        </w:tc>
        <w:tc>
          <w:tcPr>
            <w:tcW w:w="2126" w:type="dxa"/>
            <w:gridSpan w:val="3"/>
            <w:tcBorders>
              <w:top w:val="single" w:sz="12" w:space="0" w:color="auto"/>
              <w:left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Počty služeb. vozidel</w:t>
            </w:r>
          </w:p>
        </w:tc>
        <w:tc>
          <w:tcPr>
            <w:tcW w:w="2126" w:type="dxa"/>
            <w:gridSpan w:val="3"/>
            <w:tcBorders>
              <w:top w:val="single" w:sz="12" w:space="0" w:color="auto"/>
              <w:left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b/>
                <w:sz w:val="24"/>
                <w:lang w:eastAsia="en-US"/>
              </w:rPr>
            </w:pPr>
            <w:r w:rsidRPr="00785EAB">
              <w:rPr>
                <w:rFonts w:asciiTheme="majorHAnsi" w:eastAsia="Calibri" w:hAnsiTheme="majorHAnsi" w:cs="Calibri"/>
                <w:b/>
                <w:sz w:val="24"/>
                <w:lang w:eastAsia="en-US"/>
              </w:rPr>
              <w:t>Počty GPS</w:t>
            </w:r>
          </w:p>
        </w:tc>
      </w:tr>
      <w:tr w:rsidR="00085D1D" w:rsidRPr="00785EAB" w:rsidTr="00C653B1">
        <w:trPr>
          <w:jc w:val="center"/>
        </w:trPr>
        <w:tc>
          <w:tcPr>
            <w:tcW w:w="1002" w:type="dxa"/>
            <w:vMerge/>
            <w:tcBorders>
              <w:left w:val="single" w:sz="12" w:space="0" w:color="auto"/>
              <w:bottom w:val="single" w:sz="12" w:space="0" w:color="auto"/>
            </w:tcBorders>
            <w:shd w:val="clear" w:color="auto" w:fill="auto"/>
          </w:tcPr>
          <w:p w:rsidR="00085D1D" w:rsidRPr="00785EAB" w:rsidRDefault="00085D1D" w:rsidP="00C653B1">
            <w:pPr>
              <w:spacing w:after="160" w:line="259" w:lineRule="auto"/>
              <w:rPr>
                <w:rFonts w:asciiTheme="majorHAnsi" w:eastAsia="Calibri" w:hAnsiTheme="majorHAnsi" w:cs="Calibri"/>
                <w:sz w:val="24"/>
                <w:lang w:eastAsia="en-US"/>
              </w:rPr>
            </w:pPr>
          </w:p>
        </w:tc>
        <w:tc>
          <w:tcPr>
            <w:tcW w:w="684"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16"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12" w:type="dxa"/>
            <w:tcBorders>
              <w:bottom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c>
          <w:tcPr>
            <w:tcW w:w="709" w:type="dxa"/>
            <w:tcBorders>
              <w:left w:val="single" w:sz="12" w:space="0" w:color="auto"/>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08"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09" w:type="dxa"/>
            <w:tcBorders>
              <w:bottom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c>
          <w:tcPr>
            <w:tcW w:w="709" w:type="dxa"/>
            <w:tcBorders>
              <w:left w:val="single" w:sz="12" w:space="0" w:color="auto"/>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2013</w:t>
            </w:r>
          </w:p>
        </w:tc>
        <w:tc>
          <w:tcPr>
            <w:tcW w:w="709" w:type="dxa"/>
            <w:tcBorders>
              <w:bottom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2014</w:t>
            </w:r>
          </w:p>
        </w:tc>
        <w:tc>
          <w:tcPr>
            <w:tcW w:w="708" w:type="dxa"/>
            <w:tcBorders>
              <w:bottom w:val="single" w:sz="12" w:space="0" w:color="auto"/>
              <w:right w:val="single" w:sz="12" w:space="0" w:color="auto"/>
            </w:tcBorders>
            <w:shd w:val="clear" w:color="auto" w:fill="auto"/>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2015</w:t>
            </w:r>
          </w:p>
        </w:tc>
      </w:tr>
      <w:tr w:rsidR="00085D1D" w:rsidRPr="00785EAB" w:rsidTr="00C653B1">
        <w:trPr>
          <w:jc w:val="center"/>
        </w:trPr>
        <w:tc>
          <w:tcPr>
            <w:tcW w:w="1002"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202</w:t>
            </w:r>
          </w:p>
        </w:tc>
        <w:tc>
          <w:tcPr>
            <w:tcW w:w="684" w:type="dxa"/>
            <w:tcBorders>
              <w:top w:val="single" w:sz="12" w:space="0" w:color="auto"/>
              <w:bottom w:val="single" w:sz="4"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16" w:type="dxa"/>
            <w:tcBorders>
              <w:top w:val="single" w:sz="12" w:space="0" w:color="auto"/>
              <w:left w:val="single" w:sz="4" w:space="0" w:color="auto"/>
              <w:bottom w:val="single" w:sz="4"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12" w:type="dxa"/>
            <w:tcBorders>
              <w:top w:val="single" w:sz="12" w:space="0" w:color="auto"/>
              <w:left w:val="single" w:sz="4"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top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top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top w:val="single" w:sz="12"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2"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203</w:t>
            </w:r>
          </w:p>
        </w:tc>
        <w:tc>
          <w:tcPr>
            <w:tcW w:w="684" w:type="dxa"/>
            <w:tcBorders>
              <w:right w:val="single" w:sz="4"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w:t>
            </w:r>
          </w:p>
        </w:tc>
        <w:tc>
          <w:tcPr>
            <w:tcW w:w="716" w:type="dxa"/>
            <w:tcBorders>
              <w:left w:val="single" w:sz="4"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87</w:t>
            </w:r>
          </w:p>
        </w:tc>
        <w:tc>
          <w:tcPr>
            <w:tcW w:w="712"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73</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w:t>
            </w:r>
          </w:p>
        </w:tc>
        <w:tc>
          <w:tcPr>
            <w:tcW w:w="708"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15</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13</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9</w:t>
            </w:r>
          </w:p>
        </w:tc>
        <w:tc>
          <w:tcPr>
            <w:tcW w:w="709"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10</w:t>
            </w:r>
          </w:p>
        </w:tc>
        <w:tc>
          <w:tcPr>
            <w:tcW w:w="708"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11</w:t>
            </w:r>
          </w:p>
        </w:tc>
      </w:tr>
      <w:tr w:rsidR="00085D1D" w:rsidRPr="00785EAB" w:rsidTr="00C653B1">
        <w:trPr>
          <w:jc w:val="center"/>
        </w:trPr>
        <w:tc>
          <w:tcPr>
            <w:tcW w:w="1002"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204</w:t>
            </w:r>
          </w:p>
        </w:tc>
        <w:tc>
          <w:tcPr>
            <w:tcW w:w="684"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16"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12"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w:t>
            </w:r>
          </w:p>
        </w:tc>
        <w:tc>
          <w:tcPr>
            <w:tcW w:w="709"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w:t>
            </w:r>
          </w:p>
        </w:tc>
        <w:tc>
          <w:tcPr>
            <w:tcW w:w="708"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w:t>
            </w:r>
          </w:p>
        </w:tc>
      </w:tr>
      <w:tr w:rsidR="00085D1D" w:rsidRPr="00785EAB" w:rsidTr="00C653B1">
        <w:trPr>
          <w:jc w:val="center"/>
        </w:trPr>
        <w:tc>
          <w:tcPr>
            <w:tcW w:w="1002"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207</w:t>
            </w:r>
          </w:p>
        </w:tc>
        <w:tc>
          <w:tcPr>
            <w:tcW w:w="684" w:type="dxa"/>
            <w:tcBorders>
              <w:bottom w:val="single" w:sz="4"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33</w:t>
            </w:r>
          </w:p>
        </w:tc>
        <w:tc>
          <w:tcPr>
            <w:tcW w:w="716" w:type="dxa"/>
            <w:tcBorders>
              <w:bottom w:val="single" w:sz="4"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38</w:t>
            </w:r>
          </w:p>
        </w:tc>
        <w:tc>
          <w:tcPr>
            <w:tcW w:w="712" w:type="dxa"/>
            <w:tcBorders>
              <w:left w:val="single" w:sz="4" w:space="0" w:color="auto"/>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49</w:t>
            </w:r>
          </w:p>
        </w:tc>
        <w:tc>
          <w:tcPr>
            <w:tcW w:w="709"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left w:val="single" w:sz="12" w:space="0" w:color="auto"/>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bottom w:val="single" w:sz="4"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2"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lastRenderedPageBreak/>
              <w:t>208</w:t>
            </w:r>
          </w:p>
        </w:tc>
        <w:tc>
          <w:tcPr>
            <w:tcW w:w="684"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16"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3</w:t>
            </w:r>
          </w:p>
        </w:tc>
        <w:tc>
          <w:tcPr>
            <w:tcW w:w="712"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12</w:t>
            </w:r>
          </w:p>
        </w:tc>
        <w:tc>
          <w:tcPr>
            <w:tcW w:w="708"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12</w:t>
            </w:r>
          </w:p>
        </w:tc>
        <w:tc>
          <w:tcPr>
            <w:tcW w:w="709"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12</w:t>
            </w:r>
          </w:p>
        </w:tc>
        <w:tc>
          <w:tcPr>
            <w:tcW w:w="709" w:type="dxa"/>
            <w:tcBorders>
              <w:lef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w:t>
            </w:r>
          </w:p>
        </w:tc>
        <w:tc>
          <w:tcPr>
            <w:tcW w:w="709" w:type="dxa"/>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w:t>
            </w:r>
          </w:p>
        </w:tc>
        <w:tc>
          <w:tcPr>
            <w:tcW w:w="708" w:type="dxa"/>
            <w:tcBorders>
              <w:right w:val="single" w:sz="12" w:space="0" w:color="auto"/>
            </w:tcBorders>
            <w:shd w:val="clear" w:color="auto" w:fill="92D050"/>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8</w:t>
            </w:r>
          </w:p>
        </w:tc>
      </w:tr>
      <w:tr w:rsidR="00085D1D" w:rsidRPr="00785EAB" w:rsidTr="00C653B1">
        <w:trPr>
          <w:jc w:val="center"/>
        </w:trPr>
        <w:tc>
          <w:tcPr>
            <w:tcW w:w="1002"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209</w:t>
            </w:r>
          </w:p>
        </w:tc>
        <w:tc>
          <w:tcPr>
            <w:tcW w:w="684"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7</w:t>
            </w:r>
          </w:p>
        </w:tc>
        <w:tc>
          <w:tcPr>
            <w:tcW w:w="716"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5</w:t>
            </w:r>
          </w:p>
        </w:tc>
        <w:tc>
          <w:tcPr>
            <w:tcW w:w="712"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r w:rsidR="00085D1D" w:rsidRPr="00785EAB" w:rsidTr="00C653B1">
        <w:trPr>
          <w:jc w:val="center"/>
        </w:trPr>
        <w:tc>
          <w:tcPr>
            <w:tcW w:w="1002"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210</w:t>
            </w:r>
          </w:p>
        </w:tc>
        <w:tc>
          <w:tcPr>
            <w:tcW w:w="2112" w:type="dxa"/>
            <w:gridSpan w:val="3"/>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440</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14</w:t>
            </w:r>
          </w:p>
        </w:tc>
        <w:tc>
          <w:tcPr>
            <w:tcW w:w="708"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14</w:t>
            </w:r>
          </w:p>
        </w:tc>
        <w:tc>
          <w:tcPr>
            <w:tcW w:w="709"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15</w:t>
            </w:r>
          </w:p>
        </w:tc>
        <w:tc>
          <w:tcPr>
            <w:tcW w:w="709" w:type="dxa"/>
            <w:tcBorders>
              <w:lef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9</w:t>
            </w:r>
          </w:p>
        </w:tc>
        <w:tc>
          <w:tcPr>
            <w:tcW w:w="709" w:type="dxa"/>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9</w:t>
            </w:r>
          </w:p>
        </w:tc>
        <w:tc>
          <w:tcPr>
            <w:tcW w:w="708" w:type="dxa"/>
            <w:tcBorders>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11</w:t>
            </w:r>
          </w:p>
        </w:tc>
      </w:tr>
      <w:tr w:rsidR="00085D1D" w:rsidRPr="00785EAB" w:rsidTr="00C653B1">
        <w:trPr>
          <w:jc w:val="center"/>
        </w:trPr>
        <w:tc>
          <w:tcPr>
            <w:tcW w:w="1002"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211</w:t>
            </w:r>
          </w:p>
        </w:tc>
        <w:tc>
          <w:tcPr>
            <w:tcW w:w="684" w:type="dxa"/>
            <w:tcBorders>
              <w:bottom w:val="single" w:sz="12"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14</w:t>
            </w:r>
          </w:p>
        </w:tc>
        <w:tc>
          <w:tcPr>
            <w:tcW w:w="716" w:type="dxa"/>
            <w:tcBorders>
              <w:left w:val="single" w:sz="4" w:space="0" w:color="auto"/>
              <w:bottom w:val="single" w:sz="12" w:space="0" w:color="auto"/>
              <w:right w:val="single" w:sz="4"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18</w:t>
            </w:r>
          </w:p>
        </w:tc>
        <w:tc>
          <w:tcPr>
            <w:tcW w:w="712" w:type="dxa"/>
            <w:tcBorders>
              <w:left w:val="single" w:sz="4" w:space="0" w:color="auto"/>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11</w:t>
            </w:r>
          </w:p>
        </w:tc>
        <w:tc>
          <w:tcPr>
            <w:tcW w:w="709"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08" w:type="dxa"/>
            <w:tcBorders>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09" w:type="dxa"/>
            <w:tcBorders>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4</w:t>
            </w:r>
          </w:p>
        </w:tc>
        <w:tc>
          <w:tcPr>
            <w:tcW w:w="709" w:type="dxa"/>
            <w:tcBorders>
              <w:left w:val="single" w:sz="12" w:space="0" w:color="auto"/>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9" w:type="dxa"/>
            <w:tcBorders>
              <w:bottom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c>
          <w:tcPr>
            <w:tcW w:w="708" w:type="dxa"/>
            <w:tcBorders>
              <w:bottom w:val="single" w:sz="12" w:space="0" w:color="auto"/>
              <w:right w:val="single" w:sz="12" w:space="0" w:color="auto"/>
            </w:tcBorders>
            <w:shd w:val="clear" w:color="auto" w:fill="auto"/>
            <w:vAlign w:val="center"/>
          </w:tcPr>
          <w:p w:rsidR="00085D1D" w:rsidRPr="00785EAB" w:rsidRDefault="00085D1D" w:rsidP="00C653B1">
            <w:pPr>
              <w:spacing w:after="160" w:line="259" w:lineRule="auto"/>
              <w:jc w:val="center"/>
              <w:rPr>
                <w:rFonts w:asciiTheme="majorHAnsi" w:eastAsia="Calibri" w:hAnsiTheme="majorHAnsi" w:cs="Calibri"/>
                <w:sz w:val="24"/>
                <w:lang w:eastAsia="en-US"/>
              </w:rPr>
            </w:pPr>
            <w:r w:rsidRPr="00785EAB">
              <w:rPr>
                <w:rFonts w:asciiTheme="majorHAnsi" w:eastAsia="Calibri" w:hAnsiTheme="majorHAnsi" w:cs="Calibri"/>
                <w:sz w:val="24"/>
                <w:lang w:eastAsia="en-US"/>
              </w:rPr>
              <w:t>0</w:t>
            </w:r>
          </w:p>
        </w:tc>
      </w:tr>
    </w:tbl>
    <w:p w:rsidR="00085D1D" w:rsidRPr="00785EAB" w:rsidRDefault="00085D1D" w:rsidP="00085D1D">
      <w:pPr>
        <w:spacing w:after="160" w:line="259" w:lineRule="auto"/>
        <w:rPr>
          <w:rFonts w:asciiTheme="majorHAnsi" w:eastAsia="Calibri" w:hAnsiTheme="majorHAnsi"/>
          <w:b/>
          <w:sz w:val="24"/>
          <w:lang w:eastAsia="en-US"/>
        </w:rPr>
      </w:pPr>
    </w:p>
    <w:p w:rsidR="00085D1D" w:rsidRPr="00785EAB" w:rsidRDefault="00085D1D" w:rsidP="00085D1D">
      <w:pPr>
        <w:spacing w:after="160" w:line="259" w:lineRule="auto"/>
        <w:rPr>
          <w:rFonts w:asciiTheme="majorHAnsi" w:eastAsia="Calibri" w:hAnsiTheme="majorHAnsi"/>
          <w:b/>
          <w:sz w:val="24"/>
          <w:lang w:eastAsia="en-US"/>
        </w:rPr>
      </w:pPr>
      <w:r w:rsidRPr="00785EAB">
        <w:rPr>
          <w:rFonts w:asciiTheme="majorHAnsi" w:eastAsia="Calibri" w:hAnsiTheme="majorHAnsi"/>
          <w:b/>
          <w:sz w:val="24"/>
          <w:lang w:eastAsia="en-US"/>
        </w:rPr>
        <w:t>1.4 Výstupy provedené kontroly</w:t>
      </w:r>
    </w:p>
    <w:p w:rsidR="00085D1D" w:rsidRPr="00785EAB" w:rsidRDefault="00085D1D" w:rsidP="00085D1D">
      <w:pPr>
        <w:widowControl/>
        <w:numPr>
          <w:ilvl w:val="0"/>
          <w:numId w:val="11"/>
        </w:numPr>
        <w:adjustRightInd/>
        <w:spacing w:after="160" w:line="259" w:lineRule="auto"/>
        <w:contextualSpacing/>
        <w:textAlignment w:val="auto"/>
        <w:rPr>
          <w:rFonts w:asciiTheme="majorHAnsi" w:eastAsia="Calibri" w:hAnsiTheme="majorHAnsi"/>
          <w:b/>
          <w:sz w:val="24"/>
          <w:lang w:eastAsia="en-US"/>
        </w:rPr>
      </w:pPr>
      <w:r w:rsidRPr="00785EAB">
        <w:rPr>
          <w:rFonts w:asciiTheme="majorHAnsi" w:eastAsia="Calibri" w:hAnsiTheme="majorHAnsi"/>
          <w:b/>
          <w:sz w:val="24"/>
          <w:lang w:eastAsia="en-US"/>
        </w:rPr>
        <w:t xml:space="preserve">Zpráva z kontroly, která bude obsahovat níže uvedené minimální náležitosti: </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Identifikační údaje prověřovaného subjektu.</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Identifikační údaje subjektu, který kontrolu provedl včetně členů kontrolního týmu.</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Kontrolované období.</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Místo kontroly.</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Termín provedení kontroly.</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Předmět kontroly.</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 xml:space="preserve">Vymezení odpovědnosti (za vedení účetnictví a hospodaření s majetkem). </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 xml:space="preserve">Seznam všech ověřených skutečností. </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Seznam veškerých kontrolovaných dokladů.</w:t>
      </w:r>
    </w:p>
    <w:p w:rsidR="00085D1D" w:rsidRPr="00785EAB" w:rsidRDefault="00085D1D" w:rsidP="00085D1D">
      <w:pPr>
        <w:widowControl/>
        <w:numPr>
          <w:ilvl w:val="1"/>
          <w:numId w:val="19"/>
        </w:numPr>
        <w:adjustRightInd/>
        <w:spacing w:after="160" w:line="259" w:lineRule="auto"/>
        <w:contextualSpacing/>
        <w:textAlignment w:val="auto"/>
        <w:rPr>
          <w:rFonts w:asciiTheme="majorHAnsi" w:eastAsia="Calibri" w:hAnsiTheme="majorHAnsi"/>
          <w:sz w:val="24"/>
          <w:lang w:eastAsia="en-US"/>
        </w:rPr>
      </w:pPr>
      <w:r w:rsidRPr="00785EAB">
        <w:rPr>
          <w:rFonts w:asciiTheme="majorHAnsi" w:eastAsia="Calibri" w:hAnsiTheme="majorHAnsi"/>
          <w:sz w:val="24"/>
          <w:lang w:eastAsia="en-US"/>
        </w:rPr>
        <w:t>Přehled doporučení a zjištění.</w:t>
      </w:r>
    </w:p>
    <w:p w:rsidR="00085D1D" w:rsidRPr="00785EAB" w:rsidRDefault="00085D1D" w:rsidP="00085D1D">
      <w:pPr>
        <w:widowControl/>
        <w:numPr>
          <w:ilvl w:val="1"/>
          <w:numId w:val="19"/>
        </w:numPr>
        <w:adjustRightInd/>
        <w:spacing w:after="160" w:line="259" w:lineRule="auto"/>
        <w:contextualSpacing/>
        <w:jc w:val="left"/>
        <w:textAlignment w:val="auto"/>
        <w:rPr>
          <w:rFonts w:asciiTheme="majorHAnsi" w:eastAsia="Calibri" w:hAnsiTheme="majorHAnsi"/>
          <w:sz w:val="24"/>
          <w:lang w:eastAsia="en-US"/>
        </w:rPr>
      </w:pPr>
      <w:r w:rsidRPr="00785EAB">
        <w:rPr>
          <w:rFonts w:asciiTheme="majorHAnsi" w:eastAsia="Calibri" w:hAnsiTheme="majorHAnsi"/>
          <w:sz w:val="24"/>
          <w:lang w:eastAsia="en-US"/>
        </w:rPr>
        <w:t>Celkové vyčíslení zjištěných nedostatků.</w:t>
      </w:r>
    </w:p>
    <w:p w:rsidR="00085D1D" w:rsidRPr="00785EAB" w:rsidRDefault="00085D1D" w:rsidP="00085D1D">
      <w:pPr>
        <w:spacing w:after="160" w:line="259" w:lineRule="auto"/>
        <w:ind w:left="1440"/>
        <w:contextualSpacing/>
        <w:rPr>
          <w:rFonts w:asciiTheme="majorHAnsi" w:eastAsia="Calibri" w:hAnsiTheme="majorHAnsi"/>
          <w:sz w:val="24"/>
          <w:lang w:eastAsia="en-US"/>
        </w:rPr>
      </w:pPr>
    </w:p>
    <w:p w:rsidR="00085D1D" w:rsidRPr="00785EAB" w:rsidRDefault="00085D1D" w:rsidP="00085D1D">
      <w:pPr>
        <w:widowControl/>
        <w:numPr>
          <w:ilvl w:val="0"/>
          <w:numId w:val="11"/>
        </w:numPr>
        <w:adjustRightInd/>
        <w:spacing w:before="60" w:after="60" w:line="259" w:lineRule="auto"/>
        <w:contextualSpacing/>
        <w:textAlignment w:val="auto"/>
        <w:rPr>
          <w:rFonts w:asciiTheme="majorHAnsi" w:eastAsia="Calibri" w:hAnsiTheme="majorHAnsi"/>
          <w:b/>
          <w:sz w:val="24"/>
          <w:lang w:eastAsia="en-US"/>
        </w:rPr>
      </w:pPr>
      <w:r w:rsidRPr="00785EAB">
        <w:rPr>
          <w:rFonts w:asciiTheme="majorHAnsi" w:eastAsia="Calibri" w:hAnsiTheme="majorHAnsi"/>
          <w:b/>
          <w:sz w:val="24"/>
          <w:lang w:eastAsia="en-US"/>
        </w:rPr>
        <w:t xml:space="preserve">Návrh interního předpisu vztahujícího se k dodržování pravidel hospodaření s majetkem </w:t>
      </w:r>
      <w:r w:rsidRPr="00785EAB">
        <w:rPr>
          <w:rFonts w:asciiTheme="majorHAnsi" w:eastAsia="Calibri" w:hAnsiTheme="majorHAnsi"/>
          <w:b/>
          <w:sz w:val="24"/>
          <w:lang w:eastAsia="en-US"/>
        </w:rPr>
        <w:br/>
        <w:t>a finančních transakcí, obecně závazných předpisů a interních pravidel zřizovatele v rámci fakturace spojené</w:t>
      </w:r>
      <w:r>
        <w:rPr>
          <w:rFonts w:asciiTheme="majorHAnsi" w:eastAsia="Calibri" w:hAnsiTheme="majorHAnsi"/>
          <w:b/>
          <w:sz w:val="24"/>
          <w:lang w:eastAsia="en-US"/>
        </w:rPr>
        <w:t xml:space="preserve"> s výnosy doplňkových činností </w:t>
      </w:r>
      <w:r w:rsidRPr="00785EAB">
        <w:rPr>
          <w:rFonts w:asciiTheme="majorHAnsi" w:eastAsia="Calibri" w:hAnsiTheme="majorHAnsi"/>
          <w:b/>
          <w:sz w:val="24"/>
          <w:lang w:eastAsia="en-US"/>
        </w:rPr>
        <w:t>v min. rozsahu 5 stran.</w:t>
      </w:r>
    </w:p>
    <w:p w:rsidR="00085D1D" w:rsidRPr="00785EAB" w:rsidRDefault="00085D1D" w:rsidP="00085D1D">
      <w:pPr>
        <w:pStyle w:val="Odstavecseseznamem"/>
        <w:ind w:left="960"/>
        <w:rPr>
          <w:rFonts w:asciiTheme="majorHAnsi" w:hAnsiTheme="majorHAnsi"/>
          <w:sz w:val="24"/>
        </w:rPr>
      </w:pPr>
    </w:p>
    <w:p w:rsidR="00E524BC" w:rsidRDefault="00E524BC"/>
    <w:sectPr w:rsidR="00E524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5C" w:rsidRDefault="0080345C" w:rsidP="00CD0AE3">
      <w:pPr>
        <w:spacing w:line="240" w:lineRule="auto"/>
      </w:pPr>
      <w:r>
        <w:separator/>
      </w:r>
    </w:p>
  </w:endnote>
  <w:endnote w:type="continuationSeparator" w:id="0">
    <w:p w:rsidR="0080345C" w:rsidRDefault="0080345C" w:rsidP="00CD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86833"/>
      <w:docPartObj>
        <w:docPartGallery w:val="Page Numbers (Bottom of Page)"/>
        <w:docPartUnique/>
      </w:docPartObj>
    </w:sdtPr>
    <w:sdtEndPr>
      <w:rPr>
        <w:rFonts w:asciiTheme="majorHAnsi" w:hAnsiTheme="majorHAnsi" w:cstheme="majorHAnsi"/>
        <w:sz w:val="22"/>
        <w:szCs w:val="22"/>
      </w:rPr>
    </w:sdtEndPr>
    <w:sdtContent>
      <w:p w:rsidR="00CD0AE3" w:rsidRPr="00CD0AE3" w:rsidRDefault="00CD0AE3">
        <w:pPr>
          <w:pStyle w:val="Zpat"/>
          <w:jc w:val="right"/>
          <w:rPr>
            <w:rFonts w:asciiTheme="majorHAnsi" w:hAnsiTheme="majorHAnsi" w:cstheme="majorHAnsi"/>
            <w:sz w:val="22"/>
            <w:szCs w:val="22"/>
          </w:rPr>
        </w:pPr>
        <w:r w:rsidRPr="00CD0AE3">
          <w:rPr>
            <w:rFonts w:asciiTheme="majorHAnsi" w:hAnsiTheme="majorHAnsi" w:cstheme="majorHAnsi"/>
            <w:sz w:val="22"/>
            <w:szCs w:val="22"/>
          </w:rPr>
          <w:fldChar w:fldCharType="begin"/>
        </w:r>
        <w:r w:rsidRPr="00CD0AE3">
          <w:rPr>
            <w:rFonts w:asciiTheme="majorHAnsi" w:hAnsiTheme="majorHAnsi" w:cstheme="majorHAnsi"/>
            <w:sz w:val="22"/>
            <w:szCs w:val="22"/>
          </w:rPr>
          <w:instrText>PAGE   \* MERGEFORMAT</w:instrText>
        </w:r>
        <w:r w:rsidRPr="00CD0AE3">
          <w:rPr>
            <w:rFonts w:asciiTheme="majorHAnsi" w:hAnsiTheme="majorHAnsi" w:cstheme="majorHAnsi"/>
            <w:sz w:val="22"/>
            <w:szCs w:val="22"/>
          </w:rPr>
          <w:fldChar w:fldCharType="separate"/>
        </w:r>
        <w:r w:rsidR="00CD6AA8">
          <w:rPr>
            <w:rFonts w:asciiTheme="majorHAnsi" w:hAnsiTheme="majorHAnsi" w:cstheme="majorHAnsi"/>
            <w:noProof/>
            <w:sz w:val="22"/>
            <w:szCs w:val="22"/>
          </w:rPr>
          <w:t>9</w:t>
        </w:r>
        <w:r w:rsidRPr="00CD0AE3">
          <w:rPr>
            <w:rFonts w:asciiTheme="majorHAnsi" w:hAnsiTheme="majorHAnsi" w:cstheme="majorHAnsi"/>
            <w:sz w:val="22"/>
            <w:szCs w:val="22"/>
          </w:rPr>
          <w:fldChar w:fldCharType="end"/>
        </w:r>
      </w:p>
    </w:sdtContent>
  </w:sdt>
  <w:p w:rsidR="00CD0AE3" w:rsidRDefault="00CD0A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5C" w:rsidRDefault="0080345C" w:rsidP="00CD0AE3">
      <w:pPr>
        <w:spacing w:line="240" w:lineRule="auto"/>
      </w:pPr>
      <w:r>
        <w:separator/>
      </w:r>
    </w:p>
  </w:footnote>
  <w:footnote w:type="continuationSeparator" w:id="0">
    <w:p w:rsidR="0080345C" w:rsidRDefault="0080345C" w:rsidP="00CD0A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C50"/>
    <w:multiLevelType w:val="multilevel"/>
    <w:tmpl w:val="83EA437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E4C6B"/>
    <w:multiLevelType w:val="multilevel"/>
    <w:tmpl w:val="2AC66F16"/>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 w15:restartNumberingAfterBreak="0">
    <w:nsid w:val="11B6253B"/>
    <w:multiLevelType w:val="multilevel"/>
    <w:tmpl w:val="228CC684"/>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841B62"/>
    <w:multiLevelType w:val="multilevel"/>
    <w:tmpl w:val="A3E867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6940D6"/>
    <w:multiLevelType w:val="multilevel"/>
    <w:tmpl w:val="A3E867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8411AA"/>
    <w:multiLevelType w:val="multilevel"/>
    <w:tmpl w:val="62142BF0"/>
    <w:lvl w:ilvl="0">
      <w:start w:val="7"/>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FD7656"/>
    <w:multiLevelType w:val="hybridMultilevel"/>
    <w:tmpl w:val="27462D8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4E14D03"/>
    <w:multiLevelType w:val="hybridMultilevel"/>
    <w:tmpl w:val="500EBAEC"/>
    <w:lvl w:ilvl="0" w:tplc="04050003">
      <w:start w:val="1"/>
      <w:numFmt w:val="bullet"/>
      <w:lvlText w:val="o"/>
      <w:lvlJc w:val="left"/>
      <w:pPr>
        <w:ind w:left="2160" w:hanging="360"/>
      </w:pPr>
      <w:rPr>
        <w:rFonts w:ascii="Courier New" w:hAnsi="Courier New"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356A6BFB"/>
    <w:multiLevelType w:val="hybridMultilevel"/>
    <w:tmpl w:val="19CCF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F7760B"/>
    <w:multiLevelType w:val="hybridMultilevel"/>
    <w:tmpl w:val="AD90FC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ADF22F5"/>
    <w:multiLevelType w:val="multilevel"/>
    <w:tmpl w:val="A3E867B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7623D9"/>
    <w:multiLevelType w:val="hybridMultilevel"/>
    <w:tmpl w:val="E03C045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BE5FEC"/>
    <w:multiLevelType w:val="hybridMultilevel"/>
    <w:tmpl w:val="3452BE98"/>
    <w:lvl w:ilvl="0" w:tplc="04050003">
      <w:start w:val="1"/>
      <w:numFmt w:val="bullet"/>
      <w:lvlText w:val="o"/>
      <w:lvlJc w:val="left"/>
      <w:pPr>
        <w:ind w:left="2160" w:hanging="360"/>
      </w:pPr>
      <w:rPr>
        <w:rFonts w:ascii="Courier New" w:hAnsi="Courier New"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565304BF"/>
    <w:multiLevelType w:val="hybridMultilevel"/>
    <w:tmpl w:val="812034B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26E74D6"/>
    <w:multiLevelType w:val="hybridMultilevel"/>
    <w:tmpl w:val="FAD69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8F273A"/>
    <w:multiLevelType w:val="hybridMultilevel"/>
    <w:tmpl w:val="0EDEBB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51E0869"/>
    <w:multiLevelType w:val="multilevel"/>
    <w:tmpl w:val="A3E86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21477C"/>
    <w:multiLevelType w:val="multilevel"/>
    <w:tmpl w:val="A3E8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8404E0"/>
    <w:multiLevelType w:val="multilevel"/>
    <w:tmpl w:val="6E0A0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220CC0"/>
    <w:multiLevelType w:val="multilevel"/>
    <w:tmpl w:val="A3E867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367169"/>
    <w:multiLevelType w:val="multilevel"/>
    <w:tmpl w:val="DCC29D0E"/>
    <w:lvl w:ilvl="0">
      <w:start w:val="1"/>
      <w:numFmt w:val="decimal"/>
      <w:lvlText w:val="%1."/>
      <w:lvlJc w:val="left"/>
      <w:pPr>
        <w:ind w:left="1423" w:hanging="360"/>
      </w:pPr>
      <w:rPr>
        <w:i/>
      </w:rPr>
    </w:lvl>
    <w:lvl w:ilvl="1">
      <w:start w:val="1"/>
      <w:numFmt w:val="decimal"/>
      <w:isLgl/>
      <w:lvlText w:val="%1.%2"/>
      <w:lvlJc w:val="left"/>
      <w:pPr>
        <w:ind w:left="1423" w:hanging="36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143" w:hanging="1080"/>
      </w:pPr>
      <w:rPr>
        <w:rFonts w:hint="default"/>
      </w:rPr>
    </w:lvl>
    <w:lvl w:ilvl="6">
      <w:start w:val="1"/>
      <w:numFmt w:val="decimal"/>
      <w:isLgl/>
      <w:lvlText w:val="%1.%2.%3.%4.%5.%6.%7"/>
      <w:lvlJc w:val="left"/>
      <w:pPr>
        <w:ind w:left="2503" w:hanging="1440"/>
      </w:pPr>
      <w:rPr>
        <w:rFonts w:hint="default"/>
      </w:rPr>
    </w:lvl>
    <w:lvl w:ilvl="7">
      <w:start w:val="1"/>
      <w:numFmt w:val="decimal"/>
      <w:isLgl/>
      <w:lvlText w:val="%1.%2.%3.%4.%5.%6.%7.%8"/>
      <w:lvlJc w:val="left"/>
      <w:pPr>
        <w:ind w:left="2503" w:hanging="1440"/>
      </w:pPr>
      <w:rPr>
        <w:rFonts w:hint="default"/>
      </w:rPr>
    </w:lvl>
    <w:lvl w:ilvl="8">
      <w:start w:val="1"/>
      <w:numFmt w:val="decimal"/>
      <w:isLgl/>
      <w:lvlText w:val="%1.%2.%3.%4.%5.%6.%7.%8.%9"/>
      <w:lvlJc w:val="left"/>
      <w:pPr>
        <w:ind w:left="2863" w:hanging="1800"/>
      </w:pPr>
      <w:rPr>
        <w:rFonts w:hint="default"/>
      </w:rPr>
    </w:lvl>
  </w:abstractNum>
  <w:abstractNum w:abstractNumId="21" w15:restartNumberingAfterBreak="0">
    <w:nsid w:val="7C3A20DD"/>
    <w:multiLevelType w:val="hybridMultilevel"/>
    <w:tmpl w:val="E6B2CD7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0"/>
  </w:num>
  <w:num w:numId="4">
    <w:abstractNumId w:val="16"/>
  </w:num>
  <w:num w:numId="5">
    <w:abstractNumId w:val="3"/>
  </w:num>
  <w:num w:numId="6">
    <w:abstractNumId w:val="19"/>
  </w:num>
  <w:num w:numId="7">
    <w:abstractNumId w:val="4"/>
  </w:num>
  <w:num w:numId="8">
    <w:abstractNumId w:val="10"/>
  </w:num>
  <w:num w:numId="9">
    <w:abstractNumId w:val="17"/>
  </w:num>
  <w:num w:numId="10">
    <w:abstractNumId w:val="0"/>
  </w:num>
  <w:num w:numId="11">
    <w:abstractNumId w:val="8"/>
  </w:num>
  <w:num w:numId="12">
    <w:abstractNumId w:val="21"/>
  </w:num>
  <w:num w:numId="13">
    <w:abstractNumId w:val="6"/>
  </w:num>
  <w:num w:numId="14">
    <w:abstractNumId w:val="12"/>
  </w:num>
  <w:num w:numId="15">
    <w:abstractNumId w:val="13"/>
  </w:num>
  <w:num w:numId="16">
    <w:abstractNumId w:val="7"/>
  </w:num>
  <w:num w:numId="17">
    <w:abstractNumId w:val="9"/>
  </w:num>
  <w:num w:numId="18">
    <w:abstractNumId w:val="15"/>
  </w:num>
  <w:num w:numId="19">
    <w:abstractNumId w:val="11"/>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3F"/>
    <w:rsid w:val="00085D1D"/>
    <w:rsid w:val="00287BE7"/>
    <w:rsid w:val="003C673F"/>
    <w:rsid w:val="0080345C"/>
    <w:rsid w:val="00A42387"/>
    <w:rsid w:val="00CD0AE3"/>
    <w:rsid w:val="00CD6AA8"/>
    <w:rsid w:val="00E52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220CD4-E9E8-4420-9013-448425B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D1D"/>
    <w:pPr>
      <w:widowControl w:val="0"/>
      <w:adjustRightInd w:val="0"/>
      <w:spacing w:after="0" w:line="264" w:lineRule="auto"/>
      <w:jc w:val="both"/>
      <w:textAlignment w:val="baseline"/>
    </w:pPr>
    <w:rPr>
      <w:rFonts w:ascii="Cambria" w:eastAsia="Times New Roman" w:hAnsi="Cambria" w:cs="Times New Roman"/>
      <w:sz w:val="21"/>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Nad,List Paragraph,Odstavec cíl se seznamem,Odstavec se seznamem5,Odstavec_muj"/>
    <w:basedOn w:val="Normln"/>
    <w:link w:val="OdstavecseseznamemChar"/>
    <w:uiPriority w:val="34"/>
    <w:qFormat/>
    <w:rsid w:val="00085D1D"/>
    <w:pPr>
      <w:ind w:left="720"/>
      <w:contextualSpacing/>
    </w:pPr>
  </w:style>
  <w:style w:type="paragraph" w:styleId="Zpat">
    <w:name w:val="footer"/>
    <w:basedOn w:val="Normln"/>
    <w:link w:val="ZpatChar"/>
    <w:uiPriority w:val="99"/>
    <w:unhideWhenUsed/>
    <w:rsid w:val="00085D1D"/>
    <w:pPr>
      <w:tabs>
        <w:tab w:val="center" w:pos="4536"/>
        <w:tab w:val="right" w:pos="9072"/>
      </w:tabs>
      <w:spacing w:line="240" w:lineRule="auto"/>
    </w:pPr>
  </w:style>
  <w:style w:type="character" w:customStyle="1" w:styleId="ZpatChar">
    <w:name w:val="Zápatí Char"/>
    <w:basedOn w:val="Standardnpsmoodstavce"/>
    <w:link w:val="Zpat"/>
    <w:uiPriority w:val="99"/>
    <w:rsid w:val="00085D1D"/>
    <w:rPr>
      <w:rFonts w:ascii="Cambria" w:eastAsia="Times New Roman" w:hAnsi="Cambria" w:cs="Times New Roman"/>
      <w:sz w:val="21"/>
      <w:szCs w:val="24"/>
      <w:lang w:eastAsia="cs-CZ"/>
    </w:rPr>
  </w:style>
  <w:style w:type="character" w:customStyle="1" w:styleId="OdstavecseseznamemChar">
    <w:name w:val="Odstavec se seznamem Char"/>
    <w:aliases w:val="A-Odrážky1 Char,Nad Char,List Paragraph Char,Odstavec cíl se seznamem Char,Odstavec se seznamem5 Char,Odstavec_muj Char"/>
    <w:basedOn w:val="Standardnpsmoodstavce"/>
    <w:link w:val="Odstavecseseznamem"/>
    <w:uiPriority w:val="34"/>
    <w:rsid w:val="00085D1D"/>
    <w:rPr>
      <w:rFonts w:ascii="Cambria" w:eastAsia="Times New Roman" w:hAnsi="Cambria" w:cs="Times New Roman"/>
      <w:sz w:val="21"/>
      <w:szCs w:val="24"/>
      <w:lang w:eastAsia="cs-CZ"/>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1"/>
    <w:basedOn w:val="Normln"/>
    <w:link w:val="ZkladntextChar"/>
    <w:unhideWhenUsed/>
    <w:rsid w:val="00085D1D"/>
    <w:pPr>
      <w:spacing w:after="120" w:line="240" w:lineRule="auto"/>
      <w:jc w:val="left"/>
    </w:pPr>
    <w:rPr>
      <w:rFonts w:ascii="Times New Roman" w:hAnsi="Times New Roman"/>
      <w:sz w:val="24"/>
    </w:rPr>
  </w:style>
  <w:style w:type="character" w:customStyle="1" w:styleId="ZkladntextChar">
    <w:name w:val="Základní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link w:val="Zkladntext"/>
    <w:rsid w:val="00085D1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085D1D"/>
    <w:pPr>
      <w:widowControl/>
      <w:adjustRightInd/>
      <w:spacing w:line="240" w:lineRule="auto"/>
      <w:jc w:val="left"/>
      <w:textAlignment w:val="auto"/>
    </w:pPr>
    <w:rPr>
      <w:rFonts w:ascii="Consolas" w:eastAsia="Calibri" w:hAnsi="Consolas"/>
      <w:szCs w:val="21"/>
      <w:lang w:eastAsia="en-US"/>
    </w:rPr>
  </w:style>
  <w:style w:type="character" w:customStyle="1" w:styleId="ProsttextChar">
    <w:name w:val="Prostý text Char"/>
    <w:basedOn w:val="Standardnpsmoodstavce"/>
    <w:link w:val="Prosttext"/>
    <w:rsid w:val="00085D1D"/>
    <w:rPr>
      <w:rFonts w:ascii="Consolas" w:eastAsia="Calibri" w:hAnsi="Consolas" w:cs="Times New Roman"/>
      <w:sz w:val="21"/>
      <w:szCs w:val="21"/>
    </w:rPr>
  </w:style>
  <w:style w:type="paragraph" w:styleId="Titulek">
    <w:name w:val="caption"/>
    <w:aliases w:val="Obrázek"/>
    <w:basedOn w:val="Normln"/>
    <w:next w:val="Normln"/>
    <w:link w:val="TitulekChar"/>
    <w:qFormat/>
    <w:rsid w:val="00085D1D"/>
    <w:pPr>
      <w:widowControl/>
      <w:adjustRightInd/>
      <w:spacing w:line="240" w:lineRule="auto"/>
      <w:jc w:val="left"/>
      <w:textAlignment w:val="auto"/>
    </w:pPr>
    <w:rPr>
      <w:rFonts w:ascii="Times New Roman" w:hAnsi="Times New Roman"/>
      <w:b/>
      <w:bCs/>
      <w:sz w:val="20"/>
      <w:szCs w:val="20"/>
    </w:rPr>
  </w:style>
  <w:style w:type="character" w:customStyle="1" w:styleId="TitulekChar">
    <w:name w:val="Titulek Char"/>
    <w:aliases w:val="Obrázek Char"/>
    <w:basedOn w:val="Standardnpsmoodstavce"/>
    <w:link w:val="Titulek"/>
    <w:rsid w:val="00085D1D"/>
    <w:rPr>
      <w:rFonts w:ascii="Times New Roman" w:eastAsia="Times New Roman" w:hAnsi="Times New Roman" w:cs="Times New Roman"/>
      <w:b/>
      <w:bCs/>
      <w:sz w:val="20"/>
      <w:szCs w:val="20"/>
      <w:lang w:eastAsia="cs-CZ"/>
    </w:rPr>
  </w:style>
  <w:style w:type="paragraph" w:customStyle="1" w:styleId="Normln1">
    <w:name w:val="Normální1"/>
    <w:rsid w:val="00085D1D"/>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BodyText23">
    <w:name w:val="Body Text 23"/>
    <w:basedOn w:val="Normln"/>
    <w:rsid w:val="00085D1D"/>
    <w:pPr>
      <w:widowControl/>
      <w:overflowPunct w:val="0"/>
      <w:autoSpaceDE w:val="0"/>
      <w:autoSpaceDN w:val="0"/>
      <w:spacing w:before="60" w:after="40"/>
    </w:pPr>
    <w:rPr>
      <w:rFonts w:ascii="Arial" w:hAnsi="Arial"/>
      <w:b/>
      <w:sz w:val="20"/>
      <w:szCs w:val="20"/>
    </w:rPr>
  </w:style>
  <w:style w:type="paragraph" w:customStyle="1" w:styleId="BodyText31">
    <w:name w:val="Body Text 31"/>
    <w:basedOn w:val="Normln"/>
    <w:rsid w:val="00085D1D"/>
    <w:pPr>
      <w:widowControl/>
      <w:overflowPunct w:val="0"/>
      <w:autoSpaceDE w:val="0"/>
      <w:autoSpaceDN w:val="0"/>
      <w:spacing w:before="60" w:after="40"/>
    </w:pPr>
    <w:rPr>
      <w:rFonts w:ascii="Arial" w:hAnsi="Arial"/>
      <w:b/>
      <w:sz w:val="24"/>
      <w:szCs w:val="20"/>
    </w:rPr>
  </w:style>
  <w:style w:type="paragraph" w:customStyle="1" w:styleId="NadpisPoznmky">
    <w:name w:val="Nadpis Poznámky"/>
    <w:next w:val="Zkladntext"/>
    <w:rsid w:val="00085D1D"/>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y2">
    <w:name w:val="podpisy 2"/>
    <w:basedOn w:val="Normln"/>
    <w:next w:val="Zkladntext"/>
    <w:rsid w:val="00085D1D"/>
    <w:pPr>
      <w:widowControl/>
      <w:tabs>
        <w:tab w:val="center" w:pos="1304"/>
        <w:tab w:val="center" w:pos="4422"/>
      </w:tabs>
      <w:autoSpaceDE w:val="0"/>
      <w:autoSpaceDN w:val="0"/>
      <w:spacing w:line="220" w:lineRule="atLeast"/>
      <w:textAlignment w:val="auto"/>
    </w:pPr>
    <w:rPr>
      <w:rFonts w:ascii="Times New Roman" w:hAnsi="Times New Roman"/>
      <w:color w:val="000000"/>
      <w:sz w:val="18"/>
      <w:szCs w:val="18"/>
    </w:rPr>
  </w:style>
  <w:style w:type="paragraph" w:customStyle="1" w:styleId="podpis1">
    <w:name w:val="podpis 1"/>
    <w:next w:val="Zkladntext"/>
    <w:rsid w:val="00085D1D"/>
    <w:pPr>
      <w:tabs>
        <w:tab w:val="center" w:pos="2948"/>
      </w:tabs>
      <w:autoSpaceDE w:val="0"/>
      <w:autoSpaceDN w:val="0"/>
      <w:adjustRightInd w:val="0"/>
      <w:spacing w:after="0" w:line="220" w:lineRule="atLeast"/>
    </w:pPr>
    <w:rPr>
      <w:rFonts w:ascii="Times New Roman" w:eastAsia="Times New Roman" w:hAnsi="Times New Roman" w:cs="Times New Roman"/>
      <w:color w:val="000000"/>
      <w:sz w:val="18"/>
      <w:szCs w:val="18"/>
      <w:lang w:eastAsia="cs-CZ"/>
    </w:rPr>
  </w:style>
  <w:style w:type="paragraph" w:styleId="Zhlav">
    <w:name w:val="header"/>
    <w:basedOn w:val="Normln"/>
    <w:link w:val="ZhlavChar"/>
    <w:uiPriority w:val="99"/>
    <w:unhideWhenUsed/>
    <w:rsid w:val="00CD0AE3"/>
    <w:pPr>
      <w:tabs>
        <w:tab w:val="center" w:pos="4536"/>
        <w:tab w:val="right" w:pos="9072"/>
      </w:tabs>
      <w:spacing w:line="240" w:lineRule="auto"/>
    </w:pPr>
  </w:style>
  <w:style w:type="character" w:customStyle="1" w:styleId="ZhlavChar">
    <w:name w:val="Záhlaví Char"/>
    <w:basedOn w:val="Standardnpsmoodstavce"/>
    <w:link w:val="Zhlav"/>
    <w:uiPriority w:val="99"/>
    <w:rsid w:val="00CD0AE3"/>
    <w:rPr>
      <w:rFonts w:ascii="Cambria" w:eastAsia="Times New Roman" w:hAnsi="Cambria" w:cs="Times New Roman"/>
      <w:sz w:val="21"/>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3435</Words>
  <Characters>20268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Severová</dc:creator>
  <cp:keywords/>
  <dc:description/>
  <cp:lastModifiedBy>Irena Bambuchova</cp:lastModifiedBy>
  <cp:revision>3</cp:revision>
  <dcterms:created xsi:type="dcterms:W3CDTF">2016-12-19T12:56:00Z</dcterms:created>
  <dcterms:modified xsi:type="dcterms:W3CDTF">2017-01-16T12:59:00Z</dcterms:modified>
</cp:coreProperties>
</file>