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52" w:rsidRDefault="00CC3A2A">
      <w:pPr>
        <w:pStyle w:val="Nadpis2"/>
        <w:spacing w:before="73" w:line="259" w:lineRule="auto"/>
        <w:ind w:left="292" w:right="767" w:hanging="2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TF05000020 „</w:t>
      </w:r>
      <w:proofErr w:type="spellStart"/>
      <w:r>
        <w:t>MWPharmASIA</w:t>
      </w:r>
      <w:proofErr w:type="spellEnd"/>
      <w:r>
        <w:t xml:space="preserve"> -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léčivých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MWPharm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pro </w:t>
      </w:r>
      <w:proofErr w:type="spellStart"/>
      <w:r>
        <w:t>východoasijskou</w:t>
      </w:r>
      <w:proofErr w:type="spellEnd"/>
      <w:r>
        <w:t xml:space="preserve"> </w:t>
      </w:r>
      <w:proofErr w:type="spellStart"/>
      <w:r>
        <w:t>populaci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NGS </w:t>
      </w:r>
      <w:proofErr w:type="spellStart"/>
      <w:r>
        <w:t>diagnostického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a </w:t>
      </w:r>
      <w:proofErr w:type="spellStart"/>
      <w:r>
        <w:t>algoritmu</w:t>
      </w:r>
      <w:proofErr w:type="spellEnd"/>
      <w:r>
        <w:t xml:space="preserve"> pro </w:t>
      </w:r>
      <w:proofErr w:type="spellStart"/>
      <w:r>
        <w:t>predikci</w:t>
      </w:r>
      <w:proofErr w:type="spellEnd"/>
      <w:r>
        <w:t xml:space="preserve"> PK/PD </w:t>
      </w:r>
      <w:proofErr w:type="spellStart"/>
      <w:r>
        <w:t>modelů</w:t>
      </w:r>
      <w:proofErr w:type="spellEnd"/>
      <w:r>
        <w:t xml:space="preserve"> </w:t>
      </w:r>
      <w:proofErr w:type="spellStart"/>
      <w:proofErr w:type="gramStart"/>
      <w:r>
        <w:t>statinů</w:t>
      </w:r>
      <w:proofErr w:type="spellEnd"/>
      <w:r>
        <w:t>“</w:t>
      </w:r>
      <w:proofErr w:type="gramEnd"/>
    </w:p>
    <w:p w:rsidR="00213252" w:rsidRDefault="00CC3A2A">
      <w:pPr>
        <w:pStyle w:val="Zkladntext"/>
        <w:spacing w:before="160"/>
        <w:ind w:left="3310" w:right="3733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spacing w:before="9"/>
        <w:rPr>
          <w:sz w:val="26"/>
        </w:rPr>
      </w:pPr>
    </w:p>
    <w:p w:rsidR="00213252" w:rsidRDefault="00CC3A2A">
      <w:pPr>
        <w:pStyle w:val="Nadpis2"/>
        <w:spacing w:before="0"/>
        <w:ind w:left="216" w:right="0"/>
        <w:jc w:val="left"/>
      </w:pPr>
      <w:r>
        <w:t xml:space="preserve">MEDIWARE </w:t>
      </w:r>
      <w:proofErr w:type="spellStart"/>
      <w:r>
        <w:t>a.s.</w:t>
      </w:r>
      <w:proofErr w:type="spellEnd"/>
    </w:p>
    <w:p w:rsidR="00213252" w:rsidRDefault="00CC3A2A">
      <w:pPr>
        <w:pStyle w:val="Zkladntext"/>
        <w:spacing w:before="181"/>
        <w:ind w:left="216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Evropská</w:t>
      </w:r>
      <w:proofErr w:type="spellEnd"/>
      <w:r>
        <w:t xml:space="preserve"> 655/116, </w:t>
      </w:r>
      <w:proofErr w:type="spellStart"/>
      <w:r>
        <w:t>Dejvice</w:t>
      </w:r>
      <w:proofErr w:type="spellEnd"/>
      <w:r>
        <w:t>, 160 00 Praha 6</w:t>
      </w:r>
    </w:p>
    <w:p w:rsidR="00213252" w:rsidRDefault="00CC3A2A">
      <w:pPr>
        <w:pStyle w:val="Zkladntext"/>
        <w:spacing w:before="181"/>
        <w:ind w:left="216"/>
      </w:pPr>
      <w:r>
        <w:t>IČO: 267 39 488, DIČ: CZ267 39 488</w:t>
      </w:r>
    </w:p>
    <w:p w:rsidR="00213252" w:rsidRDefault="00CC3A2A">
      <w:pPr>
        <w:pStyle w:val="Zkladntext"/>
        <w:spacing w:before="179"/>
        <w:ind w:left="216"/>
      </w:pPr>
      <w:proofErr w:type="spellStart"/>
      <w:r>
        <w:t>zápis</w:t>
      </w:r>
      <w:proofErr w:type="spellEnd"/>
      <w:r>
        <w:t xml:space="preserve"> v OR: </w:t>
      </w:r>
      <w:proofErr w:type="spellStart"/>
      <w:r>
        <w:t>Městský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8009</w:t>
      </w:r>
    </w:p>
    <w:p w:rsidR="00213252" w:rsidRDefault="00CC3A2A">
      <w:pPr>
        <w:pStyle w:val="Zkladntext"/>
        <w:tabs>
          <w:tab w:val="left" w:pos="1631"/>
        </w:tabs>
        <w:spacing w:before="182" w:line="408" w:lineRule="auto"/>
        <w:ind w:left="1631" w:right="3478" w:hanging="1416"/>
      </w:pPr>
      <w:proofErr w:type="spellStart"/>
      <w:r>
        <w:t>zastoupená</w:t>
      </w:r>
      <w:proofErr w:type="spellEnd"/>
      <w:r>
        <w:t>:</w:t>
      </w:r>
      <w:r>
        <w:tab/>
      </w:r>
    </w:p>
    <w:p w:rsidR="00FB2B31" w:rsidRDefault="00FB2B31">
      <w:pPr>
        <w:pStyle w:val="Zkladntext"/>
        <w:tabs>
          <w:tab w:val="left" w:pos="1631"/>
        </w:tabs>
        <w:spacing w:before="182" w:line="408" w:lineRule="auto"/>
        <w:ind w:left="1631" w:right="3478" w:hanging="1416"/>
      </w:pPr>
    </w:p>
    <w:p w:rsidR="00213252" w:rsidRDefault="00CC3A2A">
      <w:pPr>
        <w:pStyle w:val="Zkladntext"/>
        <w:spacing w:line="408" w:lineRule="auto"/>
        <w:ind w:left="216" w:right="4859"/>
      </w:pPr>
      <w:proofErr w:type="spellStart"/>
      <w:r>
        <w:t>jako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Příjemce</w:t>
      </w:r>
      <w:proofErr w:type="spellEnd"/>
      <w:r>
        <w:t>“</w:t>
      </w:r>
      <w:proofErr w:type="gramEnd"/>
      <w:r>
        <w:t>) a</w:t>
      </w:r>
    </w:p>
    <w:p w:rsidR="00213252" w:rsidRDefault="00CC3A2A">
      <w:pPr>
        <w:pStyle w:val="Nadpis2"/>
        <w:spacing w:before="0" w:line="257" w:lineRule="exact"/>
        <w:ind w:left="216" w:right="0"/>
        <w:jc w:val="left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 </w:t>
      </w:r>
      <w:proofErr w:type="spellStart"/>
      <w:r>
        <w:t>Praze</w:t>
      </w:r>
      <w:proofErr w:type="spellEnd"/>
    </w:p>
    <w:p w:rsidR="00213252" w:rsidRDefault="00CC3A2A">
      <w:pPr>
        <w:spacing w:before="180"/>
        <w:ind w:left="216"/>
        <w:rPr>
          <w:b/>
        </w:rPr>
      </w:pPr>
      <w:proofErr w:type="spellStart"/>
      <w:r>
        <w:rPr>
          <w:b/>
        </w:rPr>
        <w:t>Český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robotiky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kybernetiky</w:t>
      </w:r>
      <w:proofErr w:type="spellEnd"/>
    </w:p>
    <w:p w:rsidR="00213252" w:rsidRDefault="00CC3A2A">
      <w:pPr>
        <w:pStyle w:val="Zkladntext"/>
        <w:spacing w:before="181" w:line="405" w:lineRule="auto"/>
        <w:ind w:left="216" w:right="4094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 Praha 6, 160 00 IČ: 68407700, DIČ: CZ68407700</w:t>
      </w:r>
    </w:p>
    <w:p w:rsidR="00FB2B31" w:rsidRDefault="00CC3A2A">
      <w:pPr>
        <w:pStyle w:val="Zkladntext"/>
        <w:spacing w:before="4" w:line="408" w:lineRule="auto"/>
        <w:ind w:left="216" w:right="6103"/>
      </w:pPr>
      <w:proofErr w:type="spellStart"/>
      <w:r>
        <w:t>zastoupeno</w:t>
      </w:r>
      <w:proofErr w:type="spellEnd"/>
      <w:r>
        <w:t xml:space="preserve">: </w:t>
      </w:r>
    </w:p>
    <w:p w:rsidR="00213252" w:rsidRDefault="00CC3A2A">
      <w:pPr>
        <w:pStyle w:val="Zkladntext"/>
        <w:spacing w:before="4" w:line="408" w:lineRule="auto"/>
        <w:ind w:left="216" w:right="6103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107-5264540257/0100</w:t>
      </w:r>
    </w:p>
    <w:p w:rsidR="00213252" w:rsidRDefault="00CC3A2A">
      <w:pPr>
        <w:pStyle w:val="Zkladntext"/>
        <w:ind w:left="216"/>
      </w:pPr>
      <w:proofErr w:type="spellStart"/>
      <w:r>
        <w:t>jako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proofErr w:type="gramStart"/>
      <w:r>
        <w:t>účastník</w:t>
      </w:r>
      <w:proofErr w:type="spellEnd"/>
      <w:r>
        <w:t>“</w:t>
      </w:r>
      <w:proofErr w:type="gramEnd"/>
      <w:r>
        <w:t>)</w:t>
      </w:r>
    </w:p>
    <w:p w:rsidR="00213252" w:rsidRDefault="00CC3A2A">
      <w:pPr>
        <w:pStyle w:val="Zkladntext"/>
        <w:spacing w:before="182"/>
        <w:ind w:left="216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</w:t>
      </w: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spacing w:before="8"/>
        <w:rPr>
          <w:sz w:val="26"/>
        </w:rPr>
      </w:pPr>
    </w:p>
    <w:p w:rsidR="00213252" w:rsidRDefault="00CC3A2A">
      <w:pPr>
        <w:pStyle w:val="Zkladntext"/>
        <w:spacing w:line="259" w:lineRule="auto"/>
        <w:ind w:left="216" w:right="686"/>
        <w:jc w:val="both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16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TAČR,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213252" w:rsidRDefault="00CC3A2A">
      <w:pPr>
        <w:pStyle w:val="Nadpis2"/>
        <w:spacing w:before="158"/>
        <w:ind w:left="3310"/>
      </w:pPr>
      <w:proofErr w:type="spellStart"/>
      <w:r>
        <w:t>Preambule</w:t>
      </w:r>
      <w:proofErr w:type="spellEnd"/>
    </w:p>
    <w:p w:rsidR="00213252" w:rsidRDefault="00CC3A2A">
      <w:pPr>
        <w:pStyle w:val="Zkladntext"/>
        <w:spacing w:before="181"/>
        <w:ind w:left="216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TF05000020</w:t>
      </w:r>
    </w:p>
    <w:p w:rsidR="00213252" w:rsidRDefault="00CC3A2A">
      <w:pPr>
        <w:pStyle w:val="Zkladntext"/>
        <w:spacing w:before="21" w:line="259" w:lineRule="auto"/>
        <w:ind w:left="216" w:right="686"/>
        <w:jc w:val="both"/>
      </w:pPr>
      <w:r>
        <w:t>„</w:t>
      </w:r>
      <w:proofErr w:type="spellStart"/>
      <w:r>
        <w:t>MWPharmASIA</w:t>
      </w:r>
      <w:proofErr w:type="spellEnd"/>
      <w:r>
        <w:t xml:space="preserve"> -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léčivých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MWPharm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pro </w:t>
      </w:r>
      <w:proofErr w:type="spellStart"/>
      <w:r>
        <w:t>východoasijskou</w:t>
      </w:r>
      <w:proofErr w:type="spellEnd"/>
      <w:r>
        <w:t xml:space="preserve"> </w:t>
      </w:r>
      <w:proofErr w:type="spellStart"/>
      <w:r>
        <w:t>populaci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NGS </w:t>
      </w:r>
      <w:proofErr w:type="spellStart"/>
      <w:r>
        <w:t>diagnostického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a </w:t>
      </w:r>
      <w:proofErr w:type="spellStart"/>
      <w:r>
        <w:t>algoritmu</w:t>
      </w:r>
      <w:proofErr w:type="spellEnd"/>
      <w:r>
        <w:t xml:space="preserve"> pro </w:t>
      </w:r>
      <w:proofErr w:type="spellStart"/>
      <w:r>
        <w:t>predikci</w:t>
      </w:r>
      <w:proofErr w:type="spellEnd"/>
      <w:r>
        <w:t xml:space="preserve"> PK/PD </w:t>
      </w:r>
      <w:proofErr w:type="spellStart"/>
      <w:r>
        <w:t>modelů</w:t>
      </w:r>
      <w:proofErr w:type="spellEnd"/>
      <w:r>
        <w:t xml:space="preserve"> </w:t>
      </w:r>
      <w:proofErr w:type="spellStart"/>
      <w:r>
        <w:t>statinů</w:t>
      </w:r>
      <w:proofErr w:type="spellEnd"/>
      <w:r>
        <w:t>“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 z </w:t>
      </w:r>
      <w:proofErr w:type="spellStart"/>
      <w:r>
        <w:t>výdajů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kapitoly</w:t>
      </w:r>
      <w:proofErr w:type="spellEnd"/>
      <w:r>
        <w:t xml:space="preserve"> </w:t>
      </w:r>
      <w:proofErr w:type="spellStart"/>
      <w:r>
        <w:t>Technologické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IČO: 72050365,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Evropská</w:t>
      </w:r>
      <w:proofErr w:type="spellEnd"/>
      <w:r>
        <w:t xml:space="preserve"> 1692/37, 160 00 Praha 6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„</w:t>
      </w:r>
      <w:proofErr w:type="spellStart"/>
      <w:r>
        <w:t>Poskytovatel</w:t>
      </w:r>
      <w:proofErr w:type="spellEnd"/>
      <w:r>
        <w:t xml:space="preserve">" </w:t>
      </w:r>
      <w:proofErr w:type="spellStart"/>
      <w:r>
        <w:t>nebo</w:t>
      </w:r>
      <w:proofErr w:type="spellEnd"/>
      <w:r>
        <w:t xml:space="preserve"> „TAČR")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a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2017TF05000020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ev</w:t>
      </w:r>
      <w:proofErr w:type="spellEnd"/>
      <w:r>
        <w:t>. č.</w:t>
      </w:r>
      <w:r>
        <w:rPr>
          <w:spacing w:val="-5"/>
        </w:rPr>
        <w:t xml:space="preserve"> </w:t>
      </w:r>
      <w:r>
        <w:t>TF05000020.</w:t>
      </w:r>
    </w:p>
    <w:p w:rsidR="00213252" w:rsidRDefault="00213252">
      <w:pPr>
        <w:spacing w:line="259" w:lineRule="auto"/>
        <w:jc w:val="both"/>
        <w:sectPr w:rsidR="00213252">
          <w:footerReference w:type="default" r:id="rId7"/>
          <w:type w:val="continuous"/>
          <w:pgSz w:w="11900" w:h="16840"/>
          <w:pgMar w:top="1340" w:right="720" w:bottom="1200" w:left="1200" w:header="708" w:footer="1006" w:gutter="0"/>
          <w:pgNumType w:start="1"/>
          <w:cols w:space="708"/>
        </w:sectPr>
      </w:pPr>
    </w:p>
    <w:p w:rsidR="00213252" w:rsidRDefault="00CC3A2A">
      <w:pPr>
        <w:pStyle w:val="Zkladntext"/>
        <w:spacing w:before="73" w:line="259" w:lineRule="auto"/>
        <w:ind w:left="216" w:right="687"/>
        <w:jc w:val="both"/>
      </w:pPr>
      <w:proofErr w:type="spellStart"/>
      <w:r>
        <w:lastRenderedPageBreak/>
        <w:t>Dne</w:t>
      </w:r>
      <w:proofErr w:type="spellEnd"/>
      <w:r>
        <w:t xml:space="preserve"> 31. 1. 2018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k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č. TF05000020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proofErr w:type="gramStart"/>
      <w:r>
        <w:t>projektu</w:t>
      </w:r>
      <w:proofErr w:type="spellEnd"/>
      <w:r>
        <w:t>“ viz</w:t>
      </w:r>
      <w:proofErr w:type="gramEnd"/>
      <w:r>
        <w:t xml:space="preserve"> </w:t>
      </w:r>
      <w:proofErr w:type="spellStart"/>
      <w:r>
        <w:t>příloha</w:t>
      </w:r>
      <w:proofErr w:type="spellEnd"/>
      <w:r>
        <w:t xml:space="preserve"> č. 2),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určuje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rPr>
          <w:spacing w:val="-1"/>
        </w:rPr>
        <w:t xml:space="preserve"> </w:t>
      </w:r>
      <w:proofErr w:type="spellStart"/>
      <w:r>
        <w:t>Projektu</w:t>
      </w:r>
      <w:proofErr w:type="spellEnd"/>
      <w:r>
        <w:t>.</w:t>
      </w:r>
    </w:p>
    <w:p w:rsidR="00213252" w:rsidRDefault="00CC3A2A">
      <w:pPr>
        <w:pStyle w:val="Nadpis2"/>
        <w:spacing w:before="160"/>
      </w:pPr>
      <w:r>
        <w:t>I.</w:t>
      </w:r>
    </w:p>
    <w:p w:rsidR="00213252" w:rsidRDefault="00CC3A2A">
      <w:pPr>
        <w:spacing w:before="182"/>
        <w:ind w:left="3310" w:right="3784"/>
        <w:jc w:val="center"/>
        <w:rPr>
          <w:b/>
        </w:rPr>
      </w:pPr>
      <w:proofErr w:type="spellStart"/>
      <w:r>
        <w:rPr>
          <w:b/>
        </w:rPr>
        <w:t>Identifikační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:rsidR="00213252" w:rsidRDefault="00CC3A2A">
      <w:pPr>
        <w:pStyle w:val="Zkladntext"/>
        <w:spacing w:before="178"/>
        <w:ind w:left="499"/>
      </w:pPr>
      <w:r>
        <w:t xml:space="preserve">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řešiteli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TAČR č. TF05000020 s </w:t>
      </w:r>
      <w:proofErr w:type="spellStart"/>
      <w:r>
        <w:t>názvem</w:t>
      </w:r>
      <w:proofErr w:type="spellEnd"/>
    </w:p>
    <w:p w:rsidR="00213252" w:rsidRDefault="00CC3A2A">
      <w:pPr>
        <w:pStyle w:val="Zkladntext"/>
        <w:spacing w:before="21" w:line="259" w:lineRule="auto"/>
        <w:ind w:left="859" w:right="688"/>
        <w:jc w:val="both"/>
      </w:pPr>
      <w:r>
        <w:t>„</w:t>
      </w:r>
      <w:proofErr w:type="spellStart"/>
      <w:r>
        <w:t>MWPharmASIA</w:t>
      </w:r>
      <w:proofErr w:type="spellEnd"/>
      <w:r>
        <w:t xml:space="preserve"> -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léčivých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MWPharm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pro </w:t>
      </w:r>
      <w:proofErr w:type="spellStart"/>
      <w:r>
        <w:t>východoasijskou</w:t>
      </w:r>
      <w:proofErr w:type="spellEnd"/>
      <w:r>
        <w:t xml:space="preserve"> </w:t>
      </w:r>
      <w:proofErr w:type="spellStart"/>
      <w:r>
        <w:t>populaci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NGS </w:t>
      </w:r>
      <w:proofErr w:type="spellStart"/>
      <w:r>
        <w:t>diagnostického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a </w:t>
      </w:r>
      <w:proofErr w:type="spellStart"/>
      <w:r>
        <w:t>algoritmu</w:t>
      </w:r>
      <w:proofErr w:type="spellEnd"/>
      <w:r>
        <w:t xml:space="preserve"> pro </w:t>
      </w:r>
      <w:proofErr w:type="spellStart"/>
      <w:r>
        <w:t>predikci</w:t>
      </w:r>
      <w:proofErr w:type="spellEnd"/>
      <w:r>
        <w:t xml:space="preserve"> PK/PD </w:t>
      </w:r>
      <w:proofErr w:type="spellStart"/>
      <w:r>
        <w:t>modelů</w:t>
      </w:r>
      <w:proofErr w:type="spellEnd"/>
      <w:r>
        <w:t xml:space="preserve"> </w:t>
      </w:r>
      <w:proofErr w:type="spellStart"/>
      <w:proofErr w:type="gramStart"/>
      <w:r>
        <w:t>statinů</w:t>
      </w:r>
      <w:proofErr w:type="spellEnd"/>
      <w:r>
        <w:t>“ a</w:t>
      </w:r>
      <w:proofErr w:type="gramEnd"/>
      <w:r>
        <w:t xml:space="preserve"> s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identifikačními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>:</w:t>
      </w:r>
    </w:p>
    <w:p w:rsidR="00213252" w:rsidRDefault="00CC3A2A">
      <w:pPr>
        <w:pStyle w:val="Zkladntext"/>
        <w:spacing w:line="259" w:lineRule="auto"/>
        <w:ind w:left="859" w:right="688"/>
        <w:jc w:val="both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</w:t>
      </w:r>
      <w:proofErr w:type="spellStart"/>
      <w:r>
        <w:t>MWPharmASIA</w:t>
      </w:r>
      <w:proofErr w:type="spellEnd"/>
      <w:r>
        <w:t xml:space="preserve"> -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léčivých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MWPharm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pro </w:t>
      </w:r>
      <w:proofErr w:type="spellStart"/>
      <w:r>
        <w:t>východoasijskou</w:t>
      </w:r>
      <w:proofErr w:type="spellEnd"/>
      <w:r>
        <w:t xml:space="preserve"> </w:t>
      </w:r>
      <w:proofErr w:type="spellStart"/>
      <w:r>
        <w:t>populaci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NGS </w:t>
      </w:r>
      <w:proofErr w:type="spellStart"/>
      <w:r>
        <w:t>diagnostického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algoritmu</w:t>
      </w:r>
      <w:proofErr w:type="spellEnd"/>
      <w:r>
        <w:t xml:space="preserve"> pro </w:t>
      </w:r>
      <w:proofErr w:type="spellStart"/>
      <w:r>
        <w:t>predikci</w:t>
      </w:r>
      <w:proofErr w:type="spellEnd"/>
      <w:r>
        <w:t xml:space="preserve"> PK/PD </w:t>
      </w:r>
      <w:proofErr w:type="spellStart"/>
      <w:r>
        <w:t>modelů</w:t>
      </w:r>
      <w:proofErr w:type="spellEnd"/>
      <w:r>
        <w:t xml:space="preserve"> </w:t>
      </w:r>
      <w:proofErr w:type="spellStart"/>
      <w:r>
        <w:t>statinů</w:t>
      </w:r>
      <w:proofErr w:type="spellEnd"/>
      <w:r>
        <w:t xml:space="preserve"> </w:t>
      </w:r>
      <w:proofErr w:type="spellStart"/>
      <w:r>
        <w:t>založená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sémantickém</w:t>
      </w:r>
      <w:proofErr w:type="spellEnd"/>
      <w:r>
        <w:t xml:space="preserve"> </w:t>
      </w:r>
      <w:proofErr w:type="spellStart"/>
      <w:r>
        <w:t>modelování</w:t>
      </w:r>
      <w:proofErr w:type="spellEnd"/>
    </w:p>
    <w:p w:rsidR="00213252" w:rsidRDefault="00CC3A2A">
      <w:pPr>
        <w:pStyle w:val="Zkladntext"/>
        <w:spacing w:line="257" w:lineRule="exact"/>
        <w:ind w:left="859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 TF05000020</w:t>
      </w:r>
    </w:p>
    <w:p w:rsidR="00213252" w:rsidRDefault="00CC3A2A">
      <w:pPr>
        <w:pStyle w:val="Zkladntext"/>
        <w:spacing w:before="20" w:line="259" w:lineRule="auto"/>
        <w:ind w:left="859" w:right="1779"/>
      </w:pPr>
      <w:r>
        <w:t xml:space="preserve">Program: </w:t>
      </w:r>
      <w:proofErr w:type="spellStart"/>
      <w:r>
        <w:t>Technologická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– DELTA, 5.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soutěž</w:t>
      </w:r>
      <w:proofErr w:type="spellEnd"/>
      <w:r>
        <w:t xml:space="preserve">.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 01/2018-12/2019</w:t>
      </w:r>
    </w:p>
    <w:p w:rsidR="00150C55" w:rsidRDefault="00CC3A2A">
      <w:pPr>
        <w:pStyle w:val="Zkladntext"/>
        <w:spacing w:line="259" w:lineRule="auto"/>
        <w:ind w:left="859" w:right="4651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řešitel</w:t>
      </w:r>
      <w:proofErr w:type="spellEnd"/>
      <w:r>
        <w:t xml:space="preserve"> za </w:t>
      </w:r>
      <w:proofErr w:type="spellStart"/>
      <w:r>
        <w:t>Příjemce</w:t>
      </w:r>
      <w:proofErr w:type="spellEnd"/>
      <w:r>
        <w:t xml:space="preserve">: </w:t>
      </w:r>
    </w:p>
    <w:p w:rsidR="00213252" w:rsidRDefault="00CC3A2A">
      <w:pPr>
        <w:pStyle w:val="Zkladntext"/>
        <w:spacing w:line="259" w:lineRule="auto"/>
        <w:ind w:left="859" w:right="4651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Projekt</w:t>
      </w:r>
      <w:proofErr w:type="spellEnd"/>
      <w:r>
        <w:t>“</w:t>
      </w:r>
      <w:proofErr w:type="gramEnd"/>
      <w:r>
        <w:t>).</w:t>
      </w:r>
    </w:p>
    <w:p w:rsidR="00213252" w:rsidRDefault="00CC3A2A">
      <w:pPr>
        <w:pStyle w:val="Nadpis2"/>
        <w:spacing w:before="160"/>
      </w:pPr>
      <w:r>
        <w:t>II.</w:t>
      </w:r>
    </w:p>
    <w:p w:rsidR="00213252" w:rsidRDefault="00CC3A2A">
      <w:pPr>
        <w:spacing w:before="179"/>
        <w:ind w:left="3310" w:right="3781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výsledků</w:t>
      </w:r>
      <w:proofErr w:type="spellEnd"/>
    </w:p>
    <w:p w:rsidR="00213252" w:rsidRDefault="00CC3A2A">
      <w:pPr>
        <w:pStyle w:val="Odstavecseseznamem"/>
        <w:numPr>
          <w:ilvl w:val="0"/>
          <w:numId w:val="6"/>
        </w:numPr>
        <w:tabs>
          <w:tab w:val="left" w:pos="936"/>
        </w:tabs>
        <w:spacing w:before="181" w:line="259" w:lineRule="auto"/>
        <w:ind w:right="68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dosáhly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oba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1.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plánovanými</w:t>
      </w:r>
      <w:proofErr w:type="spellEnd"/>
      <w:r>
        <w:t xml:space="preserve"> </w:t>
      </w:r>
      <w:proofErr w:type="spellStart"/>
      <w:r>
        <w:t>cíli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definovány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smlouvy</w:t>
      </w:r>
      <w:proofErr w:type="spellEnd"/>
      <w:r>
        <w:t xml:space="preserve"> „Common </w:t>
      </w:r>
      <w:proofErr w:type="gramStart"/>
      <w:r>
        <w:t>Proposal“ ze</w:t>
      </w:r>
      <w:proofErr w:type="gramEnd"/>
      <w:r>
        <w:t xml:space="preserve"> </w:t>
      </w:r>
      <w:proofErr w:type="spellStart"/>
      <w:r>
        <w:t>dne</w:t>
      </w:r>
      <w:proofErr w:type="spellEnd"/>
      <w:r>
        <w:t xml:space="preserve"> 20. 7.</w:t>
      </w:r>
      <w:r>
        <w:rPr>
          <w:spacing w:val="-3"/>
        </w:rPr>
        <w:t xml:space="preserve"> </w:t>
      </w:r>
      <w:proofErr w:type="gramStart"/>
      <w:r>
        <w:t>2017..</w:t>
      </w:r>
      <w:proofErr w:type="gramEnd"/>
    </w:p>
    <w:p w:rsidR="00213252" w:rsidRDefault="00CC3A2A">
      <w:pPr>
        <w:pStyle w:val="Odstavecseseznamem"/>
        <w:numPr>
          <w:ilvl w:val="0"/>
          <w:numId w:val="6"/>
        </w:numPr>
        <w:tabs>
          <w:tab w:val="left" w:pos="936"/>
        </w:tabs>
        <w:spacing w:line="259" w:lineRule="auto"/>
        <w:ind w:right="68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výzkumného</w:t>
      </w:r>
      <w:proofErr w:type="spellEnd"/>
      <w:r>
        <w:rPr>
          <w:spacing w:val="-2"/>
        </w:rPr>
        <w:t xml:space="preserve"> </w:t>
      </w:r>
      <w:proofErr w:type="spellStart"/>
      <w:r>
        <w:t>záměru</w:t>
      </w:r>
      <w:proofErr w:type="spellEnd"/>
      <w:r>
        <w:t>.</w:t>
      </w:r>
    </w:p>
    <w:p w:rsidR="00213252" w:rsidRDefault="00CC3A2A">
      <w:pPr>
        <w:pStyle w:val="Nadpis2"/>
        <w:spacing w:before="158"/>
      </w:pPr>
      <w:r>
        <w:t>III.</w:t>
      </w:r>
    </w:p>
    <w:p w:rsidR="00213252" w:rsidRDefault="00CC3A2A">
      <w:pPr>
        <w:spacing w:before="181"/>
        <w:ind w:left="1752"/>
        <w:rPr>
          <w:b/>
        </w:rPr>
      </w:pPr>
      <w:proofErr w:type="spellStart"/>
      <w:r>
        <w:rPr>
          <w:b/>
        </w:rPr>
        <w:t>Úprava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vlastnických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užívacích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výsledkům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:rsidR="00213252" w:rsidRDefault="00CC3A2A">
      <w:pPr>
        <w:pStyle w:val="Odstavecseseznamem"/>
        <w:numPr>
          <w:ilvl w:val="0"/>
          <w:numId w:val="5"/>
        </w:numPr>
        <w:tabs>
          <w:tab w:val="left" w:pos="936"/>
        </w:tabs>
        <w:spacing w:before="181" w:line="259" w:lineRule="auto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konstatují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vlastnická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konkrétně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2 </w:t>
      </w:r>
      <w:proofErr w:type="gramStart"/>
      <w:r>
        <w:t>a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tamtéž</w:t>
      </w:r>
      <w:proofErr w:type="spellEnd"/>
      <w:r>
        <w:t xml:space="preserve">.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duševních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vždy</w:t>
      </w:r>
      <w:proofErr w:type="spellEnd"/>
      <w:r>
        <w:t xml:space="preserve"> ta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řešitelský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vytvořil</w:t>
      </w:r>
      <w:proofErr w:type="spellEnd"/>
      <w:r>
        <w:t xml:space="preserve">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vzniklý</w:t>
      </w:r>
      <w:proofErr w:type="spellEnd"/>
      <w:r>
        <w:t xml:space="preserve"> za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řešitelských</w:t>
      </w:r>
      <w:proofErr w:type="spellEnd"/>
      <w:r>
        <w:t xml:space="preserve"> </w:t>
      </w:r>
      <w:proofErr w:type="spellStart"/>
      <w:r>
        <w:t>týmů</w:t>
      </w:r>
      <w:proofErr w:type="spellEnd"/>
      <w:r>
        <w:t xml:space="preserve">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řešitelské</w:t>
      </w:r>
      <w:proofErr w:type="spellEnd"/>
      <w:r>
        <w:t xml:space="preserve"> </w:t>
      </w:r>
      <w:proofErr w:type="spellStart"/>
      <w:r>
        <w:t>týmy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rPr>
          <w:spacing w:val="-14"/>
        </w:rPr>
        <w:t xml:space="preserve"> </w:t>
      </w:r>
      <w:proofErr w:type="spellStart"/>
      <w:r>
        <w:t>vytvořily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5"/>
        </w:numPr>
        <w:tabs>
          <w:tab w:val="left" w:pos="936"/>
        </w:tabs>
        <w:spacing w:line="259" w:lineRule="auto"/>
        <w:jc w:val="both"/>
      </w:pPr>
      <w:proofErr w:type="spellStart"/>
      <w:r>
        <w:t>Podíly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§ 16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písm</w:t>
      </w:r>
      <w:proofErr w:type="spellEnd"/>
      <w:r>
        <w:t xml:space="preserve">. b) č. 1 a 2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rPr>
          <w:spacing w:val="-10"/>
        </w:rPr>
        <w:t xml:space="preserve"> </w:t>
      </w:r>
      <w:proofErr w:type="spellStart"/>
      <w:r>
        <w:t>znění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5"/>
        </w:numPr>
        <w:tabs>
          <w:tab w:val="left" w:pos="936"/>
        </w:tabs>
        <w:spacing w:line="256" w:lineRule="auto"/>
        <w:jc w:val="both"/>
      </w:pP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ochrana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článkem</w:t>
      </w:r>
      <w:proofErr w:type="spellEnd"/>
      <w:r>
        <w:t xml:space="preserve"> 14 a 15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TAČR, </w:t>
      </w:r>
      <w:proofErr w:type="spellStart"/>
      <w:r>
        <w:t>verze</w:t>
      </w:r>
      <w:proofErr w:type="spellEnd"/>
      <w:r>
        <w:t xml:space="preserve"> 4 a </w:t>
      </w:r>
      <w:proofErr w:type="spellStart"/>
      <w:r>
        <w:t>respektují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Rámce</w:t>
      </w:r>
      <w:proofErr w:type="spellEnd"/>
      <w:r>
        <w:t xml:space="preserve"> pro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inovací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5"/>
        </w:numPr>
        <w:tabs>
          <w:tab w:val="left" w:pos="936"/>
        </w:tabs>
        <w:spacing w:before="4"/>
        <w:ind w:right="0"/>
      </w:pPr>
      <w:proofErr w:type="spellStart"/>
      <w:r>
        <w:t>Vlastníci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uvedeni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</w:t>
      </w:r>
      <w:r>
        <w:rPr>
          <w:spacing w:val="-9"/>
        </w:rPr>
        <w:t xml:space="preserve"> </w:t>
      </w:r>
      <w:r>
        <w:t>1.</w:t>
      </w:r>
    </w:p>
    <w:p w:rsidR="00213252" w:rsidRDefault="00CC3A2A">
      <w:pPr>
        <w:pStyle w:val="Odstavecseseznamem"/>
        <w:numPr>
          <w:ilvl w:val="0"/>
          <w:numId w:val="5"/>
        </w:numPr>
        <w:tabs>
          <w:tab w:val="left" w:pos="936"/>
        </w:tabs>
        <w:spacing w:before="20" w:line="259" w:lineRule="auto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za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nezávadnost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odpovídají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nezasahují</w:t>
      </w:r>
      <w:proofErr w:type="spellEnd"/>
      <w:r>
        <w:t xml:space="preserve"> do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předmětům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proofErr w:type="gramStart"/>
      <w:r>
        <w:t>práv</w:t>
      </w:r>
      <w:proofErr w:type="spellEnd"/>
      <w:r>
        <w:t xml:space="preserve">  </w:t>
      </w:r>
      <w:proofErr w:type="spellStart"/>
      <w:r>
        <w:t>třetích</w:t>
      </w:r>
      <w:proofErr w:type="spellEnd"/>
      <w:proofErr w:type="gramEnd"/>
      <w:r>
        <w:t xml:space="preserve">  </w:t>
      </w:r>
      <w:proofErr w:type="spellStart"/>
      <w:r>
        <w:t>osob</w:t>
      </w:r>
      <w:proofErr w:type="spellEnd"/>
      <w:r>
        <w:t xml:space="preserve">,  a  to  pro  </w:t>
      </w:r>
      <w:proofErr w:type="spellStart"/>
      <w:r>
        <w:t>jakékoliv</w:t>
      </w:r>
      <w:proofErr w:type="spellEnd"/>
      <w:r>
        <w:t xml:space="preserve">  </w:t>
      </w:r>
      <w:proofErr w:type="spellStart"/>
      <w:r>
        <w:t>využití</w:t>
      </w:r>
      <w:proofErr w:type="spellEnd"/>
      <w:r>
        <w:t xml:space="preserve">  </w:t>
      </w:r>
      <w:proofErr w:type="spellStart"/>
      <w:r>
        <w:t>výsledků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v  </w:t>
      </w:r>
      <w:proofErr w:type="spellStart"/>
      <w:r>
        <w:t>České</w:t>
      </w:r>
      <w:proofErr w:type="spellEnd"/>
      <w:r>
        <w:t xml:space="preserve">  </w:t>
      </w:r>
      <w:proofErr w:type="spellStart"/>
      <w:r>
        <w:t>republice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v </w:t>
      </w:r>
      <w:proofErr w:type="spellStart"/>
      <w:r>
        <w:t>zahraničí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vlastnických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daném</w:t>
      </w:r>
      <w:proofErr w:type="spellEnd"/>
      <w:r>
        <w:rPr>
          <w:spacing w:val="-9"/>
        </w:rPr>
        <w:t xml:space="preserve"> </w:t>
      </w:r>
      <w:proofErr w:type="spellStart"/>
      <w:r>
        <w:t>výsledku</w:t>
      </w:r>
      <w:proofErr w:type="spellEnd"/>
      <w:r>
        <w:t>.</w:t>
      </w:r>
    </w:p>
    <w:p w:rsidR="00213252" w:rsidRDefault="00213252">
      <w:pPr>
        <w:spacing w:line="259" w:lineRule="auto"/>
        <w:jc w:val="both"/>
        <w:sectPr w:rsidR="00213252">
          <w:pgSz w:w="11900" w:h="16840"/>
          <w:pgMar w:top="1340" w:right="720" w:bottom="1200" w:left="1200" w:header="0" w:footer="1006" w:gutter="0"/>
          <w:cols w:space="708"/>
        </w:sectPr>
      </w:pPr>
    </w:p>
    <w:p w:rsidR="00213252" w:rsidRDefault="00CC3A2A">
      <w:pPr>
        <w:pStyle w:val="Nadpis2"/>
        <w:spacing w:before="73"/>
      </w:pPr>
      <w:r>
        <w:lastRenderedPageBreak/>
        <w:t>IV.</w:t>
      </w:r>
    </w:p>
    <w:p w:rsidR="00213252" w:rsidRDefault="00CC3A2A">
      <w:pPr>
        <w:spacing w:before="181"/>
        <w:ind w:left="1560"/>
        <w:rPr>
          <w:b/>
        </w:rPr>
      </w:pPr>
      <w:proofErr w:type="spellStart"/>
      <w:r>
        <w:rPr>
          <w:b/>
        </w:rPr>
        <w:t>Způsob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využití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výsledků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práva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duševního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vlastnictví</w:t>
      </w:r>
      <w:proofErr w:type="spellEnd"/>
    </w:p>
    <w:p w:rsidR="00213252" w:rsidRDefault="00CC3A2A">
      <w:pPr>
        <w:pStyle w:val="Odstavecseseznamem"/>
        <w:numPr>
          <w:ilvl w:val="0"/>
          <w:numId w:val="4"/>
        </w:numPr>
        <w:tabs>
          <w:tab w:val="left" w:pos="937"/>
        </w:tabs>
        <w:spacing w:before="182" w:line="259" w:lineRule="auto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schválenému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je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navazuje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§ 16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písm</w:t>
      </w:r>
      <w:proofErr w:type="spellEnd"/>
      <w:r>
        <w:t xml:space="preserve">. b) č. 2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rPr>
          <w:spacing w:val="-3"/>
        </w:rPr>
        <w:t xml:space="preserve"> </w:t>
      </w:r>
      <w:proofErr w:type="spellStart"/>
      <w:r>
        <w:t>znění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4"/>
        </w:numPr>
        <w:tabs>
          <w:tab w:val="left" w:pos="937"/>
        </w:tabs>
        <w:spacing w:line="259" w:lineRule="auto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č. 1 a 2 </w:t>
      </w:r>
      <w:proofErr w:type="spellStart"/>
      <w:r>
        <w:t>Přílohy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4"/>
        </w:numPr>
        <w:tabs>
          <w:tab w:val="left" w:pos="937"/>
        </w:tabs>
        <w:spacing w:line="259" w:lineRule="auto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MEDIWARE je </w:t>
      </w:r>
      <w:proofErr w:type="spellStart"/>
      <w:r>
        <w:t>oprávněna</w:t>
      </w:r>
      <w:proofErr w:type="spellEnd"/>
      <w:r>
        <w:t xml:space="preserve"> k </w:t>
      </w:r>
      <w:proofErr w:type="spellStart"/>
      <w:r>
        <w:t>nevýhradnímu</w:t>
      </w:r>
      <w:proofErr w:type="spellEnd"/>
      <w:r>
        <w:t xml:space="preserve"> </w:t>
      </w:r>
      <w:proofErr w:type="spellStart"/>
      <w:r>
        <w:t>bezúplatnému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),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nezbytný</w:t>
      </w:r>
      <w:proofErr w:type="spellEnd"/>
      <w:r>
        <w:t xml:space="preserve"> pro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vlastněného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pro </w:t>
      </w:r>
      <w:proofErr w:type="spellStart"/>
      <w:r>
        <w:t>nekomerční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nedojde</w:t>
      </w:r>
      <w:proofErr w:type="spellEnd"/>
      <w:r>
        <w:t xml:space="preserve"> k </w:t>
      </w:r>
      <w:proofErr w:type="spellStart"/>
      <w:r>
        <w:t>neoprávněnému</w:t>
      </w:r>
      <w:proofErr w:type="spellEnd"/>
      <w:r>
        <w:t xml:space="preserve"> </w:t>
      </w:r>
      <w:proofErr w:type="spellStart"/>
      <w:r>
        <w:t>zásahu</w:t>
      </w:r>
      <w:proofErr w:type="spellEnd"/>
      <w:r>
        <w:t xml:space="preserve"> do </w:t>
      </w:r>
      <w:proofErr w:type="spellStart"/>
      <w:r>
        <w:t>vlastnických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rPr>
          <w:spacing w:val="-14"/>
        </w:rPr>
        <w:t xml:space="preserve"> </w:t>
      </w:r>
      <w:proofErr w:type="spellStart"/>
      <w:r>
        <w:t>vlastníka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4"/>
        </w:numPr>
        <w:tabs>
          <w:tab w:val="left" w:pos="937"/>
        </w:tabs>
        <w:spacing w:line="259" w:lineRule="auto"/>
        <w:ind w:right="688"/>
        <w:jc w:val="both"/>
      </w:pPr>
      <w:proofErr w:type="spellStart"/>
      <w:r>
        <w:t>Společnost</w:t>
      </w:r>
      <w:proofErr w:type="spellEnd"/>
      <w:r>
        <w:t xml:space="preserve"> MEDIWARE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č. 1 -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MwPharmASIA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vědeckovýzkumných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uzavře</w:t>
      </w:r>
      <w:proofErr w:type="spellEnd"/>
      <w:r>
        <w:t xml:space="preserve"> s MEDIWARE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1 -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MwPharmASIA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komerčnímu</w:t>
      </w:r>
      <w:proofErr w:type="spellEnd"/>
      <w:r>
        <w:rPr>
          <w:spacing w:val="-11"/>
        </w:rPr>
        <w:t xml:space="preserve"> </w:t>
      </w:r>
      <w:proofErr w:type="spellStart"/>
      <w:r>
        <w:t>použití</w:t>
      </w:r>
      <w:proofErr w:type="spellEnd"/>
      <w:r>
        <w:t>.</w:t>
      </w: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spacing w:before="8"/>
        <w:rPr>
          <w:sz w:val="24"/>
        </w:rPr>
      </w:pPr>
    </w:p>
    <w:p w:rsidR="00213252" w:rsidRDefault="00CC3A2A">
      <w:pPr>
        <w:pStyle w:val="Nadpis2"/>
        <w:spacing w:before="0"/>
      </w:pPr>
      <w:r>
        <w:t>V.</w:t>
      </w:r>
    </w:p>
    <w:p w:rsidR="00213252" w:rsidRDefault="00CC3A2A">
      <w:pPr>
        <w:spacing w:before="179"/>
        <w:ind w:left="3310" w:right="3784"/>
        <w:jc w:val="center"/>
        <w:rPr>
          <w:b/>
        </w:rPr>
      </w:pPr>
      <w:proofErr w:type="spellStart"/>
      <w:r>
        <w:rPr>
          <w:b/>
        </w:rPr>
        <w:t>Důvěrnost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informací</w:t>
      </w:r>
      <w:proofErr w:type="spellEnd"/>
    </w:p>
    <w:p w:rsidR="00213252" w:rsidRDefault="00CC3A2A">
      <w:pPr>
        <w:pStyle w:val="Odstavecseseznamem"/>
        <w:numPr>
          <w:ilvl w:val="0"/>
          <w:numId w:val="3"/>
        </w:numPr>
        <w:tabs>
          <w:tab w:val="left" w:pos="937"/>
        </w:tabs>
        <w:spacing w:before="182" w:line="259" w:lineRule="auto"/>
        <w:jc w:val="both"/>
      </w:pPr>
      <w:proofErr w:type="spellStart"/>
      <w:r>
        <w:t>Údaje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RIV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stupni</w:t>
      </w:r>
      <w:proofErr w:type="spellEnd"/>
      <w:r>
        <w:t xml:space="preserve"> </w:t>
      </w:r>
      <w:proofErr w:type="spellStart"/>
      <w:r>
        <w:t>důvěrnosti</w:t>
      </w:r>
      <w:proofErr w:type="spellEnd"/>
      <w:r>
        <w:t xml:space="preserve"> C,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obchodnímu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ale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anotace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u </w:t>
      </w:r>
      <w:proofErr w:type="spellStart"/>
      <w:r>
        <w:t>ukončeného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zastaveného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do </w:t>
      </w:r>
      <w:proofErr w:type="spellStart"/>
      <w:r>
        <w:t>Centrální</w:t>
      </w:r>
      <w:proofErr w:type="spellEnd"/>
      <w:r>
        <w:t xml:space="preserve"> evidence </w:t>
      </w:r>
      <w:proofErr w:type="spellStart"/>
      <w:r>
        <w:t>projektů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upraveny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byly</w:t>
      </w:r>
      <w:proofErr w:type="spellEnd"/>
      <w:r>
        <w:rPr>
          <w:spacing w:val="-3"/>
        </w:rPr>
        <w:t xml:space="preserve"> </w:t>
      </w:r>
      <w:proofErr w:type="spellStart"/>
      <w:r>
        <w:t>zveřejnitelné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3"/>
        </w:numPr>
        <w:tabs>
          <w:tab w:val="left" w:pos="937"/>
        </w:tabs>
        <w:spacing w:line="259" w:lineRule="auto"/>
        <w:jc w:val="both"/>
      </w:pPr>
      <w:proofErr w:type="spellStart"/>
      <w:r>
        <w:t>Nedohodnou</w:t>
      </w:r>
      <w:proofErr w:type="spellEnd"/>
      <w:r>
        <w:t xml:space="preserve">-li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získá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známé</w:t>
      </w:r>
      <w:proofErr w:type="spellEnd"/>
      <w:r>
        <w:t xml:space="preserve">, </w:t>
      </w:r>
      <w:proofErr w:type="spellStart"/>
      <w:r>
        <w:t>považovány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").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získala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uchovat</w:t>
      </w:r>
      <w:proofErr w:type="spellEnd"/>
      <w:r>
        <w:t xml:space="preserve"> v </w:t>
      </w:r>
      <w:proofErr w:type="spellStart"/>
      <w:r>
        <w:t>tajnosti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přístupem</w:t>
      </w:r>
      <w:proofErr w:type="spellEnd"/>
      <w:r>
        <w:t xml:space="preserve"> </w:t>
      </w:r>
      <w:proofErr w:type="spellStart"/>
      <w:r>
        <w:t>nepovolaných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k </w:t>
      </w:r>
      <w:proofErr w:type="spellStart"/>
      <w:r>
        <w:t>nim</w:t>
      </w:r>
      <w:proofErr w:type="spellEnd"/>
      <w:r>
        <w:t xml:space="preserve"> a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pověřeni</w:t>
      </w:r>
      <w:proofErr w:type="spellEnd"/>
      <w:r>
        <w:t xml:space="preserve"> </w:t>
      </w:r>
      <w:proofErr w:type="spellStart"/>
      <w:r>
        <w:t>činnostmi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pověřeny</w:t>
      </w:r>
      <w:proofErr w:type="spellEnd"/>
      <w:r>
        <w:t xml:space="preserve"> </w:t>
      </w:r>
      <w:proofErr w:type="spellStart"/>
      <w:r>
        <w:t>činnostmi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uzavřela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zachování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v </w:t>
      </w:r>
      <w:proofErr w:type="spellStart"/>
      <w:r>
        <w:t>obdobném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.</w:t>
      </w:r>
    </w:p>
    <w:p w:rsidR="00213252" w:rsidRDefault="00CC3A2A">
      <w:pPr>
        <w:pStyle w:val="Nadpis2"/>
        <w:spacing w:before="156"/>
      </w:pPr>
      <w:r>
        <w:t>VI.</w:t>
      </w:r>
    </w:p>
    <w:p w:rsidR="00213252" w:rsidRDefault="00CC3A2A">
      <w:pPr>
        <w:spacing w:before="181"/>
        <w:ind w:left="3310" w:right="3784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</w:p>
    <w:p w:rsidR="00213252" w:rsidRDefault="00CC3A2A">
      <w:pPr>
        <w:pStyle w:val="Zkladntext"/>
        <w:spacing w:before="179" w:line="259" w:lineRule="auto"/>
        <w:ind w:left="936" w:right="687" w:hanging="360"/>
        <w:jc w:val="both"/>
      </w:pPr>
      <w:r>
        <w:t xml:space="preserve">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č IV. a V.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dotýká</w:t>
      </w:r>
      <w:proofErr w:type="spellEnd"/>
      <w:r>
        <w:t xml:space="preserve">,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500.000,-</w:t>
      </w:r>
      <w:proofErr w:type="gramEnd"/>
      <w:r>
        <w:t xml:space="preserve">Kč.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>.</w:t>
      </w:r>
    </w:p>
    <w:p w:rsidR="00213252" w:rsidRDefault="00CC3A2A">
      <w:pPr>
        <w:pStyle w:val="Nadpis2"/>
        <w:spacing w:before="160"/>
      </w:pPr>
      <w:r>
        <w:t>VII.</w:t>
      </w:r>
    </w:p>
    <w:p w:rsidR="00213252" w:rsidRDefault="00CC3A2A">
      <w:pPr>
        <w:spacing w:before="181"/>
        <w:ind w:left="3310" w:right="3784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213252" w:rsidRDefault="00213252">
      <w:pPr>
        <w:jc w:val="center"/>
        <w:sectPr w:rsidR="00213252">
          <w:pgSz w:w="11900" w:h="16840"/>
          <w:pgMar w:top="1340" w:right="720" w:bottom="1200" w:left="1200" w:header="0" w:footer="1006" w:gutter="0"/>
          <w:cols w:space="708"/>
        </w:sectPr>
      </w:pPr>
    </w:p>
    <w:p w:rsidR="00213252" w:rsidRDefault="00CC3A2A">
      <w:pPr>
        <w:pStyle w:val="Odstavecseseznamem"/>
        <w:numPr>
          <w:ilvl w:val="0"/>
          <w:numId w:val="2"/>
        </w:numPr>
        <w:tabs>
          <w:tab w:val="left" w:pos="936"/>
        </w:tabs>
        <w:spacing w:before="73" w:line="259" w:lineRule="auto"/>
        <w:jc w:val="both"/>
      </w:pPr>
      <w:r>
        <w:lastRenderedPageBreak/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po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k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a o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"/>
        </w:rPr>
        <w:t xml:space="preserve"> </w:t>
      </w:r>
      <w:proofErr w:type="spellStart"/>
      <w:r>
        <w:t>strany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2"/>
        </w:numPr>
        <w:tabs>
          <w:tab w:val="left" w:pos="936"/>
        </w:tabs>
        <w:spacing w:line="259" w:lineRule="auto"/>
        <w:ind w:right="689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účinná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5 let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Ukončením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TAČR ani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sjednaným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této</w:t>
      </w:r>
      <w:proofErr w:type="spellEnd"/>
      <w:r>
        <w:rPr>
          <w:spacing w:val="-27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2"/>
        </w:numPr>
        <w:tabs>
          <w:tab w:val="left" w:pos="936"/>
        </w:tabs>
        <w:spacing w:line="259" w:lineRule="auto"/>
        <w:jc w:val="both"/>
      </w:pP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doplňovat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potvrzenými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3"/>
        </w:rPr>
        <w:t xml:space="preserve"> </w:t>
      </w:r>
      <w:proofErr w:type="spellStart"/>
      <w:r>
        <w:t>stranami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2"/>
        </w:numPr>
        <w:tabs>
          <w:tab w:val="left" w:pos="936"/>
        </w:tabs>
        <w:spacing w:line="259" w:lineRule="auto"/>
        <w:ind w:right="68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3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rPr>
          <w:spacing w:val="-18"/>
        </w:rPr>
        <w:t xml:space="preserve"> </w:t>
      </w:r>
      <w:proofErr w:type="spellStart"/>
      <w:r>
        <w:t>Poskytovateli</w:t>
      </w:r>
      <w:proofErr w:type="spellEnd"/>
      <w:r>
        <w:t>.</w:t>
      </w:r>
    </w:p>
    <w:p w:rsidR="00213252" w:rsidRDefault="00CC3A2A">
      <w:pPr>
        <w:pStyle w:val="Odstavecseseznamem"/>
        <w:numPr>
          <w:ilvl w:val="0"/>
          <w:numId w:val="2"/>
        </w:numPr>
        <w:tabs>
          <w:tab w:val="left" w:pos="937"/>
        </w:tabs>
        <w:spacing w:line="258" w:lineRule="exact"/>
        <w:ind w:right="0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rPr>
          <w:spacing w:val="-10"/>
        </w:rPr>
        <w:t xml:space="preserve"> </w:t>
      </w:r>
      <w:proofErr w:type="spellStart"/>
      <w:r>
        <w:t>přílohy</w:t>
      </w:r>
      <w:proofErr w:type="spellEnd"/>
      <w:r>
        <w:t>:</w:t>
      </w:r>
    </w:p>
    <w:p w:rsidR="00213252" w:rsidRDefault="00CC3A2A">
      <w:pPr>
        <w:pStyle w:val="Odstavecseseznamem"/>
        <w:numPr>
          <w:ilvl w:val="1"/>
          <w:numId w:val="2"/>
        </w:numPr>
        <w:tabs>
          <w:tab w:val="left" w:pos="1655"/>
          <w:tab w:val="left" w:pos="1657"/>
        </w:tabs>
        <w:spacing w:before="19"/>
        <w:ind w:right="0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r>
        <w:t>TF05000020.</w:t>
      </w: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spacing w:before="7"/>
        <w:rPr>
          <w:sz w:val="23"/>
        </w:rPr>
      </w:pPr>
    </w:p>
    <w:p w:rsidR="00213252" w:rsidRDefault="00CC3A2A">
      <w:pPr>
        <w:pStyle w:val="Zkladntext"/>
        <w:spacing w:before="1"/>
        <w:ind w:left="216"/>
      </w:pPr>
      <w:r>
        <w:t xml:space="preserve">Za </w:t>
      </w:r>
      <w:proofErr w:type="spellStart"/>
      <w:r>
        <w:t>Příjemce</w:t>
      </w:r>
      <w:proofErr w:type="spellEnd"/>
      <w:r>
        <w:t>:</w:t>
      </w:r>
    </w:p>
    <w:p w:rsidR="00213252" w:rsidRDefault="00CC3A2A">
      <w:pPr>
        <w:pStyle w:val="Zkladntext"/>
        <w:spacing w:before="178"/>
        <w:ind w:left="216"/>
      </w:pPr>
      <w:proofErr w:type="spellStart"/>
      <w:r>
        <w:t>Dne</w:t>
      </w:r>
      <w:proofErr w:type="spellEnd"/>
      <w:r>
        <w:t xml:space="preserve"> 29. 12. 2019</w:t>
      </w:r>
    </w:p>
    <w:p w:rsidR="00213252" w:rsidRDefault="00CC3A2A" w:rsidP="00BE112F">
      <w:pPr>
        <w:pStyle w:val="Zkladntext"/>
        <w:spacing w:before="182" w:line="408" w:lineRule="auto"/>
        <w:ind w:left="216" w:right="7172"/>
      </w:pPr>
      <w:r>
        <w:t xml:space="preserve">……………………………………….. </w:t>
      </w: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spacing w:before="2"/>
        <w:rPr>
          <w:sz w:val="38"/>
        </w:rPr>
      </w:pPr>
    </w:p>
    <w:p w:rsidR="00213252" w:rsidRDefault="00CC3A2A">
      <w:pPr>
        <w:pStyle w:val="Zkladntext"/>
        <w:ind w:left="216"/>
      </w:pPr>
      <w:proofErr w:type="spellStart"/>
      <w:r>
        <w:t>Dne</w:t>
      </w:r>
      <w:proofErr w:type="spellEnd"/>
      <w:r>
        <w:t xml:space="preserve"> 29. 12. 2019</w:t>
      </w:r>
    </w:p>
    <w:p w:rsidR="00213252" w:rsidRDefault="00CC3A2A" w:rsidP="00BE112F">
      <w:pPr>
        <w:pStyle w:val="Zkladntext"/>
        <w:spacing w:before="181" w:line="405" w:lineRule="auto"/>
        <w:ind w:left="216" w:right="7172"/>
        <w:rPr>
          <w:sz w:val="26"/>
        </w:rPr>
      </w:pPr>
      <w:r>
        <w:t xml:space="preserve">……………………………………….. </w:t>
      </w:r>
    </w:p>
    <w:p w:rsidR="00213252" w:rsidRDefault="00213252">
      <w:pPr>
        <w:pStyle w:val="Zkladntext"/>
        <w:rPr>
          <w:sz w:val="26"/>
        </w:rPr>
      </w:pPr>
    </w:p>
    <w:p w:rsidR="00213252" w:rsidRDefault="00213252">
      <w:pPr>
        <w:pStyle w:val="Zkladntext"/>
        <w:spacing w:before="11"/>
        <w:rPr>
          <w:sz w:val="34"/>
        </w:rPr>
      </w:pPr>
    </w:p>
    <w:p w:rsidR="00213252" w:rsidRDefault="00CC3A2A">
      <w:pPr>
        <w:pStyle w:val="Zkladntext"/>
        <w:ind w:left="216"/>
      </w:pPr>
      <w:r>
        <w:t xml:space="preserve">Za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>:</w:t>
      </w:r>
    </w:p>
    <w:p w:rsidR="00213252" w:rsidRDefault="00CC3A2A">
      <w:pPr>
        <w:pStyle w:val="Zkladntext"/>
        <w:spacing w:before="181"/>
        <w:ind w:left="216"/>
      </w:pPr>
      <w:proofErr w:type="spellStart"/>
      <w:r>
        <w:t>Dne</w:t>
      </w:r>
      <w:proofErr w:type="spellEnd"/>
    </w:p>
    <w:p w:rsidR="00213252" w:rsidRDefault="00CC3A2A">
      <w:pPr>
        <w:pStyle w:val="Zkladntext"/>
        <w:spacing w:before="182"/>
        <w:ind w:left="216"/>
      </w:pPr>
      <w:r>
        <w:t>………………………………………</w:t>
      </w:r>
    </w:p>
    <w:p w:rsidR="00213252" w:rsidRDefault="00213252">
      <w:pPr>
        <w:pStyle w:val="Zkladntext"/>
        <w:rPr>
          <w:sz w:val="26"/>
        </w:rPr>
      </w:pPr>
      <w:bookmarkStart w:id="0" w:name="_GoBack"/>
      <w:bookmarkEnd w:id="0"/>
    </w:p>
    <w:p w:rsidR="00213252" w:rsidRDefault="00213252">
      <w:pPr>
        <w:pStyle w:val="Zkladntext"/>
        <w:spacing w:before="8"/>
        <w:rPr>
          <w:sz w:val="26"/>
        </w:rPr>
      </w:pPr>
    </w:p>
    <w:p w:rsidR="00213252" w:rsidRDefault="00213252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</w:pPr>
    </w:p>
    <w:p w:rsidR="00BE112F" w:rsidRDefault="00BE112F">
      <w:pPr>
        <w:pStyle w:val="Zkladntext"/>
        <w:rPr>
          <w:sz w:val="26"/>
        </w:rPr>
      </w:pPr>
    </w:p>
    <w:p w:rsidR="00213252" w:rsidRDefault="00213252">
      <w:pPr>
        <w:pStyle w:val="Zkladntext"/>
        <w:rPr>
          <w:sz w:val="27"/>
        </w:rPr>
      </w:pPr>
    </w:p>
    <w:p w:rsidR="00213252" w:rsidRDefault="00CC3A2A">
      <w:pPr>
        <w:pStyle w:val="Nadpis1"/>
      </w:pPr>
      <w:proofErr w:type="spellStart"/>
      <w:r>
        <w:lastRenderedPageBreak/>
        <w:t>Příloha</w:t>
      </w:r>
      <w:proofErr w:type="spellEnd"/>
      <w:r>
        <w:t xml:space="preserve"> č. 1 –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TF05000020</w:t>
      </w:r>
    </w:p>
    <w:p w:rsidR="00213252" w:rsidRDefault="00CC3A2A">
      <w:pPr>
        <w:pStyle w:val="Zkladntext"/>
        <w:spacing w:before="185" w:line="259" w:lineRule="auto"/>
        <w:ind w:left="215" w:right="68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se </w:t>
      </w:r>
      <w:proofErr w:type="spellStart"/>
      <w:r>
        <w:t>Smlouvou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dosáhly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s </w:t>
      </w:r>
      <w:proofErr w:type="spellStart"/>
      <w:r>
        <w:t>rozdělením</w:t>
      </w:r>
      <w:proofErr w:type="spellEnd"/>
      <w:r>
        <w:t xml:space="preserve"> </w:t>
      </w:r>
      <w:proofErr w:type="spellStart"/>
      <w:r>
        <w:t>vlastnických</w:t>
      </w:r>
      <w:proofErr w:type="spellEnd"/>
      <w:r>
        <w:t xml:space="preserve"> </w:t>
      </w:r>
      <w:proofErr w:type="spellStart"/>
      <w:r>
        <w:t>podílů</w:t>
      </w:r>
      <w:proofErr w:type="spellEnd"/>
      <w:r>
        <w:t xml:space="preserve"> k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výsledkům</w:t>
      </w:r>
      <w:proofErr w:type="spellEnd"/>
      <w:r>
        <w:t>:</w:t>
      </w:r>
    </w:p>
    <w:p w:rsidR="00213252" w:rsidRDefault="00CC3A2A">
      <w:pPr>
        <w:pStyle w:val="Odstavecseseznamem"/>
        <w:numPr>
          <w:ilvl w:val="0"/>
          <w:numId w:val="1"/>
        </w:numPr>
        <w:tabs>
          <w:tab w:val="left" w:pos="1296"/>
        </w:tabs>
        <w:spacing w:before="162" w:line="252" w:lineRule="auto"/>
        <w:ind w:right="3409" w:hanging="719"/>
      </w:pPr>
      <w:proofErr w:type="spellStart"/>
      <w:r>
        <w:t>Výsledek</w:t>
      </w:r>
      <w:proofErr w:type="spellEnd"/>
      <w:r>
        <w:t xml:space="preserve"> č. 1 </w:t>
      </w:r>
      <w:proofErr w:type="spellStart"/>
      <w:r>
        <w:t>dosažený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>:</w:t>
      </w:r>
      <w:r>
        <w:rPr>
          <w:spacing w:val="-3"/>
        </w:rPr>
        <w:t xml:space="preserve"> </w:t>
      </w:r>
      <w:r>
        <w:t>TF05000020-V4</w:t>
      </w:r>
    </w:p>
    <w:p w:rsidR="00213252" w:rsidRDefault="00CC3A2A">
      <w:pPr>
        <w:pStyle w:val="Zkladntext"/>
        <w:spacing w:before="8" w:line="259" w:lineRule="auto"/>
        <w:ind w:left="1655" w:right="5161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1 research paper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R - Software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>: 1 research</w:t>
      </w:r>
      <w:r>
        <w:rPr>
          <w:spacing w:val="-8"/>
        </w:rPr>
        <w:t xml:space="preserve"> </w:t>
      </w:r>
      <w:r>
        <w:t>paper</w:t>
      </w:r>
    </w:p>
    <w:p w:rsidR="00213252" w:rsidRDefault="00CC3A2A">
      <w:pPr>
        <w:pStyle w:val="Zkladntext"/>
        <w:ind w:left="1655" w:right="673"/>
      </w:pP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: </w:t>
      </w:r>
      <w:proofErr w:type="spellStart"/>
      <w:r>
        <w:t>Příjemce</w:t>
      </w:r>
      <w:proofErr w:type="spellEnd"/>
      <w:r>
        <w:t xml:space="preserve"> – 100%</w:t>
      </w:r>
    </w:p>
    <w:p w:rsidR="00213252" w:rsidRDefault="00CC3A2A">
      <w:pPr>
        <w:pStyle w:val="Zkladntext"/>
        <w:spacing w:before="19" w:after="21"/>
        <w:ind w:left="215"/>
      </w:pPr>
      <w:r>
        <w:t xml:space="preserve">Common Proposal –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rolí</w:t>
      </w:r>
      <w:proofErr w:type="spellEnd"/>
      <w:r>
        <w:t xml:space="preserve"> a </w:t>
      </w:r>
      <w:proofErr w:type="spellStart"/>
      <w:r>
        <w:t>výsledků</w:t>
      </w:r>
      <w:proofErr w:type="spellEnd"/>
      <w:r>
        <w:t xml:space="preserve"> v </w:t>
      </w:r>
      <w:proofErr w:type="spellStart"/>
      <w:r>
        <w:t>projektu</w:t>
      </w:r>
      <w:proofErr w:type="spellEnd"/>
      <w:r>
        <w:t xml:space="preserve"> – </w:t>
      </w:r>
      <w:proofErr w:type="spellStart"/>
      <w:r>
        <w:t>Výsledek</w:t>
      </w:r>
      <w:proofErr w:type="spellEnd"/>
      <w:r>
        <w:t xml:space="preserve"> č. 1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95"/>
        <w:gridCol w:w="1843"/>
        <w:gridCol w:w="3657"/>
        <w:gridCol w:w="1982"/>
      </w:tblGrid>
      <w:tr w:rsidR="00213252">
        <w:trPr>
          <w:trHeight w:val="350"/>
        </w:trPr>
        <w:tc>
          <w:tcPr>
            <w:tcW w:w="1668" w:type="dxa"/>
          </w:tcPr>
          <w:p w:rsidR="00213252" w:rsidRDefault="00CC3A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595" w:type="dxa"/>
          </w:tcPr>
          <w:p w:rsidR="00213252" w:rsidRDefault="00CC3A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3" w:type="dxa"/>
          </w:tcPr>
          <w:p w:rsidR="00213252" w:rsidRDefault="00CC3A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Task Name</w:t>
            </w:r>
          </w:p>
        </w:tc>
        <w:tc>
          <w:tcPr>
            <w:tcW w:w="3657" w:type="dxa"/>
          </w:tcPr>
          <w:p w:rsidR="00213252" w:rsidRDefault="00CC3A2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982" w:type="dxa"/>
          </w:tcPr>
          <w:p w:rsidR="00213252" w:rsidRDefault="00CC3A2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Deliverables</w:t>
            </w:r>
          </w:p>
        </w:tc>
      </w:tr>
      <w:tr w:rsidR="00213252">
        <w:trPr>
          <w:trHeight w:val="344"/>
        </w:trPr>
        <w:tc>
          <w:tcPr>
            <w:tcW w:w="1668" w:type="dxa"/>
            <w:tcBorders>
              <w:bottom w:val="nil"/>
            </w:tcBorders>
          </w:tcPr>
          <w:p w:rsidR="00213252" w:rsidRDefault="00CC3A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Mediware</w:t>
            </w:r>
          </w:p>
        </w:tc>
        <w:tc>
          <w:tcPr>
            <w:tcW w:w="595" w:type="dxa"/>
            <w:tcBorders>
              <w:bottom w:val="nil"/>
            </w:tcBorders>
          </w:tcPr>
          <w:p w:rsidR="00213252" w:rsidRDefault="00CC3A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213252" w:rsidRDefault="00CC3A2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Development of</w:t>
            </w:r>
          </w:p>
        </w:tc>
        <w:tc>
          <w:tcPr>
            <w:tcW w:w="3657" w:type="dxa"/>
            <w:tcBorders>
              <w:bottom w:val="nil"/>
            </w:tcBorders>
          </w:tcPr>
          <w:p w:rsidR="00213252" w:rsidRDefault="00CC3A2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Development and optimization of</w:t>
            </w:r>
          </w:p>
        </w:tc>
        <w:tc>
          <w:tcPr>
            <w:tcW w:w="1982" w:type="dxa"/>
            <w:tcBorders>
              <w:bottom w:val="nil"/>
            </w:tcBorders>
          </w:tcPr>
          <w:p w:rsidR="00213252" w:rsidRDefault="00CC3A2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Clinical</w:t>
            </w:r>
          </w:p>
        </w:tc>
      </w:tr>
      <w:tr w:rsidR="00213252">
        <w:trPr>
          <w:trHeight w:val="351"/>
        </w:trPr>
        <w:tc>
          <w:tcPr>
            <w:tcW w:w="1668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Pharmacokineti</w:t>
            </w:r>
            <w:proofErr w:type="spellEnd"/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pharmacokinetic software for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pharmocokinetic</w:t>
            </w:r>
            <w:proofErr w:type="spellEnd"/>
          </w:p>
        </w:tc>
      </w:tr>
      <w:tr w:rsidR="00213252">
        <w:trPr>
          <w:trHeight w:val="351"/>
        </w:trPr>
        <w:tc>
          <w:tcPr>
            <w:tcW w:w="1668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 software for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Asian population using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software</w:t>
            </w:r>
          </w:p>
        </w:tc>
      </w:tr>
      <w:tr w:rsidR="00213252">
        <w:trPr>
          <w:trHeight w:val="351"/>
        </w:trPr>
        <w:tc>
          <w:tcPr>
            <w:tcW w:w="1668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Asian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Pharmacokinetic parameters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3252">
        <w:trPr>
          <w:trHeight w:val="351"/>
        </w:trPr>
        <w:tc>
          <w:tcPr>
            <w:tcW w:w="1668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population -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213252" w:rsidRDefault="00CC3A2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provided by </w:t>
            </w:r>
            <w:proofErr w:type="spellStart"/>
            <w:r>
              <w:rPr>
                <w:sz w:val="24"/>
              </w:rPr>
              <w:t>Konkuk</w:t>
            </w:r>
            <w:proofErr w:type="spellEnd"/>
            <w:r>
              <w:rPr>
                <w:sz w:val="24"/>
              </w:rPr>
              <w:t xml:space="preserve"> University.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3252">
        <w:trPr>
          <w:trHeight w:val="358"/>
        </w:trPr>
        <w:tc>
          <w:tcPr>
            <w:tcW w:w="1668" w:type="dxa"/>
            <w:tcBorders>
              <w:top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3252" w:rsidRDefault="00CC3A2A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MwPharmASIA</w:t>
            </w:r>
            <w:proofErr w:type="spellEnd"/>
          </w:p>
        </w:tc>
        <w:tc>
          <w:tcPr>
            <w:tcW w:w="3657" w:type="dxa"/>
            <w:tcBorders>
              <w:top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213252" w:rsidRDefault="0021325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13252" w:rsidRDefault="00213252">
      <w:pPr>
        <w:pStyle w:val="Zkladntext"/>
        <w:spacing w:before="8"/>
        <w:rPr>
          <w:sz w:val="23"/>
        </w:rPr>
      </w:pPr>
    </w:p>
    <w:p w:rsidR="00213252" w:rsidRDefault="00CC3A2A">
      <w:pPr>
        <w:pStyle w:val="Odstavecseseznamem"/>
        <w:numPr>
          <w:ilvl w:val="0"/>
          <w:numId w:val="1"/>
        </w:numPr>
        <w:tabs>
          <w:tab w:val="left" w:pos="1296"/>
        </w:tabs>
        <w:spacing w:line="254" w:lineRule="auto"/>
        <w:ind w:right="3409" w:hanging="719"/>
      </w:pPr>
      <w:proofErr w:type="spellStart"/>
      <w:r>
        <w:t>Výsledek</w:t>
      </w:r>
      <w:proofErr w:type="spellEnd"/>
      <w:r>
        <w:t xml:space="preserve"> č. 2 </w:t>
      </w:r>
      <w:proofErr w:type="spellStart"/>
      <w:r>
        <w:t>dosažený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>:</w:t>
      </w:r>
      <w:r>
        <w:rPr>
          <w:spacing w:val="-3"/>
        </w:rPr>
        <w:t xml:space="preserve"> </w:t>
      </w:r>
      <w:r>
        <w:t>TF05000020-V3</w:t>
      </w:r>
    </w:p>
    <w:p w:rsidR="00213252" w:rsidRDefault="00CC3A2A">
      <w:pPr>
        <w:pStyle w:val="Zkladntext"/>
        <w:spacing w:before="5" w:line="256" w:lineRule="auto"/>
        <w:ind w:left="1655" w:right="5161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1 research paper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R - Software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>: 1 research</w:t>
      </w:r>
      <w:r>
        <w:rPr>
          <w:spacing w:val="-8"/>
        </w:rPr>
        <w:t xml:space="preserve"> </w:t>
      </w:r>
      <w:r>
        <w:t>paper</w:t>
      </w:r>
    </w:p>
    <w:p w:rsidR="00213252" w:rsidRDefault="00CC3A2A">
      <w:pPr>
        <w:pStyle w:val="Zkladntext"/>
        <w:spacing w:before="4"/>
        <w:ind w:left="1655" w:right="673"/>
      </w:pP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: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: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– 100%</w:t>
      </w:r>
    </w:p>
    <w:p w:rsidR="00213252" w:rsidRDefault="00CC3A2A">
      <w:pPr>
        <w:pStyle w:val="Zkladntext"/>
        <w:spacing w:before="20" w:after="21"/>
        <w:ind w:left="215"/>
      </w:pPr>
      <w:r>
        <w:t xml:space="preserve">Common Proposal –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rolí</w:t>
      </w:r>
      <w:proofErr w:type="spellEnd"/>
      <w:r>
        <w:t xml:space="preserve"> a </w:t>
      </w:r>
      <w:proofErr w:type="spellStart"/>
      <w:r>
        <w:t>výsledků</w:t>
      </w:r>
      <w:proofErr w:type="spellEnd"/>
      <w:r>
        <w:t xml:space="preserve"> v </w:t>
      </w:r>
      <w:proofErr w:type="spellStart"/>
      <w:r>
        <w:t>projektu</w:t>
      </w:r>
      <w:proofErr w:type="spellEnd"/>
      <w:r>
        <w:t xml:space="preserve"> – </w:t>
      </w:r>
      <w:proofErr w:type="spellStart"/>
      <w:r>
        <w:t>Výsledek</w:t>
      </w:r>
      <w:proofErr w:type="spellEnd"/>
      <w:r>
        <w:t xml:space="preserve"> č. 2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95"/>
        <w:gridCol w:w="1843"/>
        <w:gridCol w:w="3657"/>
        <w:gridCol w:w="1982"/>
      </w:tblGrid>
      <w:tr w:rsidR="00213252">
        <w:trPr>
          <w:trHeight w:val="1055"/>
        </w:trPr>
        <w:tc>
          <w:tcPr>
            <w:tcW w:w="1668" w:type="dxa"/>
          </w:tcPr>
          <w:p w:rsidR="00213252" w:rsidRDefault="00CC3A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CIIRC CTU</w:t>
            </w:r>
          </w:p>
        </w:tc>
        <w:tc>
          <w:tcPr>
            <w:tcW w:w="595" w:type="dxa"/>
          </w:tcPr>
          <w:p w:rsidR="00213252" w:rsidRDefault="00CC3A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</w:tcPr>
          <w:p w:rsidR="00213252" w:rsidRDefault="00CC3A2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Robotic solution</w:t>
            </w:r>
          </w:p>
          <w:p w:rsidR="00213252" w:rsidRDefault="00CC3A2A">
            <w:pPr>
              <w:pStyle w:val="TableParagraph"/>
              <w:spacing w:before="3" w:line="35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for source data </w:t>
            </w:r>
            <w:proofErr w:type="spellStart"/>
            <w:r>
              <w:rPr>
                <w:sz w:val="24"/>
              </w:rPr>
              <w:t>aquision</w:t>
            </w:r>
            <w:proofErr w:type="spellEnd"/>
          </w:p>
        </w:tc>
        <w:tc>
          <w:tcPr>
            <w:tcW w:w="3657" w:type="dxa"/>
          </w:tcPr>
          <w:p w:rsidR="00213252" w:rsidRDefault="00CC3A2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Automatic search of literature</w:t>
            </w:r>
          </w:p>
          <w:p w:rsidR="00213252" w:rsidRDefault="00CC3A2A">
            <w:pPr>
              <w:pStyle w:val="TableParagraph"/>
              <w:spacing w:before="3" w:line="35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source data, automatic sorting of data based on diagnoses</w:t>
            </w:r>
          </w:p>
        </w:tc>
        <w:tc>
          <w:tcPr>
            <w:tcW w:w="1982" w:type="dxa"/>
          </w:tcPr>
          <w:p w:rsidR="00213252" w:rsidRDefault="00CC3A2A">
            <w:pPr>
              <w:pStyle w:val="TableParagraph"/>
              <w:spacing w:line="288" w:lineRule="auto"/>
              <w:ind w:right="88"/>
              <w:rPr>
                <w:sz w:val="24"/>
              </w:rPr>
            </w:pPr>
            <w:r>
              <w:rPr>
                <w:sz w:val="24"/>
              </w:rPr>
              <w:t>Source data robot implementation</w:t>
            </w:r>
          </w:p>
        </w:tc>
      </w:tr>
    </w:tbl>
    <w:p w:rsidR="00213252" w:rsidRDefault="00213252">
      <w:pPr>
        <w:spacing w:line="288" w:lineRule="auto"/>
        <w:rPr>
          <w:sz w:val="24"/>
        </w:rPr>
        <w:sectPr w:rsidR="00213252">
          <w:pgSz w:w="11900" w:h="16840"/>
          <w:pgMar w:top="1340" w:right="720" w:bottom="1200" w:left="1200" w:header="0" w:footer="1006" w:gutter="0"/>
          <w:cols w:space="708"/>
        </w:sectPr>
      </w:pPr>
    </w:p>
    <w:p w:rsidR="00213252" w:rsidRDefault="00213252">
      <w:pPr>
        <w:pStyle w:val="Zkladntext"/>
        <w:rPr>
          <w:sz w:val="20"/>
        </w:rPr>
      </w:pPr>
    </w:p>
    <w:p w:rsidR="00213252" w:rsidRDefault="00213252">
      <w:pPr>
        <w:pStyle w:val="Zkladntext"/>
        <w:rPr>
          <w:sz w:val="20"/>
        </w:rPr>
      </w:pPr>
    </w:p>
    <w:p w:rsidR="00213252" w:rsidRDefault="00213252">
      <w:pPr>
        <w:pStyle w:val="Zkladntext"/>
        <w:spacing w:before="4"/>
        <w:rPr>
          <w:sz w:val="23"/>
        </w:rPr>
      </w:pPr>
    </w:p>
    <w:p w:rsidR="00213252" w:rsidRDefault="00CC3A2A">
      <w:pPr>
        <w:pStyle w:val="Nadpis1"/>
        <w:spacing w:before="101"/>
      </w:pPr>
      <w:proofErr w:type="spellStart"/>
      <w:r>
        <w:t>Příloha</w:t>
      </w:r>
      <w:proofErr w:type="spellEnd"/>
      <w:r>
        <w:t xml:space="preserve"> č. 2 –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č. TF05000020</w:t>
      </w:r>
    </w:p>
    <w:sectPr w:rsidR="00213252">
      <w:pgSz w:w="11900" w:h="16840"/>
      <w:pgMar w:top="1600" w:right="720" w:bottom="1200" w:left="120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CF" w:rsidRDefault="007235CF">
      <w:r>
        <w:separator/>
      </w:r>
    </w:p>
  </w:endnote>
  <w:endnote w:type="continuationSeparator" w:id="0">
    <w:p w:rsidR="007235CF" w:rsidRDefault="0072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252" w:rsidRDefault="007235C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55pt;margin-top:780.7pt;width:53.95pt;height:13.05pt;z-index:-251658752;mso-position-horizontal-relative:page;mso-position-vertical-relative:page" filled="f" stroked="f">
          <v:textbox inset="0,0,0,0">
            <w:txbxContent>
              <w:p w:rsidR="00213252" w:rsidRDefault="00CC3A2A">
                <w:pPr>
                  <w:pStyle w:val="Zkladntext"/>
                  <w:spacing w:line="245" w:lineRule="exact"/>
                  <w:ind w:left="20"/>
                  <w:rPr>
                    <w:rFonts w:ascii="Calibri"/>
                  </w:rPr>
                </w:pPr>
                <w:proofErr w:type="spellStart"/>
                <w:r>
                  <w:rPr>
                    <w:rFonts w:ascii="Calibri"/>
                  </w:rPr>
                  <w:t>Strana</w:t>
                </w:r>
                <w:proofErr w:type="spellEnd"/>
                <w:r>
                  <w:rPr>
                    <w:rFonts w:ascii="Calibri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CF" w:rsidRDefault="007235CF">
      <w:r>
        <w:separator/>
      </w:r>
    </w:p>
  </w:footnote>
  <w:footnote w:type="continuationSeparator" w:id="0">
    <w:p w:rsidR="007235CF" w:rsidRDefault="0072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1A8A"/>
    <w:multiLevelType w:val="hybridMultilevel"/>
    <w:tmpl w:val="C3BA6CC8"/>
    <w:lvl w:ilvl="0" w:tplc="BB541614">
      <w:start w:val="1"/>
      <w:numFmt w:val="decimal"/>
      <w:lvlText w:val="%1."/>
      <w:lvlJc w:val="left"/>
      <w:pPr>
        <w:ind w:left="93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78E8A94">
      <w:start w:val="1"/>
      <w:numFmt w:val="lowerLetter"/>
      <w:lvlText w:val="%2."/>
      <w:lvlJc w:val="left"/>
      <w:pPr>
        <w:ind w:left="165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C1FC60C0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18388752"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C6ECCCB6"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F886D668">
      <w:numFmt w:val="bullet"/>
      <w:lvlText w:val="•"/>
      <w:lvlJc w:val="left"/>
      <w:pPr>
        <w:ind w:left="5357" w:hanging="360"/>
      </w:pPr>
      <w:rPr>
        <w:rFonts w:hint="default"/>
      </w:rPr>
    </w:lvl>
    <w:lvl w:ilvl="6" w:tplc="ED08ED8E">
      <w:numFmt w:val="bullet"/>
      <w:lvlText w:val="•"/>
      <w:lvlJc w:val="left"/>
      <w:pPr>
        <w:ind w:left="6282" w:hanging="360"/>
      </w:pPr>
      <w:rPr>
        <w:rFonts w:hint="default"/>
      </w:rPr>
    </w:lvl>
    <w:lvl w:ilvl="7" w:tplc="23A23EC4"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634A8E16"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1" w15:restartNumberingAfterBreak="0">
    <w:nsid w:val="32676729"/>
    <w:multiLevelType w:val="hybridMultilevel"/>
    <w:tmpl w:val="9BA21CB6"/>
    <w:lvl w:ilvl="0" w:tplc="DEC029D4">
      <w:start w:val="1"/>
      <w:numFmt w:val="decimal"/>
      <w:lvlText w:val="%1."/>
      <w:lvlJc w:val="left"/>
      <w:pPr>
        <w:ind w:left="93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18409100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48B49082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3BB866C6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4DA67084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3D061B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48EC0520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002033F0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D8B070C4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2" w15:restartNumberingAfterBreak="0">
    <w:nsid w:val="44BC17B7"/>
    <w:multiLevelType w:val="hybridMultilevel"/>
    <w:tmpl w:val="00B45368"/>
    <w:lvl w:ilvl="0" w:tplc="43F2F86E">
      <w:start w:val="1"/>
      <w:numFmt w:val="decimal"/>
      <w:lvlText w:val="%1."/>
      <w:lvlJc w:val="left"/>
      <w:pPr>
        <w:ind w:left="93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1ED428D0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2A0A7E6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9F40FDFE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C3402450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7E70018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23E09F12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C00A5DA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61CC728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" w15:restartNumberingAfterBreak="0">
    <w:nsid w:val="608F2786"/>
    <w:multiLevelType w:val="hybridMultilevel"/>
    <w:tmpl w:val="FA84454E"/>
    <w:lvl w:ilvl="0" w:tplc="0CBC0328">
      <w:start w:val="1"/>
      <w:numFmt w:val="decimal"/>
      <w:lvlText w:val="%1."/>
      <w:lvlJc w:val="left"/>
      <w:pPr>
        <w:ind w:left="1655" w:hanging="360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989050DA">
      <w:numFmt w:val="bullet"/>
      <w:lvlText w:val="•"/>
      <w:lvlJc w:val="left"/>
      <w:pPr>
        <w:ind w:left="2492" w:hanging="360"/>
      </w:pPr>
      <w:rPr>
        <w:rFonts w:hint="default"/>
      </w:rPr>
    </w:lvl>
    <w:lvl w:ilvl="2" w:tplc="28B88DC4">
      <w:numFmt w:val="bullet"/>
      <w:lvlText w:val="•"/>
      <w:lvlJc w:val="left"/>
      <w:pPr>
        <w:ind w:left="3324" w:hanging="360"/>
      </w:pPr>
      <w:rPr>
        <w:rFonts w:hint="default"/>
      </w:rPr>
    </w:lvl>
    <w:lvl w:ilvl="3" w:tplc="3A6235B0">
      <w:numFmt w:val="bullet"/>
      <w:lvlText w:val="•"/>
      <w:lvlJc w:val="left"/>
      <w:pPr>
        <w:ind w:left="4156" w:hanging="360"/>
      </w:pPr>
      <w:rPr>
        <w:rFonts w:hint="default"/>
      </w:rPr>
    </w:lvl>
    <w:lvl w:ilvl="4" w:tplc="1DF213F6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451E25E0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47805E6C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CC325794"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23C0EFC6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4" w15:restartNumberingAfterBreak="0">
    <w:nsid w:val="6E50380C"/>
    <w:multiLevelType w:val="hybridMultilevel"/>
    <w:tmpl w:val="A8881B68"/>
    <w:lvl w:ilvl="0" w:tplc="D364455C">
      <w:start w:val="1"/>
      <w:numFmt w:val="decimal"/>
      <w:lvlText w:val="%1."/>
      <w:lvlJc w:val="left"/>
      <w:pPr>
        <w:ind w:left="93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EB868DA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E6C82B26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C400A772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F5AE8F6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AB125296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DB5258D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41DE52F8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50646F3C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5" w15:restartNumberingAfterBreak="0">
    <w:nsid w:val="72016741"/>
    <w:multiLevelType w:val="hybridMultilevel"/>
    <w:tmpl w:val="E7DC7C4A"/>
    <w:lvl w:ilvl="0" w:tplc="CAA4ACF4">
      <w:start w:val="1"/>
      <w:numFmt w:val="decimal"/>
      <w:lvlText w:val="%1."/>
      <w:lvlJc w:val="left"/>
      <w:pPr>
        <w:ind w:left="93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89B2D594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0586328E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BBE82D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6FEE5560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AC863950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3C4C8C5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4E94122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A34C2760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252"/>
    <w:rsid w:val="00150C55"/>
    <w:rsid w:val="00213252"/>
    <w:rsid w:val="007235CF"/>
    <w:rsid w:val="00BE112F"/>
    <w:rsid w:val="00CC3A2A"/>
    <w:rsid w:val="00E70C84"/>
    <w:rsid w:val="00F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291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ind w:left="215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81"/>
      <w:ind w:left="3309" w:right="3784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36" w:right="68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8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E70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C84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E70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C8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8547</Characters>
  <Application>Microsoft Office Word</Application>
  <DocSecurity>0</DocSecurity>
  <Lines>71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2020-06-05T08:12:00Z</dcterms:created>
  <dcterms:modified xsi:type="dcterms:W3CDTF">2020-06-05T08:12:00Z</dcterms:modified>
</cp:coreProperties>
</file>