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D8" w:rsidRPr="0022012E" w:rsidRDefault="00365ECE" w:rsidP="0022012E">
      <w:pPr>
        <w:pStyle w:val="Zkladntext"/>
        <w:jc w:val="left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907A49">
        <w:rPr>
          <w:rFonts w:ascii="Arial" w:hAnsi="Arial" w:cs="Arial"/>
          <w:i/>
          <w:color w:val="00B050"/>
          <w:sz w:val="20"/>
          <w:szCs w:val="20"/>
        </w:rPr>
        <w:t xml:space="preserve"> </w:t>
      </w:r>
    </w:p>
    <w:p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5650FA">
        <w:rPr>
          <w:rFonts w:ascii="Arial" w:hAnsi="Arial" w:cs="Arial"/>
          <w:b/>
          <w:color w:val="000000" w:themeColor="text1"/>
          <w:sz w:val="22"/>
          <w:szCs w:val="22"/>
        </w:rPr>
        <w:t>2607</w:t>
      </w:r>
      <w:r w:rsidR="00896DFB" w:rsidRPr="000668BC">
        <w:rPr>
          <w:rFonts w:ascii="Arial" w:hAnsi="Arial" w:cs="Arial"/>
          <w:b/>
          <w:color w:val="000000" w:themeColor="text1"/>
          <w:sz w:val="22"/>
          <w:szCs w:val="22"/>
        </w:rPr>
        <w:t>/20</w:t>
      </w:r>
      <w:r w:rsidR="003F6407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896DFB" w:rsidRPr="000668BC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5A12B3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FB4C2C">
        <w:rPr>
          <w:rFonts w:ascii="Arial" w:hAnsi="Arial" w:cs="Arial"/>
          <w:b/>
          <w:color w:val="000000" w:themeColor="text1"/>
          <w:sz w:val="22"/>
          <w:szCs w:val="22"/>
        </w:rPr>
        <w:t>Ř</w:t>
      </w:r>
    </w:p>
    <w:p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:rsidR="003A3CC4" w:rsidRDefault="003A3CC4">
      <w:pPr>
        <w:pStyle w:val="Zkladntext"/>
        <w:rPr>
          <w:sz w:val="22"/>
        </w:rPr>
      </w:pPr>
    </w:p>
    <w:p w:rsidR="007210D8" w:rsidRDefault="007210D8">
      <w:pPr>
        <w:pStyle w:val="Zkladntext"/>
        <w:rPr>
          <w:sz w:val="22"/>
        </w:rPr>
      </w:pPr>
    </w:p>
    <w:p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6715" w:rsidRPr="00B46715">
        <w:rPr>
          <w:rFonts w:ascii="Arial" w:hAnsi="Arial" w:cs="Arial"/>
          <w:color w:val="000000" w:themeColor="text1"/>
          <w:sz w:val="20"/>
          <w:szCs w:val="20"/>
        </w:rPr>
        <w:t>Jiřím Čunkem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45748C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Česká spořitelna, a. s.</w:t>
      </w:r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, č. </w:t>
      </w:r>
      <w:proofErr w:type="spellStart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>ú.</w:t>
      </w:r>
      <w:proofErr w:type="spellEnd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1827552/0800</w:t>
      </w:r>
    </w:p>
    <w:p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3A3CC4" w:rsidRDefault="003A3CC4">
      <w:pPr>
        <w:pStyle w:val="Zkladntext"/>
        <w:ind w:left="2552"/>
        <w:rPr>
          <w:sz w:val="22"/>
        </w:rPr>
      </w:pPr>
    </w:p>
    <w:p w:rsidR="007210D8" w:rsidRDefault="007210D8">
      <w:pPr>
        <w:pStyle w:val="Zkladntext"/>
        <w:ind w:left="2552"/>
        <w:rPr>
          <w:sz w:val="22"/>
        </w:rPr>
      </w:pPr>
    </w:p>
    <w:p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:rsidR="007430DC" w:rsidRPr="003A3929" w:rsidRDefault="003A3CC4" w:rsidP="007430DC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7430DC">
        <w:rPr>
          <w:rFonts w:ascii="Arial" w:hAnsi="Arial" w:cs="Arial"/>
          <w:b/>
          <w:sz w:val="20"/>
          <w:szCs w:val="20"/>
        </w:rPr>
        <w:t>Vyšší odborná škola potravinářská a Střední průmyslová škola mlékárenská Kroměříž</w:t>
      </w:r>
    </w:p>
    <w:p w:rsidR="007430DC" w:rsidRDefault="007430DC" w:rsidP="007430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Štěchovice 4176, 767 01 Kroměříž</w:t>
      </w:r>
    </w:p>
    <w:p w:rsidR="007430DC" w:rsidRDefault="007430DC" w:rsidP="007430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47935936</w:t>
      </w:r>
    </w:p>
    <w:p w:rsidR="007430DC" w:rsidRPr="003D67D8" w:rsidRDefault="007430DC" w:rsidP="007430DC">
      <w:pPr>
        <w:ind w:left="2552"/>
        <w:rPr>
          <w:rFonts w:ascii="Arial" w:hAnsi="Arial" w:cs="Arial"/>
          <w:sz w:val="20"/>
          <w:szCs w:val="20"/>
        </w:rPr>
      </w:pPr>
      <w:r w:rsidRPr="003D67D8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:rsidR="007430DC" w:rsidRPr="003D67D8" w:rsidRDefault="007430DC" w:rsidP="007430DC">
      <w:pPr>
        <w:ind w:left="2552"/>
        <w:rPr>
          <w:rFonts w:ascii="Arial" w:hAnsi="Arial" w:cs="Arial"/>
          <w:sz w:val="20"/>
          <w:szCs w:val="20"/>
        </w:rPr>
      </w:pPr>
      <w:r w:rsidRPr="003D67D8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 xml:space="preserve">a ředitelem: </w:t>
      </w:r>
      <w:r w:rsidR="009B193B">
        <w:rPr>
          <w:rFonts w:ascii="Arial" w:hAnsi="Arial" w:cs="Arial"/>
          <w:sz w:val="20"/>
          <w:szCs w:val="20"/>
        </w:rPr>
        <w:t>XXX</w:t>
      </w:r>
    </w:p>
    <w:p w:rsidR="007430DC" w:rsidRPr="003D67D8" w:rsidRDefault="007430DC" w:rsidP="007430DC">
      <w:pPr>
        <w:ind w:left="2552"/>
        <w:rPr>
          <w:rFonts w:ascii="Arial" w:hAnsi="Arial" w:cs="Arial"/>
          <w:sz w:val="20"/>
          <w:szCs w:val="20"/>
        </w:rPr>
      </w:pPr>
      <w:r w:rsidRPr="003D67D8">
        <w:rPr>
          <w:rFonts w:ascii="Arial" w:hAnsi="Arial" w:cs="Arial"/>
          <w:sz w:val="20"/>
          <w:szCs w:val="20"/>
        </w:rPr>
        <w:t>bankovní spojení:</w:t>
      </w:r>
      <w:r w:rsidRPr="003D67D8"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8323630257/0100</w:t>
      </w:r>
    </w:p>
    <w:p w:rsidR="007430DC" w:rsidRPr="003827D0" w:rsidRDefault="007430DC" w:rsidP="007430DC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:rsidR="001D449F" w:rsidRDefault="001D449F" w:rsidP="007430DC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b/>
          <w:sz w:val="22"/>
          <w:szCs w:val="22"/>
        </w:rPr>
      </w:pPr>
    </w:p>
    <w:p w:rsidR="00F6289E" w:rsidRDefault="00F6289E">
      <w:pPr>
        <w:jc w:val="center"/>
        <w:rPr>
          <w:b/>
          <w:sz w:val="22"/>
          <w:szCs w:val="22"/>
        </w:rPr>
      </w:pPr>
    </w:p>
    <w:p w:rsidR="00FE0DA2" w:rsidRDefault="00FE0DA2">
      <w:pPr>
        <w:jc w:val="center"/>
        <w:rPr>
          <w:b/>
          <w:sz w:val="22"/>
          <w:szCs w:val="22"/>
        </w:rPr>
      </w:pPr>
    </w:p>
    <w:p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:rsidR="007430DC" w:rsidRPr="000A71F7" w:rsidRDefault="007430DC" w:rsidP="0080798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50E17">
        <w:rPr>
          <w:rFonts w:ascii="Arial" w:hAnsi="Arial" w:cs="Arial"/>
          <w:sz w:val="20"/>
          <w:szCs w:val="20"/>
        </w:rPr>
        <w:t xml:space="preserve">Poskytovatel poskytne 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Příjemci za podmínek uvedených v čl. II. až IV. návratnou finanční výpomoc z rozpočtu Zlínského kraje ve 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 xml:space="preserve">výši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1 665 000</w:t>
      </w:r>
      <w:r w:rsidRPr="00F7585F">
        <w:rPr>
          <w:rFonts w:ascii="Arial" w:hAnsi="Arial" w:cs="Arial"/>
          <w:b/>
          <w:color w:val="000000" w:themeColor="text1"/>
          <w:sz w:val="20"/>
          <w:szCs w:val="20"/>
        </w:rPr>
        <w:t>,- Kč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 xml:space="preserve">, slovy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jedenmilionšestsetšedesátpěttisíc</w:t>
      </w:r>
      <w:proofErr w:type="spellEnd"/>
      <w:r w:rsidRPr="00F7585F">
        <w:rPr>
          <w:rFonts w:ascii="Arial" w:hAnsi="Arial" w:cs="Arial"/>
          <w:color w:val="000000" w:themeColor="text1"/>
          <w:sz w:val="20"/>
          <w:szCs w:val="20"/>
        </w:rPr>
        <w:t xml:space="preserve"> korun českých, na přípravu a realizaci akce </w:t>
      </w:r>
      <w:bookmarkStart w:id="0" w:name="OLE_LINK1"/>
      <w:r w:rsidRPr="00F7585F">
        <w:rPr>
          <w:rFonts w:ascii="Arial" w:hAnsi="Arial" w:cs="Arial"/>
          <w:color w:val="000000" w:themeColor="text1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VOŠP a SPŠM Kroměříž – Modernizace vybavení COP učebními pomůckami V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F7585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>v souladu s investičním záměrem schváleným R</w:t>
      </w:r>
      <w:r w:rsidR="00A7164D">
        <w:rPr>
          <w:rFonts w:ascii="Arial" w:hAnsi="Arial" w:cs="Arial"/>
          <w:color w:val="000000" w:themeColor="text1"/>
          <w:sz w:val="20"/>
          <w:szCs w:val="20"/>
        </w:rPr>
        <w:t>adou Zlínského kraje usnesením č. 0253/R08/20 ze dne 30. 3. 2020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>, pod evidenčním číslem</w:t>
      </w:r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798D" w:rsidRPr="0080798D">
        <w:rPr>
          <w:rFonts w:ascii="Arial" w:hAnsi="Arial" w:cs="Arial"/>
          <w:color w:val="000000" w:themeColor="text1"/>
          <w:sz w:val="20"/>
          <w:szCs w:val="20"/>
        </w:rPr>
        <w:t>1617/150/03/20</w:t>
      </w:r>
      <w:r w:rsidRPr="00F7585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C45E0" w:rsidRPr="000A71F7" w:rsidRDefault="000C45E0" w:rsidP="000A71F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04A06" w:rsidRPr="00736CF4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736CF4">
        <w:rPr>
          <w:rFonts w:ascii="Arial" w:hAnsi="Arial" w:cs="Arial"/>
          <w:sz w:val="20"/>
          <w:szCs w:val="20"/>
        </w:rPr>
        <w:t>uveden</w:t>
      </w:r>
      <w:r w:rsidR="007E3F07" w:rsidRPr="00736CF4">
        <w:rPr>
          <w:rFonts w:ascii="Arial" w:hAnsi="Arial" w:cs="Arial"/>
          <w:sz w:val="20"/>
          <w:szCs w:val="20"/>
        </w:rPr>
        <w:t>ý</w:t>
      </w:r>
      <w:r w:rsidR="00822E14" w:rsidRPr="00736CF4">
        <w:rPr>
          <w:rFonts w:ascii="Arial" w:hAnsi="Arial" w:cs="Arial"/>
          <w:sz w:val="20"/>
          <w:szCs w:val="20"/>
        </w:rPr>
        <w:t xml:space="preserve"> </w:t>
      </w:r>
      <w:r w:rsidR="007E3F07" w:rsidRPr="00736CF4">
        <w:rPr>
          <w:rFonts w:ascii="Arial" w:hAnsi="Arial" w:cs="Arial"/>
          <w:sz w:val="20"/>
          <w:szCs w:val="20"/>
        </w:rPr>
        <w:t>účel uvedený v odstavci 1.1</w:t>
      </w:r>
      <w:r w:rsidRPr="00736CF4">
        <w:rPr>
          <w:rFonts w:ascii="Arial" w:hAnsi="Arial" w:cs="Arial"/>
          <w:sz w:val="20"/>
          <w:szCs w:val="20"/>
        </w:rPr>
        <w:t>. Účel</w:t>
      </w:r>
      <w:r w:rsidR="002473D8" w:rsidRPr="00736CF4">
        <w:rPr>
          <w:rFonts w:ascii="Arial" w:hAnsi="Arial" w:cs="Arial"/>
          <w:sz w:val="20"/>
          <w:szCs w:val="20"/>
        </w:rPr>
        <w:t xml:space="preserve"> návratné finanční výpomoci</w:t>
      </w:r>
      <w:r w:rsidRPr="00736CF4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736CF4">
        <w:rPr>
          <w:rFonts w:ascii="Arial" w:hAnsi="Arial" w:cs="Arial"/>
          <w:sz w:val="20"/>
          <w:szCs w:val="20"/>
        </w:rPr>
        <w:t>P</w:t>
      </w:r>
      <w:r w:rsidRPr="00736CF4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736CF4">
        <w:rPr>
          <w:rFonts w:ascii="Arial" w:hAnsi="Arial" w:cs="Arial"/>
          <w:sz w:val="20"/>
          <w:szCs w:val="20"/>
        </w:rPr>
        <w:t xml:space="preserve"> Účelu musí být dosaženo nejpozději 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F7585F">
        <w:rPr>
          <w:rFonts w:ascii="Arial" w:hAnsi="Arial" w:cs="Arial"/>
          <w:color w:val="000000" w:themeColor="text1"/>
          <w:sz w:val="20"/>
          <w:szCs w:val="20"/>
        </w:rPr>
        <w:t>31</w:t>
      </w:r>
      <w:r w:rsidR="003F6407">
        <w:rPr>
          <w:rFonts w:ascii="Arial" w:hAnsi="Arial" w:cs="Arial"/>
          <w:color w:val="000000" w:themeColor="text1"/>
          <w:sz w:val="20"/>
          <w:szCs w:val="20"/>
        </w:rPr>
        <w:t>. 12. 2020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04A06" w:rsidRDefault="00104A06" w:rsidP="00104A06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1E3A69" w:rsidRDefault="001E3A69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1E3A69" w:rsidRDefault="001E3A69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lastRenderedPageBreak/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:rsidR="007826AF" w:rsidRPr="007826AF" w:rsidRDefault="007826AF" w:rsidP="007826AF"/>
    <w:p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="007567A5">
        <w:rPr>
          <w:rFonts w:ascii="Arial" w:hAnsi="Arial" w:cs="Arial"/>
          <w:b/>
          <w:sz w:val="20"/>
        </w:rPr>
        <w:t>,</w:t>
      </w:r>
      <w:r w:rsidR="005364A3" w:rsidRPr="005364A3">
        <w:rPr>
          <w:rFonts w:ascii="Arial" w:hAnsi="Arial" w:cs="Arial"/>
          <w:sz w:val="20"/>
        </w:rPr>
        <w:t xml:space="preserve"> </w:t>
      </w:r>
      <w:r w:rsidR="005364A3" w:rsidRPr="00BB1932">
        <w:rPr>
          <w:rFonts w:ascii="Arial" w:hAnsi="Arial" w:cs="Arial"/>
          <w:sz w:val="20"/>
        </w:rPr>
        <w:t xml:space="preserve">ve znění jeho případných pozdějších dodatků a změn struktury </w:t>
      </w:r>
      <w:r w:rsidR="005364A3">
        <w:rPr>
          <w:rFonts w:ascii="Arial" w:hAnsi="Arial" w:cs="Arial"/>
          <w:sz w:val="20"/>
        </w:rPr>
        <w:t xml:space="preserve">nákladů </w:t>
      </w:r>
      <w:r w:rsidR="005364A3" w:rsidRPr="00BB1932">
        <w:rPr>
          <w:rFonts w:ascii="Arial" w:hAnsi="Arial" w:cs="Arial"/>
          <w:sz w:val="20"/>
        </w:rPr>
        <w:t>a zdrojů financování</w:t>
      </w:r>
      <w:r w:rsidRPr="004F5347">
        <w:rPr>
          <w:rFonts w:ascii="Arial" w:hAnsi="Arial" w:cs="Arial"/>
          <w:b/>
          <w:sz w:val="20"/>
        </w:rPr>
        <w:t>,</w:t>
      </w:r>
      <w:r w:rsidRPr="004F5347">
        <w:rPr>
          <w:rFonts w:ascii="Arial" w:hAnsi="Arial" w:cs="Arial"/>
          <w:sz w:val="20"/>
        </w:rPr>
        <w:t xml:space="preserve"> směrnic</w:t>
      </w:r>
      <w:r>
        <w:rPr>
          <w:rFonts w:ascii="Arial" w:hAnsi="Arial" w:cs="Arial"/>
          <w:sz w:val="20"/>
        </w:rPr>
        <w:t>e</w:t>
      </w:r>
      <w:r w:rsidRPr="004F5347">
        <w:rPr>
          <w:rFonts w:ascii="Arial" w:hAnsi="Arial" w:cs="Arial"/>
          <w:sz w:val="20"/>
        </w:rPr>
        <w:t xml:space="preserve"> Zlínského kraje č. </w:t>
      </w:r>
      <w:r w:rsidRPr="004F5347">
        <w:rPr>
          <w:rFonts w:ascii="Arial" w:hAnsi="Arial" w:cs="Arial"/>
          <w:b/>
          <w:sz w:val="20"/>
        </w:rPr>
        <w:t>SM</w:t>
      </w:r>
      <w:r>
        <w:rPr>
          <w:rFonts w:ascii="Arial" w:hAnsi="Arial" w:cs="Arial"/>
          <w:b/>
          <w:sz w:val="20"/>
        </w:rPr>
        <w:t>/</w:t>
      </w:r>
      <w:r w:rsidRPr="004F5347">
        <w:rPr>
          <w:rFonts w:ascii="Arial" w:hAnsi="Arial" w:cs="Arial"/>
          <w:b/>
          <w:sz w:val="20"/>
        </w:rPr>
        <w:t>41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Pr="004F5347">
        <w:rPr>
          <w:rFonts w:ascii="Arial" w:hAnsi="Arial" w:cs="Arial"/>
          <w:sz w:val="20"/>
        </w:rPr>
        <w:t>- Příprava a realizace akcí reprodukce majetku, platné právní předpisy a vnitřní normy Zlínského kraje.</w:t>
      </w:r>
    </w:p>
    <w:p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966023" w:rsidRPr="00BC68E4">
        <w:rPr>
          <w:rFonts w:ascii="Arial" w:hAnsi="Arial" w:cs="Arial"/>
          <w:sz w:val="20"/>
        </w:rPr>
        <w:t xml:space="preserve">odboru </w:t>
      </w:r>
      <w:r w:rsidR="005A12B3">
        <w:rPr>
          <w:rFonts w:ascii="Arial" w:hAnsi="Arial" w:cs="Arial"/>
          <w:sz w:val="20"/>
        </w:rPr>
        <w:t>projektového ř</w:t>
      </w:r>
      <w:r w:rsidR="00966023" w:rsidRPr="00BC68E4">
        <w:rPr>
          <w:rFonts w:ascii="Arial" w:hAnsi="Arial" w:cs="Arial"/>
          <w:sz w:val="20"/>
        </w:rPr>
        <w:t xml:space="preserve">ízení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5A12B3">
        <w:rPr>
          <w:rFonts w:ascii="Arial" w:hAnsi="Arial" w:cs="Arial"/>
          <w:b/>
          <w:sz w:val="20"/>
        </w:rPr>
        <w:t>P</w:t>
      </w:r>
      <w:r w:rsidRPr="00966023">
        <w:rPr>
          <w:rFonts w:ascii="Arial" w:hAnsi="Arial" w:cs="Arial"/>
          <w:b/>
          <w:sz w:val="20"/>
        </w:rPr>
        <w:t>Ř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="00907A49">
        <w:rPr>
          <w:rFonts w:ascii="Arial" w:hAnsi="Arial" w:cs="Arial"/>
          <w:b/>
          <w:sz w:val="20"/>
          <w:szCs w:val="20"/>
        </w:rPr>
        <w:t xml:space="preserve"> </w:t>
      </w:r>
      <w:r w:rsidRPr="005A7016">
        <w:rPr>
          <w:rFonts w:ascii="Arial" w:hAnsi="Arial" w:cs="Arial"/>
          <w:b/>
          <w:sz w:val="20"/>
          <w:szCs w:val="20"/>
        </w:rPr>
        <w:t>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 xml:space="preserve">oskytovatele (Odboru investic). V případě dotačních projektů je vzor doplněn Odborem </w:t>
      </w:r>
      <w:r w:rsidR="005A12B3">
        <w:rPr>
          <w:rFonts w:ascii="Arial" w:hAnsi="Arial" w:cs="Arial"/>
          <w:sz w:val="20"/>
          <w:szCs w:val="20"/>
        </w:rPr>
        <w:t xml:space="preserve">projektového </w:t>
      </w:r>
      <w:r w:rsidRPr="005A7016">
        <w:rPr>
          <w:rFonts w:ascii="Arial" w:hAnsi="Arial" w:cs="Arial"/>
          <w:sz w:val="20"/>
          <w:szCs w:val="20"/>
        </w:rPr>
        <w:t>řízení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5A12B3">
        <w:rPr>
          <w:rFonts w:ascii="Arial" w:hAnsi="Arial" w:cs="Arial"/>
          <w:sz w:val="20"/>
        </w:rPr>
        <w:t>P</w:t>
      </w:r>
      <w:r w:rsidRPr="00180755">
        <w:rPr>
          <w:rFonts w:ascii="Arial" w:hAnsi="Arial" w:cs="Arial"/>
          <w:sz w:val="20"/>
        </w:rPr>
        <w:t>Ř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5A12B3">
        <w:rPr>
          <w:rFonts w:ascii="Arial" w:hAnsi="Arial" w:cs="Arial"/>
          <w:sz w:val="20"/>
        </w:rPr>
        <w:t>P</w:t>
      </w:r>
      <w:r w:rsidRPr="00180755">
        <w:rPr>
          <w:rFonts w:ascii="Arial" w:hAnsi="Arial" w:cs="Arial"/>
          <w:sz w:val="20"/>
        </w:rPr>
        <w:t>Ř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 xml:space="preserve">odborem </w:t>
      </w:r>
      <w:r w:rsidR="005A12B3">
        <w:rPr>
          <w:rFonts w:ascii="Arial" w:hAnsi="Arial" w:cs="Arial"/>
          <w:sz w:val="20"/>
        </w:rPr>
        <w:t>P</w:t>
      </w:r>
      <w:r w:rsidRPr="00180755">
        <w:rPr>
          <w:rFonts w:ascii="Arial" w:hAnsi="Arial" w:cs="Arial"/>
          <w:sz w:val="20"/>
        </w:rPr>
        <w:t>Ř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 xml:space="preserve">odboru </w:t>
      </w:r>
      <w:r w:rsidR="005A12B3">
        <w:rPr>
          <w:rFonts w:ascii="Arial" w:hAnsi="Arial" w:cs="Arial"/>
          <w:sz w:val="20"/>
          <w:szCs w:val="20"/>
        </w:rPr>
        <w:t>P</w:t>
      </w:r>
      <w:r w:rsidR="000212D4" w:rsidRPr="00C66EE5">
        <w:rPr>
          <w:rFonts w:ascii="Arial" w:hAnsi="Arial" w:cs="Arial"/>
          <w:sz w:val="20"/>
          <w:szCs w:val="20"/>
        </w:rPr>
        <w:t>Ř) kopie podepsaných konečných verzí těchto dokumentů:</w:t>
      </w:r>
    </w:p>
    <w:p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:rsidR="000212D4" w:rsidRPr="004831A1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4831A1">
        <w:rPr>
          <w:rFonts w:ascii="Arial" w:hAnsi="Arial" w:cs="Arial"/>
          <w:sz w:val="20"/>
        </w:rPr>
        <w:t>Na vyžádání P</w:t>
      </w:r>
      <w:r w:rsidR="000212D4" w:rsidRPr="004831A1">
        <w:rPr>
          <w:rFonts w:ascii="Arial" w:hAnsi="Arial" w:cs="Arial"/>
          <w:sz w:val="20"/>
        </w:rPr>
        <w:t>oskytovatele i další dokumenty</w:t>
      </w:r>
    </w:p>
    <w:p w:rsidR="000212D4" w:rsidRPr="004831A1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31A1">
        <w:rPr>
          <w:rFonts w:ascii="Arial" w:hAnsi="Arial" w:cs="Arial"/>
          <w:sz w:val="20"/>
          <w:szCs w:val="20"/>
        </w:rPr>
        <w:t>Příjemce je povinen</w:t>
      </w:r>
      <w:r w:rsidR="00907A49">
        <w:rPr>
          <w:rFonts w:ascii="Arial" w:hAnsi="Arial" w:cs="Arial"/>
          <w:sz w:val="20"/>
          <w:szCs w:val="20"/>
        </w:rPr>
        <w:t xml:space="preserve"> </w:t>
      </w:r>
      <w:r w:rsidRPr="004831A1">
        <w:rPr>
          <w:rFonts w:ascii="Arial" w:hAnsi="Arial" w:cs="Arial"/>
          <w:sz w:val="20"/>
          <w:szCs w:val="20"/>
        </w:rPr>
        <w:t xml:space="preserve">neprodleně </w:t>
      </w:r>
      <w:r w:rsidRPr="004831A1">
        <w:rPr>
          <w:rFonts w:ascii="Arial" w:hAnsi="Arial" w:cs="Arial"/>
          <w:b/>
          <w:sz w:val="20"/>
          <w:szCs w:val="20"/>
        </w:rPr>
        <w:t>po uzavření smlouvy</w:t>
      </w:r>
      <w:r w:rsidRPr="004831A1">
        <w:rPr>
          <w:rFonts w:ascii="Arial" w:hAnsi="Arial" w:cs="Arial"/>
          <w:sz w:val="20"/>
          <w:szCs w:val="20"/>
        </w:rPr>
        <w:t xml:space="preserve"> zaslat odboru INV (</w:t>
      </w:r>
      <w:r w:rsidR="003433FB" w:rsidRPr="004831A1">
        <w:rPr>
          <w:rFonts w:ascii="Arial" w:hAnsi="Arial" w:cs="Arial"/>
          <w:sz w:val="20"/>
          <w:szCs w:val="20"/>
        </w:rPr>
        <w:t xml:space="preserve">případně </w:t>
      </w:r>
      <w:r w:rsidRPr="004831A1">
        <w:rPr>
          <w:rFonts w:ascii="Arial" w:hAnsi="Arial" w:cs="Arial"/>
          <w:sz w:val="20"/>
          <w:szCs w:val="20"/>
        </w:rPr>
        <w:t xml:space="preserve">odboru </w:t>
      </w:r>
      <w:r w:rsidR="005A12B3">
        <w:rPr>
          <w:rFonts w:ascii="Arial" w:hAnsi="Arial" w:cs="Arial"/>
          <w:sz w:val="20"/>
          <w:szCs w:val="20"/>
        </w:rPr>
        <w:t>P</w:t>
      </w:r>
      <w:r w:rsidRPr="004831A1">
        <w:rPr>
          <w:rFonts w:ascii="Arial" w:hAnsi="Arial" w:cs="Arial"/>
          <w:sz w:val="20"/>
          <w:szCs w:val="20"/>
        </w:rPr>
        <w:t>DP):</w:t>
      </w:r>
    </w:p>
    <w:p w:rsidR="000212D4" w:rsidRPr="004831A1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4831A1">
        <w:rPr>
          <w:rFonts w:ascii="Arial" w:hAnsi="Arial" w:cs="Arial"/>
          <w:b/>
          <w:sz w:val="20"/>
        </w:rPr>
        <w:t xml:space="preserve">platební kalendář </w:t>
      </w:r>
    </w:p>
    <w:p w:rsidR="000212D4" w:rsidRPr="004831A1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4831A1">
        <w:rPr>
          <w:rFonts w:ascii="Arial" w:hAnsi="Arial" w:cs="Arial"/>
          <w:sz w:val="20"/>
        </w:rPr>
        <w:t xml:space="preserve">časový </w:t>
      </w:r>
      <w:r w:rsidRPr="004831A1">
        <w:rPr>
          <w:rFonts w:ascii="Arial" w:hAnsi="Arial" w:cs="Arial"/>
          <w:b/>
          <w:sz w:val="20"/>
        </w:rPr>
        <w:t>harmonogram</w:t>
      </w:r>
      <w:r w:rsidRPr="004831A1">
        <w:rPr>
          <w:rFonts w:ascii="Arial" w:hAnsi="Arial" w:cs="Arial"/>
          <w:sz w:val="20"/>
        </w:rPr>
        <w:t xml:space="preserve"> realizace akce</w:t>
      </w:r>
    </w:p>
    <w:p w:rsidR="000212D4" w:rsidRPr="004831A1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31A1">
        <w:rPr>
          <w:rFonts w:ascii="Arial" w:hAnsi="Arial" w:cs="Arial"/>
          <w:sz w:val="20"/>
          <w:szCs w:val="20"/>
        </w:rPr>
        <w:t xml:space="preserve">Příjemce zajistí dodání </w:t>
      </w:r>
      <w:r w:rsidRPr="004831A1">
        <w:rPr>
          <w:rFonts w:ascii="Arial" w:hAnsi="Arial" w:cs="Arial"/>
          <w:b/>
          <w:sz w:val="20"/>
          <w:szCs w:val="20"/>
        </w:rPr>
        <w:t>zápisů z</w:t>
      </w:r>
      <w:r w:rsidR="004831A1">
        <w:rPr>
          <w:rFonts w:ascii="Arial" w:hAnsi="Arial" w:cs="Arial"/>
          <w:b/>
          <w:sz w:val="20"/>
          <w:szCs w:val="20"/>
        </w:rPr>
        <w:t> pracovních jednání</w:t>
      </w:r>
      <w:r w:rsidRPr="004831A1">
        <w:rPr>
          <w:rFonts w:ascii="Arial" w:hAnsi="Arial" w:cs="Arial"/>
          <w:sz w:val="20"/>
          <w:szCs w:val="20"/>
        </w:rPr>
        <w:t xml:space="preserve"> realizace akce </w:t>
      </w:r>
      <w:r w:rsidR="00113940" w:rsidRPr="004831A1">
        <w:rPr>
          <w:rFonts w:ascii="Arial" w:hAnsi="Arial" w:cs="Arial"/>
          <w:sz w:val="20"/>
          <w:szCs w:val="20"/>
        </w:rPr>
        <w:t>P</w:t>
      </w:r>
      <w:r w:rsidRPr="004831A1">
        <w:rPr>
          <w:rFonts w:ascii="Arial" w:hAnsi="Arial" w:cs="Arial"/>
          <w:sz w:val="20"/>
          <w:szCs w:val="20"/>
        </w:rPr>
        <w:t>oskytovateli</w:t>
      </w:r>
      <w:r w:rsidR="00075D38" w:rsidRPr="004831A1">
        <w:rPr>
          <w:rFonts w:ascii="Arial" w:hAnsi="Arial" w:cs="Arial"/>
          <w:sz w:val="20"/>
          <w:szCs w:val="20"/>
        </w:rPr>
        <w:t xml:space="preserve">, a to </w:t>
      </w:r>
      <w:r w:rsidRPr="004831A1">
        <w:rPr>
          <w:rFonts w:ascii="Arial" w:hAnsi="Arial" w:cs="Arial"/>
          <w:sz w:val="20"/>
          <w:szCs w:val="20"/>
        </w:rPr>
        <w:t>odboru INV</w:t>
      </w:r>
      <w:r w:rsidR="00075D38" w:rsidRPr="004831A1">
        <w:rPr>
          <w:rFonts w:ascii="Arial" w:hAnsi="Arial" w:cs="Arial"/>
          <w:sz w:val="20"/>
          <w:szCs w:val="20"/>
        </w:rPr>
        <w:t xml:space="preserve"> (případně odboru </w:t>
      </w:r>
      <w:r w:rsidR="005A12B3">
        <w:rPr>
          <w:rFonts w:ascii="Arial" w:hAnsi="Arial" w:cs="Arial"/>
          <w:sz w:val="20"/>
          <w:szCs w:val="20"/>
        </w:rPr>
        <w:t>P</w:t>
      </w:r>
      <w:r w:rsidR="00075D38" w:rsidRPr="004831A1">
        <w:rPr>
          <w:rFonts w:ascii="Arial" w:hAnsi="Arial" w:cs="Arial"/>
          <w:sz w:val="20"/>
          <w:szCs w:val="20"/>
        </w:rPr>
        <w:t>Ř)</w:t>
      </w:r>
      <w:r w:rsidRPr="004831A1">
        <w:rPr>
          <w:rFonts w:ascii="Arial" w:hAnsi="Arial" w:cs="Arial"/>
          <w:sz w:val="20"/>
          <w:szCs w:val="20"/>
        </w:rPr>
        <w:t>, neprodleně po jejich konání. Poskytovatel má právo se </w:t>
      </w:r>
      <w:r w:rsidR="004831A1">
        <w:rPr>
          <w:rFonts w:ascii="Arial" w:hAnsi="Arial" w:cs="Arial"/>
          <w:sz w:val="20"/>
          <w:szCs w:val="20"/>
        </w:rPr>
        <w:t xml:space="preserve">pracovních jednání </w:t>
      </w:r>
      <w:r w:rsidRPr="004831A1">
        <w:rPr>
          <w:rFonts w:ascii="Arial" w:hAnsi="Arial" w:cs="Arial"/>
          <w:sz w:val="20"/>
          <w:szCs w:val="20"/>
        </w:rPr>
        <w:t>zúčastnit.</w:t>
      </w:r>
    </w:p>
    <w:p w:rsidR="00086149" w:rsidRPr="004831A1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</w:t>
      </w:r>
      <w:r w:rsidRPr="004831A1">
        <w:rPr>
          <w:rFonts w:ascii="Arial" w:hAnsi="Arial" w:cs="Arial"/>
          <w:sz w:val="20"/>
        </w:rPr>
        <w:t xml:space="preserve">smluvních stran. </w:t>
      </w:r>
    </w:p>
    <w:p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F40C11">
        <w:rPr>
          <w:rFonts w:ascii="Arial" w:hAnsi="Arial" w:cs="Arial"/>
          <w:sz w:val="20"/>
        </w:rPr>
        <w:t xml:space="preserve">do 3 měsíců po ukončení </w:t>
      </w:r>
      <w:r w:rsidR="00F40C11" w:rsidRPr="005708F2">
        <w:rPr>
          <w:rFonts w:ascii="Arial" w:hAnsi="Arial" w:cs="Arial"/>
          <w:sz w:val="20"/>
        </w:rPr>
        <w:t>akce</w:t>
      </w:r>
      <w:r w:rsidR="00CA4182" w:rsidRPr="005708F2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5708F2">
        <w:rPr>
          <w:rFonts w:ascii="Arial" w:hAnsi="Arial" w:cs="Arial"/>
          <w:b/>
          <w:sz w:val="20"/>
        </w:rPr>
        <w:t>Závěrečnou zprávu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akce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reprodukce majetku</w:t>
      </w:r>
      <w:r w:rsidRPr="005708F2">
        <w:rPr>
          <w:rFonts w:ascii="Arial" w:hAnsi="Arial" w:cs="Arial"/>
          <w:sz w:val="20"/>
        </w:rPr>
        <w:t xml:space="preserve"> v rozsahu přílohy č. 6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SM/41 odboru INV (</w:t>
      </w:r>
      <w:r w:rsidR="003433FB" w:rsidRPr="005708F2">
        <w:rPr>
          <w:rFonts w:ascii="Arial" w:hAnsi="Arial" w:cs="Arial"/>
          <w:sz w:val="20"/>
        </w:rPr>
        <w:t xml:space="preserve">případně </w:t>
      </w:r>
      <w:r w:rsidRPr="005708F2">
        <w:rPr>
          <w:rFonts w:ascii="Arial" w:hAnsi="Arial" w:cs="Arial"/>
          <w:sz w:val="20"/>
        </w:rPr>
        <w:t xml:space="preserve">odboru </w:t>
      </w:r>
      <w:r w:rsidR="005A12B3">
        <w:rPr>
          <w:rFonts w:ascii="Arial" w:hAnsi="Arial" w:cs="Arial"/>
          <w:sz w:val="20"/>
        </w:rPr>
        <w:t>P</w:t>
      </w:r>
      <w:r w:rsidRPr="005708F2">
        <w:rPr>
          <w:rFonts w:ascii="Arial" w:hAnsi="Arial" w:cs="Arial"/>
          <w:sz w:val="20"/>
        </w:rPr>
        <w:t xml:space="preserve">Ř). </w:t>
      </w:r>
      <w:r w:rsidR="000338FE" w:rsidRPr="005708F2">
        <w:rPr>
          <w:rFonts w:ascii="Arial" w:hAnsi="Arial" w:cs="Arial"/>
          <w:sz w:val="20"/>
        </w:rPr>
        <w:t>Dále je P</w:t>
      </w:r>
      <w:r w:rsidRPr="005708F2">
        <w:rPr>
          <w:rFonts w:ascii="Arial" w:hAnsi="Arial" w:cs="Arial"/>
          <w:sz w:val="20"/>
        </w:rPr>
        <w:t xml:space="preserve">říjemce povinen zpracovat </w:t>
      </w:r>
      <w:r w:rsidR="00F40C11" w:rsidRPr="005708F2">
        <w:rPr>
          <w:rFonts w:ascii="Arial" w:hAnsi="Arial" w:cs="Arial"/>
          <w:sz w:val="20"/>
        </w:rPr>
        <w:t xml:space="preserve">a předložit </w:t>
      </w:r>
      <w:r w:rsidR="00CA4182" w:rsidRPr="005708F2">
        <w:rPr>
          <w:rFonts w:ascii="Arial" w:hAnsi="Arial" w:cs="Arial"/>
          <w:sz w:val="20"/>
        </w:rPr>
        <w:t xml:space="preserve">do 3 měsíců od </w:t>
      </w:r>
      <w:r w:rsidR="00CA4182" w:rsidRPr="005708F2">
        <w:rPr>
          <w:rFonts w:ascii="Arial" w:hAnsi="Arial" w:cs="Arial"/>
          <w:sz w:val="20"/>
        </w:rPr>
        <w:lastRenderedPageBreak/>
        <w:t xml:space="preserve">finančního vypořádání </w:t>
      </w:r>
      <w:r w:rsidR="00D41657" w:rsidRPr="005708F2">
        <w:rPr>
          <w:rFonts w:ascii="Arial" w:hAnsi="Arial" w:cs="Arial"/>
          <w:sz w:val="20"/>
        </w:rPr>
        <w:t>akce</w:t>
      </w:r>
      <w:r w:rsidR="00FE633D" w:rsidRPr="005708F2">
        <w:rPr>
          <w:rFonts w:ascii="Arial" w:hAnsi="Arial" w:cs="Arial"/>
          <w:sz w:val="20"/>
        </w:rPr>
        <w:t xml:space="preserve">, </w:t>
      </w:r>
      <w:r w:rsidR="00D41657" w:rsidRPr="005708F2">
        <w:rPr>
          <w:rFonts w:ascii="Arial" w:hAnsi="Arial" w:cs="Arial"/>
          <w:sz w:val="20"/>
        </w:rPr>
        <w:t xml:space="preserve">resp. </w:t>
      </w:r>
      <w:r w:rsidR="00CA4182" w:rsidRPr="005708F2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495CC8">
        <w:rPr>
          <w:rFonts w:ascii="Arial" w:hAnsi="Arial" w:cs="Arial"/>
          <w:sz w:val="20"/>
        </w:rPr>
        <w:t xml:space="preserve"> jehož součástí je realizace</w:t>
      </w:r>
      <w:r w:rsidR="00FE633D" w:rsidRPr="005708F2">
        <w:rPr>
          <w:rFonts w:ascii="Arial" w:hAnsi="Arial" w:cs="Arial"/>
          <w:sz w:val="20"/>
        </w:rPr>
        <w:t xml:space="preserve">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</w:t>
      </w:r>
      <w:r w:rsidR="005A12B3">
        <w:rPr>
          <w:rFonts w:ascii="Arial" w:hAnsi="Arial" w:cs="Arial"/>
          <w:sz w:val="20"/>
        </w:rPr>
        <w:t>P</w:t>
      </w:r>
      <w:r w:rsidR="00F40C11" w:rsidRPr="005708F2">
        <w:rPr>
          <w:rFonts w:ascii="Arial" w:hAnsi="Arial" w:cs="Arial"/>
          <w:sz w:val="20"/>
        </w:rPr>
        <w:t xml:space="preserve">Ř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říjem</w:t>
      </w:r>
      <w:r w:rsidRPr="00FE0DA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Pr="00FE0DA2">
        <w:rPr>
          <w:rFonts w:ascii="Arial" w:hAnsi="Arial" w:cs="Arial"/>
          <w:color w:val="000000" w:themeColor="text1"/>
          <w:sz w:val="20"/>
        </w:rPr>
        <w:t>oskytovatele),</w:t>
      </w:r>
    </w:p>
    <w:p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color w:val="000000" w:themeColor="text1"/>
          <w:sz w:val="20"/>
        </w:rPr>
        <w:t xml:space="preserve">uzavřených </w:t>
      </w:r>
      <w:r w:rsidRPr="00FE0DA2">
        <w:rPr>
          <w:rFonts w:ascii="Arial" w:hAnsi="Arial" w:cs="Arial"/>
          <w:b/>
          <w:color w:val="000000" w:themeColor="text1"/>
          <w:sz w:val="20"/>
        </w:rPr>
        <w:t>smluv</w:t>
      </w:r>
      <w:r w:rsidRPr="00FE0DA2">
        <w:rPr>
          <w:rFonts w:ascii="Arial" w:hAnsi="Arial" w:cs="Arial"/>
          <w:color w:val="000000" w:themeColor="text1"/>
          <w:sz w:val="20"/>
        </w:rPr>
        <w:t xml:space="preserve">, </w:t>
      </w:r>
      <w:r w:rsidRPr="004831A1">
        <w:rPr>
          <w:rFonts w:ascii="Arial" w:hAnsi="Arial" w:cs="Arial"/>
          <w:color w:val="000000" w:themeColor="text1"/>
          <w:sz w:val="20"/>
        </w:rPr>
        <w:t>platebního kalendáře a časového harmonogramu akce</w:t>
      </w:r>
      <w:r w:rsidR="00F31B6F" w:rsidRPr="004831A1">
        <w:rPr>
          <w:rFonts w:ascii="Arial" w:hAnsi="Arial" w:cs="Arial"/>
          <w:color w:val="000000" w:themeColor="text1"/>
          <w:sz w:val="20"/>
        </w:rPr>
        <w:t>;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 Odbor </w:t>
      </w:r>
      <w:r w:rsidR="005A12B3">
        <w:rPr>
          <w:rFonts w:ascii="Arial" w:hAnsi="Arial" w:cs="Arial"/>
          <w:color w:val="000000" w:themeColor="text1"/>
          <w:sz w:val="20"/>
        </w:rPr>
        <w:t>P</w:t>
      </w:r>
      <w:r w:rsidR="008B2338" w:rsidRPr="00FE0DA2">
        <w:rPr>
          <w:rFonts w:ascii="Arial" w:hAnsi="Arial" w:cs="Arial"/>
          <w:color w:val="000000" w:themeColor="text1"/>
          <w:sz w:val="20"/>
        </w:rPr>
        <w:t>Ř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E0DA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říjemcem </w:t>
      </w:r>
      <w:r w:rsidR="00F31B6F" w:rsidRPr="00FE0DA2">
        <w:rPr>
          <w:rFonts w:ascii="Arial" w:hAnsi="Arial" w:cs="Arial"/>
          <w:b/>
          <w:color w:val="000000" w:themeColor="text1"/>
          <w:sz w:val="20"/>
        </w:rPr>
        <w:t>předložených faktur</w:t>
      </w:r>
      <w:r w:rsidR="00F31B6F" w:rsidRPr="00FE0DA2">
        <w:rPr>
          <w:rFonts w:ascii="Arial" w:hAnsi="Arial" w:cs="Arial"/>
          <w:color w:val="000000" w:themeColor="text1"/>
          <w:sz w:val="20"/>
        </w:rPr>
        <w:t>,</w:t>
      </w:r>
    </w:p>
    <w:p w:rsidR="00F87F24" w:rsidRPr="00FE0DA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b/>
          <w:color w:val="000000" w:themeColor="text1"/>
          <w:sz w:val="20"/>
        </w:rPr>
        <w:t>po vyčerpání vlastních finančních zdrojů</w:t>
      </w:r>
      <w:r w:rsidRPr="00FE0DA2">
        <w:rPr>
          <w:rFonts w:ascii="Arial" w:hAnsi="Arial" w:cs="Arial"/>
          <w:color w:val="000000" w:themeColor="text1"/>
          <w:sz w:val="20"/>
        </w:rPr>
        <w:t xml:space="preserve">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="00C559F2" w:rsidRPr="00FE0DA2">
        <w:rPr>
          <w:rFonts w:ascii="Arial" w:hAnsi="Arial" w:cs="Arial"/>
          <w:color w:val="000000" w:themeColor="text1"/>
          <w:sz w:val="20"/>
        </w:rPr>
        <w:t>říjemce</w:t>
      </w:r>
      <w:r w:rsidRPr="00FE0DA2">
        <w:rPr>
          <w:rFonts w:ascii="Arial" w:hAnsi="Arial" w:cs="Arial"/>
          <w:color w:val="000000" w:themeColor="text1"/>
          <w:sz w:val="20"/>
        </w:rPr>
        <w:t>.</w:t>
      </w:r>
      <w:r w:rsidR="00F87F24" w:rsidRPr="00FE0DA2">
        <w:rPr>
          <w:rFonts w:ascii="Arial" w:hAnsi="Arial" w:cs="Arial"/>
          <w:color w:val="000000" w:themeColor="text1"/>
          <w:sz w:val="20"/>
        </w:rPr>
        <w:t xml:space="preserve">  </w:t>
      </w:r>
    </w:p>
    <w:p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Splatnost návratné finanční výpomoci na účet Příjemce je do 30 dnů ode dne doručení písemné žádosti Poskytovateli.</w:t>
      </w:r>
    </w:p>
    <w:p w:rsidR="00CB77A6" w:rsidRPr="00FE0DA2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do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31. 12</w:t>
      </w:r>
      <w:r w:rsidR="00714EEA" w:rsidRPr="00FE0DA2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3F6407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714EEA" w:rsidRPr="00FE0DA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2773F5" w:rsidRPr="00FE0DA2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C2319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1B66" w:rsidRPr="00FE0DA2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AF7832" w:rsidRPr="00FE0DA2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3F6407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F9412E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D2C15" w:rsidRPr="00FE0DA2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FE0DA2">
        <w:rPr>
          <w:rFonts w:ascii="Arial" w:hAnsi="Arial" w:cs="Arial"/>
          <w:b/>
          <w:color w:val="000000" w:themeColor="text1"/>
          <w:sz w:val="20"/>
          <w:szCs w:val="20"/>
        </w:rPr>
        <w:t>1827552/0800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Návratnou finanční výpomoc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nelze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oskytovatele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převádět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do následujícího roku.</w:t>
      </w:r>
    </w:p>
    <w:p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Vrácení návratné finanční výpomoci nezakládá právo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říjemce na její dočerpání v následujícím roce.</w:t>
      </w:r>
    </w:p>
    <w:p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gramStart"/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>10-ti</w:t>
      </w:r>
      <w:proofErr w:type="gramEnd"/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dnů od obdržení proplacení dílčí dotace z fondů E</w:t>
      </w:r>
      <w:r w:rsidR="007D6CFA" w:rsidRPr="00FE0DA2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nejpozději do </w:t>
      </w:r>
      <w:r w:rsidR="008D1F68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495CC8">
        <w:rPr>
          <w:rFonts w:ascii="Arial" w:hAnsi="Arial" w:cs="Arial"/>
          <w:b/>
          <w:color w:val="000000" w:themeColor="text1"/>
          <w:sz w:val="20"/>
          <w:szCs w:val="20"/>
        </w:rPr>
        <w:t>. 06. 202</w:t>
      </w:r>
      <w:r w:rsidR="003F640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FE0DA2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>kových příjmech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075D38" w:rsidRPr="00FE0DA2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čl. I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tgtFrame="_blank" w:history="1">
        <w:r w:rsidR="005F3480" w:rsidRPr="004D32B2">
          <w:rPr>
            <w:rStyle w:val="Hypertextovodkaz"/>
            <w:rFonts w:ascii="Arial" w:hAnsi="Arial" w:cs="Arial"/>
            <w:sz w:val="20"/>
            <w:szCs w:val="20"/>
          </w:rPr>
          <w:t>propagace@kr-zlinsky.cz</w:t>
        </w:r>
      </w:hyperlink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předáním 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poskytovateli uvedeny. </w:t>
      </w:r>
      <w:r w:rsidRPr="003A05D9">
        <w:rPr>
          <w:rFonts w:ascii="Arial" w:hAnsi="Arial" w:cs="Arial"/>
          <w:sz w:val="20"/>
          <w:szCs w:val="20"/>
        </w:rPr>
        <w:lastRenderedPageBreak/>
        <w:t>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 xml:space="preserve">V případě výpovědi této smlouvy (ze strany Poskytovatele či ze strany Příjemce) před proplacením peněžních prostředků, nárok na vyplacení prostředků nevzniká a nelze se jej platně domáhat. </w:t>
      </w:r>
      <w:r w:rsidRPr="004E0932">
        <w:rPr>
          <w:rFonts w:ascii="Arial" w:hAnsi="Arial" w:cs="Arial"/>
          <w:sz w:val="20"/>
        </w:rPr>
        <w:lastRenderedPageBreak/>
        <w:t>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:rsidR="001D2C15" w:rsidRDefault="003755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375515">
        <w:rPr>
          <w:rFonts w:ascii="Arial" w:hAnsi="Arial" w:cs="Arial"/>
          <w:sz w:val="20"/>
        </w:rPr>
        <w:t>Tato smlouva nabývá platnosti dnem jejího podpisu oběma smluvními stranami a účinnosti dnem jejího uveřejnění v registru smluv</w:t>
      </w:r>
      <w:r>
        <w:rPr>
          <w:rFonts w:ascii="Arial" w:hAnsi="Arial" w:cs="Arial"/>
          <w:sz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 </w:t>
      </w:r>
      <w:r w:rsidR="005A12B3">
        <w:rPr>
          <w:rFonts w:ascii="Arial" w:hAnsi="Arial" w:cs="Arial"/>
          <w:sz w:val="20"/>
          <w:szCs w:val="20"/>
          <w:u w:val="single"/>
        </w:rPr>
        <w:t xml:space="preserve">projektového </w:t>
      </w:r>
      <w:r w:rsidRPr="00447A1F">
        <w:rPr>
          <w:rFonts w:ascii="Arial" w:hAnsi="Arial" w:cs="Arial"/>
          <w:sz w:val="20"/>
          <w:szCs w:val="20"/>
          <w:u w:val="single"/>
        </w:rPr>
        <w:t>řízení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je vyhotovena ve </w:t>
      </w:r>
      <w:r w:rsidRPr="008D1F57">
        <w:rPr>
          <w:rFonts w:ascii="Arial" w:hAnsi="Arial" w:cs="Arial"/>
          <w:b/>
          <w:sz w:val="20"/>
          <w:szCs w:val="20"/>
        </w:rPr>
        <w:t>třech</w:t>
      </w:r>
      <w:r w:rsidRPr="00447A1F">
        <w:rPr>
          <w:rFonts w:ascii="Arial" w:hAnsi="Arial" w:cs="Arial"/>
          <w:sz w:val="20"/>
          <w:szCs w:val="20"/>
        </w:rPr>
        <w:t xml:space="preserve"> stejnopisech, z nichž 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>oskytovatel obdrží dvě vyhotovení a 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říjemce jedno vyhotovení. </w:t>
      </w:r>
    </w:p>
    <w:p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:rsidR="00924F70" w:rsidRDefault="00924F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3858AB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FB4C2C">
        <w:rPr>
          <w:rFonts w:ascii="Arial" w:hAnsi="Arial" w:cs="Arial"/>
          <w:sz w:val="20"/>
          <w:szCs w:val="20"/>
        </w:rPr>
        <w:t>um a číslo jednací:</w:t>
      </w:r>
      <w:r w:rsidR="003E1BC5">
        <w:rPr>
          <w:rFonts w:ascii="Arial" w:hAnsi="Arial" w:cs="Arial"/>
          <w:sz w:val="20"/>
          <w:szCs w:val="20"/>
        </w:rPr>
        <w:t xml:space="preserve"> 4. 5. 2020</w:t>
      </w:r>
      <w:r w:rsidR="00B76FC3" w:rsidRPr="00B76FC3">
        <w:rPr>
          <w:rFonts w:ascii="Arial" w:hAnsi="Arial" w:cs="Arial"/>
          <w:sz w:val="20"/>
          <w:szCs w:val="20"/>
        </w:rPr>
        <w:t xml:space="preserve">, usnesení č. </w:t>
      </w:r>
      <w:r w:rsidR="003E1BC5" w:rsidRPr="003E1BC5">
        <w:rPr>
          <w:rFonts w:ascii="Arial" w:hAnsi="Arial" w:cs="Arial"/>
          <w:sz w:val="20"/>
          <w:szCs w:val="20"/>
        </w:rPr>
        <w:t>0829/Z26/20</w:t>
      </w:r>
    </w:p>
    <w:p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="00A12A21">
        <w:rPr>
          <w:rFonts w:ascii="Arial" w:hAnsi="Arial" w:cs="Arial"/>
          <w:sz w:val="20"/>
          <w:szCs w:val="20"/>
        </w:rPr>
        <w:t xml:space="preserve"> dne</w:t>
      </w:r>
      <w:proofErr w:type="gramEnd"/>
      <w:r w:rsidR="00A12A21">
        <w:rPr>
          <w:rFonts w:ascii="Arial" w:hAnsi="Arial" w:cs="Arial"/>
          <w:sz w:val="20"/>
          <w:szCs w:val="20"/>
        </w:rPr>
        <w:t>……………..</w:t>
      </w:r>
    </w:p>
    <w:p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C64B68" w:rsidRDefault="00C64B68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:rsidR="00DB0503" w:rsidRDefault="00FE0DA2" w:rsidP="00DB0503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Jiří Čunek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9B193B">
        <w:rPr>
          <w:rFonts w:ascii="Arial" w:hAnsi="Arial" w:cs="Arial"/>
          <w:sz w:val="20"/>
          <w:szCs w:val="20"/>
        </w:rPr>
        <w:t>XXX</w:t>
      </w:r>
      <w:bookmarkStart w:id="1" w:name="_GoBack"/>
      <w:bookmarkEnd w:id="1"/>
    </w:p>
    <w:p w:rsidR="009E4E37" w:rsidRDefault="00074DEF" w:rsidP="00074DEF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Pr="00C810AF">
        <w:rPr>
          <w:rFonts w:ascii="Arial" w:hAnsi="Arial" w:cs="Arial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:rsidR="009E4E37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lastRenderedPageBreak/>
        <w:t>Žádost o uvolnění návratné finanční výpomoci z rozpočtu ZK 20</w:t>
      </w:r>
      <w:r w:rsidR="003F6407">
        <w:rPr>
          <w:rFonts w:ascii="Arial" w:hAnsi="Arial" w:cs="Arial"/>
          <w:b/>
          <w:color w:val="000000" w:themeColor="text1"/>
          <w:sz w:val="22"/>
          <w:szCs w:val="20"/>
        </w:rPr>
        <w:t>20</w:t>
      </w:r>
      <w:r w:rsidRPr="00A616F3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97437F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="0097437F" w:rsidRPr="00A616F3">
        <w:rPr>
          <w:rFonts w:ascii="Arial" w:hAnsi="Arial" w:cs="Arial"/>
          <w:b/>
          <w:sz w:val="22"/>
          <w:szCs w:val="20"/>
        </w:rPr>
        <w:t>, ORJ</w:t>
      </w:r>
      <w:r w:rsidR="0097437F" w:rsidRPr="00FE0DA2">
        <w:rPr>
          <w:rFonts w:ascii="Arial" w:hAnsi="Arial" w:cs="Arial"/>
          <w:b/>
          <w:color w:val="000000" w:themeColor="text1"/>
          <w:sz w:val="22"/>
          <w:szCs w:val="20"/>
        </w:rPr>
        <w:t xml:space="preserve"> 200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název akce: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:rsidR="0097437F" w:rsidRPr="00FE0DA2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FE0DA2">
        <w:rPr>
          <w:rFonts w:ascii="Arial" w:hAnsi="Arial" w:cs="Arial"/>
          <w:color w:val="000000" w:themeColor="text1"/>
          <w:sz w:val="20"/>
          <w:szCs w:val="20"/>
        </w:rPr>
        <w:t>e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:rsidR="0097437F" w:rsidRPr="00FE0DA2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Návratná finanční výpomoc byla schválena ZZK dne ……, usnesením č. 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Doba realizace akce v letech: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Evidenční číslo IZ: ………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Celkové náklady akce dle IZ: ……………,- Kč </w:t>
      </w: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FE0DA2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Celková návratná finanční výpomoc z rozpočtu ZK dle IZ</w:t>
            </w:r>
            <w:r w:rsidR="005A1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roce 2020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Celkový finanční podíl FI p. o. dle IZ</w:t>
            </w:r>
            <w:r w:rsidR="005A1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roce 2020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Skutečné investiční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5A12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poskytnutá návratná finanční výpomoc z ORJ 200 v r</w:t>
            </w:r>
            <w:r w:rsidR="005A12B3">
              <w:rPr>
                <w:rFonts w:ascii="Arial" w:hAnsi="Arial" w:cs="Arial"/>
                <w:color w:val="000000" w:themeColor="text1"/>
                <w:sz w:val="20"/>
                <w:szCs w:val="20"/>
              </w:rPr>
              <w:t>oce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="003F64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5A12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uhrazeno z FI p. o. v r</w:t>
            </w:r>
            <w:r w:rsidR="005A12B3">
              <w:rPr>
                <w:rFonts w:ascii="Arial" w:hAnsi="Arial" w:cs="Arial"/>
                <w:color w:val="000000" w:themeColor="text1"/>
                <w:sz w:val="20"/>
                <w:szCs w:val="20"/>
              </w:rPr>
              <w:t>oce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="003F64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FE0DA2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FE0DA2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401" w:rsidRPr="00FE0DA2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>Zůstatek návratné finanční výpomoci z ORJ 200 k čerpání v roce 20</w:t>
            </w:r>
            <w:r w:rsidR="003F640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FE0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01" w:rsidRPr="00FE0DA2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FE0DA2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:rsidR="00B64401" w:rsidRPr="00FE0DA2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FE0DA2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organizace pro rok 20</w:t>
      </w:r>
      <w:r w:rsidR="003F6407">
        <w:rPr>
          <w:rFonts w:ascii="Arial" w:hAnsi="Arial" w:cs="Arial"/>
          <w:color w:val="000000" w:themeColor="text1"/>
          <w:sz w:val="20"/>
          <w:szCs w:val="20"/>
        </w:rPr>
        <w:t>20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) byly zapojeny dle struktury nákladů (včetně dodatků) schváleného IZ a o návratnou finanční výpomoc žádáme až po vyčerpání vlastních finančních zdrojů.</w:t>
      </w: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:rsidR="0097437F" w:rsidRPr="00FE0DA2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437F" w:rsidRPr="00FE0DA2" w:rsidRDefault="0097437F" w:rsidP="0097437F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          ředitel organizace</w:t>
      </w:r>
    </w:p>
    <w:p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b/>
          <w:szCs w:val="20"/>
        </w:rPr>
      </w:pPr>
      <w:r w:rsidRPr="00F7585F">
        <w:rPr>
          <w:rFonts w:ascii="Arial" w:hAnsi="Arial" w:cs="Arial"/>
          <w:b/>
          <w:szCs w:val="20"/>
        </w:rPr>
        <w:lastRenderedPageBreak/>
        <w:t>Vyúčtování poskytnuté návratné finanční výpom</w:t>
      </w:r>
      <w:r w:rsidR="003F6407">
        <w:rPr>
          <w:rFonts w:ascii="Arial" w:hAnsi="Arial" w:cs="Arial"/>
          <w:b/>
          <w:szCs w:val="20"/>
        </w:rPr>
        <w:t>oci z rozpočtu ZK k 31. 12. 2020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Název akce: …………………………………………………………………………………</w:t>
      </w: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Příjemce návratné finanční výpomoci:……………………………………………………</w:t>
      </w: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Poskytnutí návratné finanční výpomoci bylo schváleno ZZK dne</w:t>
      </w:r>
      <w:proofErr w:type="gramStart"/>
      <w:r w:rsidRPr="00F7585F">
        <w:rPr>
          <w:rFonts w:ascii="Arial" w:hAnsi="Arial" w:cs="Arial"/>
          <w:sz w:val="20"/>
          <w:szCs w:val="20"/>
        </w:rPr>
        <w:t>…..…</w:t>
      </w:r>
      <w:proofErr w:type="gramEnd"/>
      <w:r w:rsidRPr="00F7585F">
        <w:rPr>
          <w:rFonts w:ascii="Arial" w:hAnsi="Arial" w:cs="Arial"/>
          <w:sz w:val="20"/>
          <w:szCs w:val="20"/>
        </w:rPr>
        <w:t>., usnesením č……</w:t>
      </w: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D085E" w:rsidRPr="005D6D65" w:rsidTr="0002418F">
        <w:trPr>
          <w:trHeight w:val="55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Schválená návratná finanční výpomoc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E" w:rsidRPr="005D6D65" w:rsidRDefault="005D085E" w:rsidP="00824571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85E" w:rsidRPr="005D6D65" w:rsidTr="0002418F">
        <w:trPr>
          <w:trHeight w:val="6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Poskytnutá návratná finanční výpomoc </w:t>
            </w:r>
            <w:r w:rsidR="0002418F">
              <w:rPr>
                <w:rFonts w:ascii="Arial" w:hAnsi="Arial" w:cs="Arial"/>
                <w:sz w:val="20"/>
                <w:szCs w:val="20"/>
              </w:rPr>
              <w:t>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E" w:rsidRPr="005D6D65" w:rsidRDefault="005D085E" w:rsidP="00824571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85E" w:rsidRPr="005D6D65" w:rsidTr="00824571">
        <w:trPr>
          <w:trHeight w:val="60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Uhrazené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85E" w:rsidRPr="005D6D65" w:rsidTr="00824571">
        <w:trPr>
          <w:trHeight w:val="50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Vrácená návratná finanční výpomoc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5E" w:rsidRPr="005D6D65" w:rsidRDefault="005D085E" w:rsidP="00824571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/* Související doklady byly poskytovateli předloženy v rámci jednotlivých žádostí o poskytnutí NFV.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585F">
        <w:rPr>
          <w:rFonts w:ascii="Arial" w:hAnsi="Arial" w:cs="Arial"/>
          <w:sz w:val="20"/>
          <w:szCs w:val="20"/>
        </w:rPr>
        <w:t>……………………….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ředitel organizace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7585F">
        <w:rPr>
          <w:rFonts w:ascii="Arial" w:hAnsi="Arial" w:cs="Arial"/>
          <w:sz w:val="20"/>
          <w:szCs w:val="20"/>
        </w:rPr>
        <w:t>(razítko, podpis)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       </w:t>
      </w: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Datum: ………………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1x Věcně příslušný odbor</w:t>
      </w:r>
    </w:p>
    <w:p w:rsidR="00F7585F" w:rsidRP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1x Odbor </w:t>
      </w:r>
      <w:r w:rsidR="005A12B3">
        <w:rPr>
          <w:rFonts w:ascii="Arial" w:hAnsi="Arial" w:cs="Arial"/>
          <w:sz w:val="20"/>
          <w:szCs w:val="20"/>
        </w:rPr>
        <w:t xml:space="preserve">projektového </w:t>
      </w:r>
      <w:r w:rsidRPr="00F7585F">
        <w:rPr>
          <w:rFonts w:ascii="Arial" w:hAnsi="Arial" w:cs="Arial"/>
          <w:sz w:val="20"/>
          <w:szCs w:val="20"/>
        </w:rPr>
        <w:t xml:space="preserve">řízení </w:t>
      </w:r>
    </w:p>
    <w:p w:rsidR="00F7585F" w:rsidRDefault="00F7585F" w:rsidP="00F7585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1x Odbor ekonomický</w:t>
      </w:r>
    </w:p>
    <w:p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7210D8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46" w:rsidRDefault="00836946">
      <w:r>
        <w:separator/>
      </w:r>
    </w:p>
  </w:endnote>
  <w:endnote w:type="continuationSeparator" w:id="0">
    <w:p w:rsidR="00836946" w:rsidRDefault="0083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9B193B">
      <w:rPr>
        <w:rStyle w:val="slostrnky"/>
        <w:rFonts w:ascii="Arial" w:hAnsi="Arial" w:cs="Arial"/>
        <w:noProof/>
        <w:sz w:val="20"/>
        <w:szCs w:val="20"/>
      </w:rPr>
      <w:t>8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46" w:rsidRDefault="00836946">
      <w:r>
        <w:separator/>
      </w:r>
    </w:p>
  </w:footnote>
  <w:footnote w:type="continuationSeparator" w:id="0">
    <w:p w:rsidR="00836946" w:rsidRDefault="00836946">
      <w:r>
        <w:continuationSeparator/>
      </w:r>
    </w:p>
  </w:footnote>
  <w:footnote w:id="1">
    <w:p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5A12B3">
        <w:rPr>
          <w:rFonts w:ascii="Arial" w:hAnsi="Arial" w:cs="Arial"/>
        </w:rPr>
        <w:t>P</w:t>
      </w:r>
      <w:r w:rsidRPr="00C66EE5">
        <w:rPr>
          <w:rFonts w:ascii="Arial" w:hAnsi="Arial" w:cs="Arial"/>
        </w:rPr>
        <w:t>Ř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12" w:rsidRPr="00283512" w:rsidRDefault="00A7164D" w:rsidP="00283512">
    <w:pPr>
      <w:widowControl w:val="0"/>
      <w:autoSpaceDE w:val="0"/>
      <w:autoSpaceDN w:val="0"/>
      <w:adjustRightInd w:val="0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2C007716" wp14:editId="020E6513">
          <wp:extent cx="1457325" cy="457200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5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3"/>
  </w:num>
  <w:num w:numId="22">
    <w:abstractNumId w:val="37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16141"/>
    <w:rsid w:val="000200D0"/>
    <w:rsid w:val="0002089B"/>
    <w:rsid w:val="000212D4"/>
    <w:rsid w:val="0002418F"/>
    <w:rsid w:val="00024D57"/>
    <w:rsid w:val="00025443"/>
    <w:rsid w:val="00032A40"/>
    <w:rsid w:val="000338FE"/>
    <w:rsid w:val="0003597A"/>
    <w:rsid w:val="00037719"/>
    <w:rsid w:val="0004011A"/>
    <w:rsid w:val="000450EB"/>
    <w:rsid w:val="00047F9B"/>
    <w:rsid w:val="00064A82"/>
    <w:rsid w:val="000668BC"/>
    <w:rsid w:val="00074DEF"/>
    <w:rsid w:val="00075D38"/>
    <w:rsid w:val="0008334B"/>
    <w:rsid w:val="00086149"/>
    <w:rsid w:val="00091603"/>
    <w:rsid w:val="00097443"/>
    <w:rsid w:val="000A1BFA"/>
    <w:rsid w:val="000A4C6F"/>
    <w:rsid w:val="000A71F7"/>
    <w:rsid w:val="000B23E1"/>
    <w:rsid w:val="000C45E0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400F2"/>
    <w:rsid w:val="001430E1"/>
    <w:rsid w:val="00144C61"/>
    <w:rsid w:val="00144FDA"/>
    <w:rsid w:val="00145176"/>
    <w:rsid w:val="001474F2"/>
    <w:rsid w:val="00147BF6"/>
    <w:rsid w:val="001504E5"/>
    <w:rsid w:val="0016409B"/>
    <w:rsid w:val="00172591"/>
    <w:rsid w:val="00176314"/>
    <w:rsid w:val="00176C0B"/>
    <w:rsid w:val="00180755"/>
    <w:rsid w:val="00186382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C2EC7"/>
    <w:rsid w:val="001D1387"/>
    <w:rsid w:val="001D2C15"/>
    <w:rsid w:val="001D449F"/>
    <w:rsid w:val="001E3A69"/>
    <w:rsid w:val="001E7926"/>
    <w:rsid w:val="001F2758"/>
    <w:rsid w:val="001F6448"/>
    <w:rsid w:val="00203015"/>
    <w:rsid w:val="002036C6"/>
    <w:rsid w:val="00204363"/>
    <w:rsid w:val="00205D55"/>
    <w:rsid w:val="00217D4F"/>
    <w:rsid w:val="0022012E"/>
    <w:rsid w:val="0023025E"/>
    <w:rsid w:val="00231886"/>
    <w:rsid w:val="0024438F"/>
    <w:rsid w:val="00244E27"/>
    <w:rsid w:val="002473D8"/>
    <w:rsid w:val="002742BC"/>
    <w:rsid w:val="002747D4"/>
    <w:rsid w:val="00276FCD"/>
    <w:rsid w:val="002773F5"/>
    <w:rsid w:val="00283512"/>
    <w:rsid w:val="0028438F"/>
    <w:rsid w:val="00284B6A"/>
    <w:rsid w:val="00287B2B"/>
    <w:rsid w:val="002A0996"/>
    <w:rsid w:val="002A2746"/>
    <w:rsid w:val="002A6345"/>
    <w:rsid w:val="002B28E1"/>
    <w:rsid w:val="002B7F33"/>
    <w:rsid w:val="002C5363"/>
    <w:rsid w:val="002C5BE0"/>
    <w:rsid w:val="002C74EA"/>
    <w:rsid w:val="002D73FA"/>
    <w:rsid w:val="002E1E07"/>
    <w:rsid w:val="002F1000"/>
    <w:rsid w:val="00310FBA"/>
    <w:rsid w:val="003175AC"/>
    <w:rsid w:val="003211A7"/>
    <w:rsid w:val="003245D4"/>
    <w:rsid w:val="00330BD5"/>
    <w:rsid w:val="00333F92"/>
    <w:rsid w:val="00337523"/>
    <w:rsid w:val="003433FB"/>
    <w:rsid w:val="00346D37"/>
    <w:rsid w:val="00350E17"/>
    <w:rsid w:val="0035237E"/>
    <w:rsid w:val="00356327"/>
    <w:rsid w:val="00365ECE"/>
    <w:rsid w:val="0036622E"/>
    <w:rsid w:val="003665AA"/>
    <w:rsid w:val="00372534"/>
    <w:rsid w:val="00375249"/>
    <w:rsid w:val="00375515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A455D"/>
    <w:rsid w:val="003B2A4B"/>
    <w:rsid w:val="003B3180"/>
    <w:rsid w:val="003D5E71"/>
    <w:rsid w:val="003D67D8"/>
    <w:rsid w:val="003D74E3"/>
    <w:rsid w:val="003E14A2"/>
    <w:rsid w:val="003E1BC5"/>
    <w:rsid w:val="003E38EF"/>
    <w:rsid w:val="003F1FDD"/>
    <w:rsid w:val="003F6407"/>
    <w:rsid w:val="004049B6"/>
    <w:rsid w:val="00404A70"/>
    <w:rsid w:val="004212CA"/>
    <w:rsid w:val="00422BC8"/>
    <w:rsid w:val="0043117B"/>
    <w:rsid w:val="00433595"/>
    <w:rsid w:val="0044560F"/>
    <w:rsid w:val="00445F39"/>
    <w:rsid w:val="00447A1F"/>
    <w:rsid w:val="004515D1"/>
    <w:rsid w:val="00451962"/>
    <w:rsid w:val="00452DEE"/>
    <w:rsid w:val="004556B5"/>
    <w:rsid w:val="0045748C"/>
    <w:rsid w:val="0046014A"/>
    <w:rsid w:val="00463291"/>
    <w:rsid w:val="00475CC0"/>
    <w:rsid w:val="004831A1"/>
    <w:rsid w:val="004845E5"/>
    <w:rsid w:val="00495022"/>
    <w:rsid w:val="00495CC8"/>
    <w:rsid w:val="004A3A75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742A"/>
    <w:rsid w:val="00503E47"/>
    <w:rsid w:val="00512610"/>
    <w:rsid w:val="00521D36"/>
    <w:rsid w:val="00526E9D"/>
    <w:rsid w:val="00534DF8"/>
    <w:rsid w:val="005364A3"/>
    <w:rsid w:val="005369CC"/>
    <w:rsid w:val="00540DC6"/>
    <w:rsid w:val="00541E37"/>
    <w:rsid w:val="00541F06"/>
    <w:rsid w:val="0055402D"/>
    <w:rsid w:val="00562C34"/>
    <w:rsid w:val="005650FA"/>
    <w:rsid w:val="005708F2"/>
    <w:rsid w:val="00585259"/>
    <w:rsid w:val="00595254"/>
    <w:rsid w:val="005A0F82"/>
    <w:rsid w:val="005A12B3"/>
    <w:rsid w:val="005A14B7"/>
    <w:rsid w:val="005A2D2E"/>
    <w:rsid w:val="005A3F00"/>
    <w:rsid w:val="005A53F3"/>
    <w:rsid w:val="005A7016"/>
    <w:rsid w:val="005C02FD"/>
    <w:rsid w:val="005C5628"/>
    <w:rsid w:val="005D085E"/>
    <w:rsid w:val="005D0F7A"/>
    <w:rsid w:val="005D1B66"/>
    <w:rsid w:val="005D3D55"/>
    <w:rsid w:val="005E3A5A"/>
    <w:rsid w:val="005E5509"/>
    <w:rsid w:val="005E5FDB"/>
    <w:rsid w:val="005E6C0C"/>
    <w:rsid w:val="005E7BBF"/>
    <w:rsid w:val="005F3480"/>
    <w:rsid w:val="005F55FD"/>
    <w:rsid w:val="00602799"/>
    <w:rsid w:val="00606574"/>
    <w:rsid w:val="0060797D"/>
    <w:rsid w:val="0061155F"/>
    <w:rsid w:val="00615872"/>
    <w:rsid w:val="00621E3A"/>
    <w:rsid w:val="0062524D"/>
    <w:rsid w:val="00626F4A"/>
    <w:rsid w:val="00635E2C"/>
    <w:rsid w:val="006412DC"/>
    <w:rsid w:val="0064432B"/>
    <w:rsid w:val="00650F44"/>
    <w:rsid w:val="006541DB"/>
    <w:rsid w:val="006627D5"/>
    <w:rsid w:val="00662A61"/>
    <w:rsid w:val="00665781"/>
    <w:rsid w:val="006659BD"/>
    <w:rsid w:val="00674339"/>
    <w:rsid w:val="00676BC3"/>
    <w:rsid w:val="00680F7C"/>
    <w:rsid w:val="00684E0C"/>
    <w:rsid w:val="00686B44"/>
    <w:rsid w:val="006953FC"/>
    <w:rsid w:val="006B106C"/>
    <w:rsid w:val="006B6A3E"/>
    <w:rsid w:val="006C2319"/>
    <w:rsid w:val="006D546E"/>
    <w:rsid w:val="006E00A9"/>
    <w:rsid w:val="006E7AA3"/>
    <w:rsid w:val="006F3799"/>
    <w:rsid w:val="00702230"/>
    <w:rsid w:val="00704620"/>
    <w:rsid w:val="007118F9"/>
    <w:rsid w:val="00714EEA"/>
    <w:rsid w:val="00716FDD"/>
    <w:rsid w:val="007205A2"/>
    <w:rsid w:val="007210D8"/>
    <w:rsid w:val="007239A0"/>
    <w:rsid w:val="00736CF4"/>
    <w:rsid w:val="007430DC"/>
    <w:rsid w:val="00743360"/>
    <w:rsid w:val="00744D74"/>
    <w:rsid w:val="0074530C"/>
    <w:rsid w:val="007458E9"/>
    <w:rsid w:val="007478E9"/>
    <w:rsid w:val="007538F8"/>
    <w:rsid w:val="007557AD"/>
    <w:rsid w:val="007567A5"/>
    <w:rsid w:val="00764E00"/>
    <w:rsid w:val="00767DEE"/>
    <w:rsid w:val="007808FC"/>
    <w:rsid w:val="007815D9"/>
    <w:rsid w:val="00781853"/>
    <w:rsid w:val="007826AF"/>
    <w:rsid w:val="0078558D"/>
    <w:rsid w:val="00790AE3"/>
    <w:rsid w:val="007A05DA"/>
    <w:rsid w:val="007C0A28"/>
    <w:rsid w:val="007C4BE7"/>
    <w:rsid w:val="007D1AB1"/>
    <w:rsid w:val="007D6CFA"/>
    <w:rsid w:val="007E24CC"/>
    <w:rsid w:val="007E3F07"/>
    <w:rsid w:val="007F0D43"/>
    <w:rsid w:val="007F4BD9"/>
    <w:rsid w:val="007F5EE3"/>
    <w:rsid w:val="00802C70"/>
    <w:rsid w:val="008035B9"/>
    <w:rsid w:val="0080500D"/>
    <w:rsid w:val="0080798D"/>
    <w:rsid w:val="0081057B"/>
    <w:rsid w:val="00811E3A"/>
    <w:rsid w:val="00822E14"/>
    <w:rsid w:val="0082530E"/>
    <w:rsid w:val="008324C0"/>
    <w:rsid w:val="00832F9A"/>
    <w:rsid w:val="00836946"/>
    <w:rsid w:val="008436C6"/>
    <w:rsid w:val="008439FE"/>
    <w:rsid w:val="0085230C"/>
    <w:rsid w:val="00855AEF"/>
    <w:rsid w:val="008560BE"/>
    <w:rsid w:val="00856D1D"/>
    <w:rsid w:val="00873837"/>
    <w:rsid w:val="0088057B"/>
    <w:rsid w:val="00881A6B"/>
    <w:rsid w:val="0089302F"/>
    <w:rsid w:val="0089646E"/>
    <w:rsid w:val="00896DFB"/>
    <w:rsid w:val="008B2338"/>
    <w:rsid w:val="008C0DE7"/>
    <w:rsid w:val="008C3A62"/>
    <w:rsid w:val="008D1F57"/>
    <w:rsid w:val="008D1F68"/>
    <w:rsid w:val="008D35AE"/>
    <w:rsid w:val="008D582B"/>
    <w:rsid w:val="008E4281"/>
    <w:rsid w:val="008E538E"/>
    <w:rsid w:val="008F7FB3"/>
    <w:rsid w:val="00902ADC"/>
    <w:rsid w:val="00907A49"/>
    <w:rsid w:val="00910820"/>
    <w:rsid w:val="009163D6"/>
    <w:rsid w:val="009204FF"/>
    <w:rsid w:val="00920B43"/>
    <w:rsid w:val="009224C8"/>
    <w:rsid w:val="00924F70"/>
    <w:rsid w:val="00926F45"/>
    <w:rsid w:val="00933628"/>
    <w:rsid w:val="00941BB1"/>
    <w:rsid w:val="00962D43"/>
    <w:rsid w:val="00966023"/>
    <w:rsid w:val="00973339"/>
    <w:rsid w:val="0097437F"/>
    <w:rsid w:val="009831AB"/>
    <w:rsid w:val="00992393"/>
    <w:rsid w:val="00992D71"/>
    <w:rsid w:val="00995917"/>
    <w:rsid w:val="00996277"/>
    <w:rsid w:val="009B193B"/>
    <w:rsid w:val="009B4515"/>
    <w:rsid w:val="009B4989"/>
    <w:rsid w:val="009B4CEF"/>
    <w:rsid w:val="009C34CD"/>
    <w:rsid w:val="009C6954"/>
    <w:rsid w:val="009E35FD"/>
    <w:rsid w:val="009E4E37"/>
    <w:rsid w:val="009E5617"/>
    <w:rsid w:val="009F23CE"/>
    <w:rsid w:val="009F458A"/>
    <w:rsid w:val="00A02B56"/>
    <w:rsid w:val="00A034A6"/>
    <w:rsid w:val="00A05AF1"/>
    <w:rsid w:val="00A05B70"/>
    <w:rsid w:val="00A06DBE"/>
    <w:rsid w:val="00A12A21"/>
    <w:rsid w:val="00A21AE4"/>
    <w:rsid w:val="00A22350"/>
    <w:rsid w:val="00A2312A"/>
    <w:rsid w:val="00A52D93"/>
    <w:rsid w:val="00A568F6"/>
    <w:rsid w:val="00A56E28"/>
    <w:rsid w:val="00A5720C"/>
    <w:rsid w:val="00A609FF"/>
    <w:rsid w:val="00A655F9"/>
    <w:rsid w:val="00A65A30"/>
    <w:rsid w:val="00A65C4F"/>
    <w:rsid w:val="00A7164D"/>
    <w:rsid w:val="00A72844"/>
    <w:rsid w:val="00A808B8"/>
    <w:rsid w:val="00A91A63"/>
    <w:rsid w:val="00A91D05"/>
    <w:rsid w:val="00AA17AF"/>
    <w:rsid w:val="00AA74CE"/>
    <w:rsid w:val="00AB1501"/>
    <w:rsid w:val="00AB359D"/>
    <w:rsid w:val="00AB3D02"/>
    <w:rsid w:val="00AB4DE4"/>
    <w:rsid w:val="00AB4F91"/>
    <w:rsid w:val="00AD0489"/>
    <w:rsid w:val="00AD1359"/>
    <w:rsid w:val="00AD20EB"/>
    <w:rsid w:val="00AD231D"/>
    <w:rsid w:val="00AD3AEA"/>
    <w:rsid w:val="00AD3D54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94F"/>
    <w:rsid w:val="00B115F9"/>
    <w:rsid w:val="00B152EC"/>
    <w:rsid w:val="00B16674"/>
    <w:rsid w:val="00B2453D"/>
    <w:rsid w:val="00B258A9"/>
    <w:rsid w:val="00B43C8F"/>
    <w:rsid w:val="00B46715"/>
    <w:rsid w:val="00B64401"/>
    <w:rsid w:val="00B70772"/>
    <w:rsid w:val="00B721C4"/>
    <w:rsid w:val="00B76FC3"/>
    <w:rsid w:val="00B82024"/>
    <w:rsid w:val="00B846A4"/>
    <w:rsid w:val="00B944BE"/>
    <w:rsid w:val="00B97162"/>
    <w:rsid w:val="00BA69B0"/>
    <w:rsid w:val="00BA70BC"/>
    <w:rsid w:val="00BB50A6"/>
    <w:rsid w:val="00BB5E82"/>
    <w:rsid w:val="00BB6960"/>
    <w:rsid w:val="00BB766A"/>
    <w:rsid w:val="00BC35A6"/>
    <w:rsid w:val="00BC3F15"/>
    <w:rsid w:val="00BD4DF2"/>
    <w:rsid w:val="00BD5E2B"/>
    <w:rsid w:val="00BD5F1E"/>
    <w:rsid w:val="00BF028D"/>
    <w:rsid w:val="00BF104C"/>
    <w:rsid w:val="00BF2E80"/>
    <w:rsid w:val="00C02ED7"/>
    <w:rsid w:val="00C07AAB"/>
    <w:rsid w:val="00C117C0"/>
    <w:rsid w:val="00C1480E"/>
    <w:rsid w:val="00C15DC3"/>
    <w:rsid w:val="00C1700F"/>
    <w:rsid w:val="00C17AC0"/>
    <w:rsid w:val="00C2157A"/>
    <w:rsid w:val="00C215C0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810AF"/>
    <w:rsid w:val="00C848EB"/>
    <w:rsid w:val="00C85CC6"/>
    <w:rsid w:val="00C944A6"/>
    <w:rsid w:val="00C9684E"/>
    <w:rsid w:val="00CA4182"/>
    <w:rsid w:val="00CA7036"/>
    <w:rsid w:val="00CB01DB"/>
    <w:rsid w:val="00CB1EFB"/>
    <w:rsid w:val="00CB571C"/>
    <w:rsid w:val="00CB65D2"/>
    <w:rsid w:val="00CB6704"/>
    <w:rsid w:val="00CB6C0A"/>
    <w:rsid w:val="00CB77A6"/>
    <w:rsid w:val="00CC067B"/>
    <w:rsid w:val="00CC4275"/>
    <w:rsid w:val="00CD155F"/>
    <w:rsid w:val="00CD34EC"/>
    <w:rsid w:val="00CD38C1"/>
    <w:rsid w:val="00CE09D2"/>
    <w:rsid w:val="00CE7D65"/>
    <w:rsid w:val="00CF00B1"/>
    <w:rsid w:val="00CF306C"/>
    <w:rsid w:val="00D02B83"/>
    <w:rsid w:val="00D03718"/>
    <w:rsid w:val="00D03821"/>
    <w:rsid w:val="00D10E51"/>
    <w:rsid w:val="00D3424E"/>
    <w:rsid w:val="00D35789"/>
    <w:rsid w:val="00D35EB2"/>
    <w:rsid w:val="00D41657"/>
    <w:rsid w:val="00D448C3"/>
    <w:rsid w:val="00D561F0"/>
    <w:rsid w:val="00D63594"/>
    <w:rsid w:val="00D6451F"/>
    <w:rsid w:val="00D6603B"/>
    <w:rsid w:val="00D71FA6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0503"/>
    <w:rsid w:val="00DB1012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1D73"/>
    <w:rsid w:val="00E16FD5"/>
    <w:rsid w:val="00E223D3"/>
    <w:rsid w:val="00E25CF2"/>
    <w:rsid w:val="00E26DD3"/>
    <w:rsid w:val="00E3424C"/>
    <w:rsid w:val="00E34F8B"/>
    <w:rsid w:val="00E36AB7"/>
    <w:rsid w:val="00E42B6E"/>
    <w:rsid w:val="00E52FC6"/>
    <w:rsid w:val="00E546CE"/>
    <w:rsid w:val="00E57710"/>
    <w:rsid w:val="00E605ED"/>
    <w:rsid w:val="00E86E39"/>
    <w:rsid w:val="00E917A9"/>
    <w:rsid w:val="00E93011"/>
    <w:rsid w:val="00E96100"/>
    <w:rsid w:val="00EA363A"/>
    <w:rsid w:val="00EB3561"/>
    <w:rsid w:val="00EC06B6"/>
    <w:rsid w:val="00EC1EF2"/>
    <w:rsid w:val="00EC3D56"/>
    <w:rsid w:val="00EC5217"/>
    <w:rsid w:val="00ED395E"/>
    <w:rsid w:val="00EE361B"/>
    <w:rsid w:val="00EF7591"/>
    <w:rsid w:val="00F01CCE"/>
    <w:rsid w:val="00F07086"/>
    <w:rsid w:val="00F070B0"/>
    <w:rsid w:val="00F102C8"/>
    <w:rsid w:val="00F12453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4DB1"/>
    <w:rsid w:val="00F57D55"/>
    <w:rsid w:val="00F60FBF"/>
    <w:rsid w:val="00F6289E"/>
    <w:rsid w:val="00F707C8"/>
    <w:rsid w:val="00F7585F"/>
    <w:rsid w:val="00F7693E"/>
    <w:rsid w:val="00F82EB6"/>
    <w:rsid w:val="00F83A61"/>
    <w:rsid w:val="00F87F24"/>
    <w:rsid w:val="00F91284"/>
    <w:rsid w:val="00F916A0"/>
    <w:rsid w:val="00F9412E"/>
    <w:rsid w:val="00F947D9"/>
    <w:rsid w:val="00FA1D3E"/>
    <w:rsid w:val="00FA386A"/>
    <w:rsid w:val="00FB3DFE"/>
    <w:rsid w:val="00FB4474"/>
    <w:rsid w:val="00FB4C2C"/>
    <w:rsid w:val="00FB5EA3"/>
    <w:rsid w:val="00FC140D"/>
    <w:rsid w:val="00FD5F2C"/>
    <w:rsid w:val="00FE0DA2"/>
    <w:rsid w:val="00FE2D78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907E3F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5D085E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C0E3-950D-4281-A106-D934826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2455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17284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Valentová Markéta</cp:lastModifiedBy>
  <cp:revision>4</cp:revision>
  <cp:lastPrinted>2020-03-24T12:11:00Z</cp:lastPrinted>
  <dcterms:created xsi:type="dcterms:W3CDTF">2020-05-06T06:13:00Z</dcterms:created>
  <dcterms:modified xsi:type="dcterms:W3CDTF">2020-05-27T13:28:00Z</dcterms:modified>
</cp:coreProperties>
</file>