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7A67" w14:textId="77777777" w:rsidR="00CE350F" w:rsidRDefault="00CE350F" w:rsidP="007D175C">
      <w:pPr>
        <w:pStyle w:val="Nadpis1"/>
        <w:tabs>
          <w:tab w:val="left" w:pos="8655"/>
        </w:tabs>
        <w:rPr>
          <w:rFonts w:cs="Arial"/>
          <w:b/>
          <w:sz w:val="16"/>
          <w:szCs w:val="16"/>
        </w:rPr>
      </w:pPr>
      <w:r>
        <w:rPr>
          <w:noProof/>
          <w:lang w:val="cs-CZ" w:eastAsia="cs-CZ"/>
        </w:rPr>
        <w:drawing>
          <wp:anchor distT="0" distB="0" distL="114300" distR="114300" simplePos="0" relativeHeight="251659264" behindDoc="0" locked="1" layoutInCell="1" allowOverlap="1" wp14:anchorId="25327B47" wp14:editId="25327B48">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1">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14:sizeRelH relativeFrom="page">
              <wp14:pctWidth>0</wp14:pctWidth>
            </wp14:sizeRelH>
            <wp14:sizeRelV relativeFrom="page">
              <wp14:pctHeight>0</wp14:pctHeight>
            </wp14:sizeRelV>
          </wp:anchor>
        </w:drawing>
      </w:r>
      <w:r w:rsidR="007D175C">
        <w:rPr>
          <w:rFonts w:cs="Arial"/>
          <w:b/>
          <w:sz w:val="16"/>
          <w:szCs w:val="16"/>
        </w:rPr>
        <w:tab/>
      </w:r>
      <w:r w:rsidR="007D175C">
        <w:rPr>
          <w:noProof/>
          <w:lang w:val="cs-CZ" w:eastAsia="cs-CZ"/>
        </w:rPr>
        <w:drawing>
          <wp:anchor distT="0" distB="0" distL="114300" distR="114300" simplePos="0" relativeHeight="251661312" behindDoc="0" locked="1" layoutInCell="1" allowOverlap="1" wp14:anchorId="25327B49" wp14:editId="25327B4A">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14:sizeRelH relativeFrom="margin">
              <wp14:pctWidth>0</wp14:pctWidth>
            </wp14:sizeRelH>
            <wp14:sizeRelV relativeFrom="margin">
              <wp14:pctHeight>0</wp14:pctHeight>
            </wp14:sizeRelV>
          </wp:anchor>
        </w:drawing>
      </w:r>
    </w:p>
    <w:p w14:paraId="25327A68" w14:textId="77777777" w:rsidR="00CE350F" w:rsidRDefault="00CE350F" w:rsidP="00CF4ED9">
      <w:pPr>
        <w:pStyle w:val="Nadpis1"/>
        <w:tabs>
          <w:tab w:val="left" w:pos="2694"/>
          <w:tab w:val="left" w:pos="4395"/>
        </w:tabs>
        <w:rPr>
          <w:rFonts w:cs="Arial"/>
          <w:b/>
          <w:sz w:val="16"/>
          <w:szCs w:val="16"/>
        </w:rPr>
      </w:pPr>
    </w:p>
    <w:p w14:paraId="25327A69" w14:textId="77777777" w:rsidR="00CE350F" w:rsidRDefault="00CE350F" w:rsidP="00CF4ED9">
      <w:pPr>
        <w:pStyle w:val="Nadpis1"/>
        <w:tabs>
          <w:tab w:val="left" w:pos="2694"/>
          <w:tab w:val="left" w:pos="4395"/>
        </w:tabs>
        <w:rPr>
          <w:rFonts w:cs="Arial"/>
          <w:b/>
          <w:sz w:val="16"/>
          <w:szCs w:val="16"/>
        </w:rPr>
      </w:pPr>
    </w:p>
    <w:p w14:paraId="25327A6B" w14:textId="77777777" w:rsidR="00CF4ED9" w:rsidRPr="007D175C" w:rsidRDefault="00CF4ED9" w:rsidP="00FA299F">
      <w:pPr>
        <w:pStyle w:val="Nadpis1"/>
        <w:tabs>
          <w:tab w:val="left" w:pos="2694"/>
          <w:tab w:val="left" w:pos="4395"/>
        </w:tabs>
        <w:rPr>
          <w:rFonts w:ascii="Arial" w:hAnsi="Arial" w:cs="Arial"/>
          <w:sz w:val="16"/>
          <w:szCs w:val="16"/>
        </w:rPr>
      </w:pPr>
      <w:r w:rsidRPr="007D175C">
        <w:rPr>
          <w:rFonts w:ascii="Arial" w:hAnsi="Arial" w:cs="Arial"/>
          <w:sz w:val="16"/>
          <w:szCs w:val="16"/>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261"/>
        <w:gridCol w:w="7157"/>
      </w:tblGrid>
      <w:tr w:rsidR="00CF4ED9" w:rsidRPr="007D175C" w14:paraId="25327A6E" w14:textId="77777777" w:rsidTr="00E72639">
        <w:tc>
          <w:tcPr>
            <w:tcW w:w="3261" w:type="dxa"/>
          </w:tcPr>
          <w:p w14:paraId="25327A6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jedné:</w:t>
            </w:r>
          </w:p>
        </w:tc>
        <w:tc>
          <w:tcPr>
            <w:tcW w:w="7157" w:type="dxa"/>
          </w:tcPr>
          <w:p w14:paraId="25327A6D" w14:textId="77777777" w:rsidR="00CF4ED9" w:rsidRPr="007D175C" w:rsidRDefault="00CF4ED9" w:rsidP="00FA299F">
            <w:pPr>
              <w:tabs>
                <w:tab w:val="left" w:pos="2694"/>
              </w:tabs>
              <w:spacing w:line="240" w:lineRule="auto"/>
              <w:rPr>
                <w:rFonts w:ascii="Arial" w:hAnsi="Arial" w:cs="Arial"/>
                <w:sz w:val="16"/>
                <w:szCs w:val="16"/>
              </w:rPr>
            </w:pPr>
            <w:r w:rsidRPr="007D175C">
              <w:rPr>
                <w:rFonts w:ascii="Arial" w:hAnsi="Arial" w:cs="Arial"/>
                <w:sz w:val="16"/>
                <w:szCs w:val="16"/>
              </w:rPr>
              <w:t>Linde Gas a.s.</w:t>
            </w:r>
            <w:r w:rsidR="00CE350F" w:rsidRPr="007D175C">
              <w:rPr>
                <w:rFonts w:ascii="Arial" w:hAnsi="Arial" w:cs="Arial"/>
                <w:sz w:val="16"/>
                <w:szCs w:val="16"/>
              </w:rPr>
              <w:tab/>
            </w:r>
          </w:p>
        </w:tc>
      </w:tr>
      <w:tr w:rsidR="00CF4ED9" w:rsidRPr="007D175C" w14:paraId="25327A71" w14:textId="77777777" w:rsidTr="00E72639">
        <w:tc>
          <w:tcPr>
            <w:tcW w:w="3261" w:type="dxa"/>
          </w:tcPr>
          <w:p w14:paraId="25327A6F"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14:paraId="25327A70"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U Technoplynu 1324</w:t>
            </w:r>
          </w:p>
        </w:tc>
      </w:tr>
      <w:tr w:rsidR="00CF4ED9" w:rsidRPr="007D175C" w14:paraId="25327A74" w14:textId="77777777" w:rsidTr="00E72639">
        <w:tc>
          <w:tcPr>
            <w:tcW w:w="3261" w:type="dxa"/>
          </w:tcPr>
          <w:p w14:paraId="25327A72"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14:paraId="25327A73"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198 00  Praha 9</w:t>
            </w:r>
          </w:p>
        </w:tc>
      </w:tr>
      <w:tr w:rsidR="00CF4ED9" w:rsidRPr="007D175C" w14:paraId="25327A77" w14:textId="77777777" w:rsidTr="00E72639">
        <w:tc>
          <w:tcPr>
            <w:tcW w:w="3261" w:type="dxa"/>
          </w:tcPr>
          <w:p w14:paraId="25327A75" w14:textId="77777777" w:rsidR="00CF4ED9" w:rsidRPr="007D175C" w:rsidRDefault="00CF4ED9" w:rsidP="00FA299F">
            <w:pPr>
              <w:tabs>
                <w:tab w:val="left" w:pos="2694"/>
                <w:tab w:val="left" w:pos="4395"/>
              </w:tabs>
              <w:spacing w:line="240" w:lineRule="auto"/>
              <w:rPr>
                <w:rFonts w:ascii="Arial" w:hAnsi="Arial" w:cs="Arial"/>
                <w:b/>
                <w:sz w:val="16"/>
                <w:szCs w:val="16"/>
              </w:rPr>
            </w:pPr>
            <w:r w:rsidRPr="007D175C">
              <w:rPr>
                <w:rFonts w:ascii="Arial" w:hAnsi="Arial" w:cs="Arial"/>
                <w:sz w:val="16"/>
                <w:szCs w:val="16"/>
              </w:rPr>
              <w:t>Zastoupená:</w:t>
            </w:r>
          </w:p>
        </w:tc>
        <w:tc>
          <w:tcPr>
            <w:tcW w:w="7157" w:type="dxa"/>
          </w:tcPr>
          <w:p w14:paraId="25327A76" w14:textId="1091586F" w:rsidR="00CF4ED9" w:rsidRPr="007D175C" w:rsidRDefault="005B2B13" w:rsidP="00FA299F">
            <w:pPr>
              <w:tabs>
                <w:tab w:val="left" w:pos="2694"/>
                <w:tab w:val="left" w:pos="4395"/>
              </w:tabs>
              <w:spacing w:line="240" w:lineRule="auto"/>
              <w:rPr>
                <w:rFonts w:ascii="Arial" w:hAnsi="Arial" w:cs="Arial"/>
                <w:b/>
                <w:sz w:val="16"/>
                <w:szCs w:val="16"/>
              </w:rPr>
            </w:pPr>
            <w:r>
              <w:rPr>
                <w:rFonts w:ascii="Arial" w:hAnsi="Arial" w:cs="Arial"/>
                <w:b/>
                <w:sz w:val="16"/>
                <w:szCs w:val="16"/>
              </w:rPr>
              <w:t xml:space="preserve">Bc. </w:t>
            </w:r>
            <w:r w:rsidR="00E72639">
              <w:rPr>
                <w:rFonts w:ascii="Arial" w:hAnsi="Arial" w:cs="Arial"/>
                <w:b/>
                <w:sz w:val="16"/>
                <w:szCs w:val="16"/>
              </w:rPr>
              <w:t xml:space="preserve">Petr </w:t>
            </w:r>
            <w:r>
              <w:rPr>
                <w:rFonts w:ascii="Arial" w:hAnsi="Arial" w:cs="Arial"/>
                <w:b/>
                <w:sz w:val="16"/>
                <w:szCs w:val="16"/>
              </w:rPr>
              <w:t>Štolcar</w:t>
            </w:r>
            <w:r w:rsidR="00E72639">
              <w:rPr>
                <w:rFonts w:ascii="Arial" w:hAnsi="Arial" w:cs="Arial"/>
                <w:b/>
                <w:sz w:val="16"/>
                <w:szCs w:val="16"/>
              </w:rPr>
              <w:t>, Lenka Nesvadbová</w:t>
            </w:r>
          </w:p>
        </w:tc>
      </w:tr>
      <w:tr w:rsidR="00CF4ED9" w:rsidRPr="007D175C" w14:paraId="25327A7A" w14:textId="77777777" w:rsidTr="00E72639">
        <w:tc>
          <w:tcPr>
            <w:tcW w:w="3261" w:type="dxa"/>
          </w:tcPr>
          <w:p w14:paraId="25327A78"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7157" w:type="dxa"/>
          </w:tcPr>
          <w:p w14:paraId="25327A79"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color w:val="000000"/>
                <w:sz w:val="16"/>
                <w:szCs w:val="16"/>
              </w:rPr>
              <w:t>UniCredit Bank Czech Republic and Slovakia, a.s.</w:t>
            </w:r>
          </w:p>
        </w:tc>
      </w:tr>
      <w:tr w:rsidR="00CF4ED9" w:rsidRPr="007D175C" w14:paraId="25327A7D" w14:textId="77777777" w:rsidTr="00E72639">
        <w:tc>
          <w:tcPr>
            <w:tcW w:w="3261" w:type="dxa"/>
          </w:tcPr>
          <w:p w14:paraId="25327A7B"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7157" w:type="dxa"/>
          </w:tcPr>
          <w:p w14:paraId="25327A7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2113539415/2700</w:t>
            </w:r>
          </w:p>
        </w:tc>
      </w:tr>
      <w:tr w:rsidR="00CF4ED9" w:rsidRPr="007D175C" w14:paraId="25327A80" w14:textId="77777777" w:rsidTr="00E72639">
        <w:tc>
          <w:tcPr>
            <w:tcW w:w="3261" w:type="dxa"/>
          </w:tcPr>
          <w:p w14:paraId="25327A7E"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7157" w:type="dxa"/>
          </w:tcPr>
          <w:p w14:paraId="25327A7F"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00011754</w:t>
            </w:r>
          </w:p>
        </w:tc>
      </w:tr>
      <w:tr w:rsidR="00CF4ED9" w:rsidRPr="007D175C" w14:paraId="25327A83" w14:textId="77777777" w:rsidTr="00E72639">
        <w:tc>
          <w:tcPr>
            <w:tcW w:w="3261" w:type="dxa"/>
          </w:tcPr>
          <w:p w14:paraId="25327A81"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7157" w:type="dxa"/>
          </w:tcPr>
          <w:p w14:paraId="25327A82"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CZ00011754</w:t>
            </w:r>
          </w:p>
        </w:tc>
      </w:tr>
    </w:tbl>
    <w:p w14:paraId="25327A84" w14:textId="61443FDF" w:rsidR="00CF4ED9"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Linde)</w:t>
      </w:r>
    </w:p>
    <w:p w14:paraId="12534646" w14:textId="255FFA39" w:rsidR="00CD0140" w:rsidRDefault="00CD0140" w:rsidP="00FA299F">
      <w:pPr>
        <w:tabs>
          <w:tab w:val="left" w:pos="2694"/>
          <w:tab w:val="left" w:pos="4395"/>
        </w:tabs>
        <w:spacing w:line="240" w:lineRule="auto"/>
        <w:rPr>
          <w:rFonts w:ascii="Arial" w:hAnsi="Arial" w:cs="Arial"/>
          <w:sz w:val="16"/>
          <w:szCs w:val="16"/>
        </w:rPr>
      </w:pPr>
    </w:p>
    <w:tbl>
      <w:tblPr>
        <w:tblW w:w="10275" w:type="dxa"/>
        <w:tblLayout w:type="fixed"/>
        <w:tblCellMar>
          <w:left w:w="70" w:type="dxa"/>
          <w:right w:w="70" w:type="dxa"/>
        </w:tblCellMar>
        <w:tblLook w:val="04A0" w:firstRow="1" w:lastRow="0" w:firstColumn="1" w:lastColumn="0" w:noHBand="0" w:noVBand="1"/>
      </w:tblPr>
      <w:tblGrid>
        <w:gridCol w:w="3046"/>
        <w:gridCol w:w="4961"/>
        <w:gridCol w:w="2268"/>
      </w:tblGrid>
      <w:tr w:rsidR="007B032C" w:rsidRPr="007B032C" w14:paraId="34D5C814" w14:textId="77777777" w:rsidTr="00A7283B">
        <w:tc>
          <w:tcPr>
            <w:tcW w:w="3046" w:type="dxa"/>
            <w:hideMark/>
          </w:tcPr>
          <w:p w14:paraId="1D67C03A"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na straně druhé:</w:t>
            </w:r>
          </w:p>
        </w:tc>
        <w:tc>
          <w:tcPr>
            <w:tcW w:w="4961" w:type="dxa"/>
            <w:hideMark/>
          </w:tcPr>
          <w:p w14:paraId="48F961B4" w14:textId="77777777" w:rsid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Vojenská nemocnice</w:t>
            </w:r>
          </w:p>
          <w:p w14:paraId="30464331" w14:textId="6DE03856" w:rsidR="00511723"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Finanční oddělení</w:t>
            </w:r>
          </w:p>
        </w:tc>
        <w:tc>
          <w:tcPr>
            <w:tcW w:w="2268" w:type="dxa"/>
            <w:hideMark/>
          </w:tcPr>
          <w:p w14:paraId="128C8BA4" w14:textId="77777777" w:rsidR="007B032C" w:rsidRPr="007B032C" w:rsidRDefault="007B032C" w:rsidP="007B032C">
            <w:pPr>
              <w:pStyle w:val="Nadpis9"/>
              <w:tabs>
                <w:tab w:val="left" w:pos="4395"/>
              </w:tabs>
              <w:spacing w:line="240" w:lineRule="auto"/>
              <w:jc w:val="center"/>
              <w:rPr>
                <w:rFonts w:ascii="Arial" w:hAnsi="Arial" w:cs="Arial"/>
                <w:sz w:val="16"/>
                <w:szCs w:val="16"/>
              </w:rPr>
            </w:pPr>
            <w:r w:rsidRPr="007B032C">
              <w:rPr>
                <w:rFonts w:ascii="Arial" w:hAnsi="Arial" w:cs="Arial"/>
                <w:sz w:val="16"/>
                <w:szCs w:val="16"/>
              </w:rPr>
              <w:t>Číslo zákazníka:</w:t>
            </w:r>
          </w:p>
        </w:tc>
      </w:tr>
      <w:tr w:rsidR="007B032C" w:rsidRPr="007B032C" w14:paraId="11415918" w14:textId="77777777" w:rsidTr="00A7283B">
        <w:tc>
          <w:tcPr>
            <w:tcW w:w="3046" w:type="dxa"/>
            <w:hideMark/>
          </w:tcPr>
          <w:p w14:paraId="08697545" w14:textId="77777777" w:rsidR="007B032C" w:rsidRPr="007B032C" w:rsidRDefault="007B032C" w:rsidP="007B032C">
            <w:pPr>
              <w:tabs>
                <w:tab w:val="left" w:pos="2694"/>
                <w:tab w:val="left" w:pos="4395"/>
              </w:tabs>
              <w:spacing w:line="240" w:lineRule="auto"/>
              <w:rPr>
                <w:rFonts w:ascii="Arial" w:hAnsi="Arial" w:cs="Arial"/>
                <w:sz w:val="16"/>
                <w:szCs w:val="16"/>
              </w:rPr>
            </w:pPr>
          </w:p>
        </w:tc>
        <w:tc>
          <w:tcPr>
            <w:tcW w:w="4961" w:type="dxa"/>
            <w:hideMark/>
          </w:tcPr>
          <w:p w14:paraId="50C48EEA" w14:textId="0D54B473"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Sušilovo nám.5</w:t>
            </w:r>
          </w:p>
        </w:tc>
        <w:tc>
          <w:tcPr>
            <w:tcW w:w="2268" w:type="dxa"/>
            <w:hideMark/>
          </w:tcPr>
          <w:p w14:paraId="1FAB7F5A" w14:textId="1E9BA352" w:rsidR="007B032C" w:rsidRPr="007B032C" w:rsidRDefault="007B032C" w:rsidP="007B032C">
            <w:pPr>
              <w:pStyle w:val="Nadpis9"/>
              <w:spacing w:line="240" w:lineRule="auto"/>
              <w:rPr>
                <w:rFonts w:ascii="Arial" w:hAnsi="Arial" w:cs="Arial"/>
                <w:sz w:val="16"/>
                <w:szCs w:val="16"/>
              </w:rPr>
            </w:pPr>
            <w:r w:rsidRPr="007B032C">
              <w:rPr>
                <w:rFonts w:ascii="Arial" w:hAnsi="Arial" w:cs="Arial"/>
                <w:sz w:val="16"/>
                <w:szCs w:val="16"/>
              </w:rPr>
              <w:t xml:space="preserve">            580</w:t>
            </w:r>
            <w:r w:rsidR="00511723">
              <w:rPr>
                <w:rFonts w:ascii="Arial" w:hAnsi="Arial" w:cs="Arial"/>
                <w:sz w:val="16"/>
                <w:szCs w:val="16"/>
              </w:rPr>
              <w:t>5</w:t>
            </w:r>
            <w:r w:rsidRPr="007B032C">
              <w:rPr>
                <w:rFonts w:ascii="Arial" w:hAnsi="Arial" w:cs="Arial"/>
                <w:sz w:val="16"/>
                <w:szCs w:val="16"/>
              </w:rPr>
              <w:t>3</w:t>
            </w:r>
            <w:r w:rsidR="00511723">
              <w:rPr>
                <w:rFonts w:ascii="Arial" w:hAnsi="Arial" w:cs="Arial"/>
                <w:sz w:val="16"/>
                <w:szCs w:val="16"/>
              </w:rPr>
              <w:t>457</w:t>
            </w:r>
            <w:r w:rsidRPr="007B032C">
              <w:rPr>
                <w:rFonts w:ascii="Arial" w:hAnsi="Arial" w:cs="Arial"/>
                <w:sz w:val="16"/>
                <w:szCs w:val="16"/>
              </w:rPr>
              <w:t>0</w:t>
            </w:r>
          </w:p>
        </w:tc>
      </w:tr>
      <w:tr w:rsidR="007B032C" w:rsidRPr="007B032C" w14:paraId="26425FC6" w14:textId="77777777" w:rsidTr="00A7283B">
        <w:tc>
          <w:tcPr>
            <w:tcW w:w="3046" w:type="dxa"/>
            <w:hideMark/>
          </w:tcPr>
          <w:p w14:paraId="1303A671" w14:textId="77777777" w:rsidR="007B032C" w:rsidRPr="007B032C" w:rsidRDefault="007B032C" w:rsidP="007B032C">
            <w:pPr>
              <w:tabs>
                <w:tab w:val="left" w:pos="2694"/>
                <w:tab w:val="left" w:pos="4395"/>
              </w:tabs>
              <w:spacing w:line="240" w:lineRule="auto"/>
              <w:rPr>
                <w:rFonts w:ascii="Arial" w:hAnsi="Arial" w:cs="Arial"/>
                <w:sz w:val="16"/>
                <w:szCs w:val="16"/>
              </w:rPr>
            </w:pPr>
          </w:p>
        </w:tc>
        <w:tc>
          <w:tcPr>
            <w:tcW w:w="4961" w:type="dxa"/>
            <w:hideMark/>
          </w:tcPr>
          <w:p w14:paraId="0E1503C9" w14:textId="5CB3C2CC" w:rsidR="007B032C" w:rsidRPr="007B032C" w:rsidRDefault="007B032C" w:rsidP="007B032C">
            <w:pPr>
              <w:tabs>
                <w:tab w:val="left" w:pos="2694"/>
                <w:tab w:val="left" w:pos="4395"/>
              </w:tabs>
              <w:spacing w:line="240" w:lineRule="auto"/>
              <w:rPr>
                <w:rFonts w:ascii="Arial" w:hAnsi="Arial" w:cs="Arial"/>
                <w:b/>
                <w:sz w:val="16"/>
                <w:szCs w:val="16"/>
              </w:rPr>
            </w:pPr>
            <w:r w:rsidRPr="007B032C">
              <w:rPr>
                <w:rFonts w:ascii="Arial" w:hAnsi="Arial" w:cs="Arial"/>
                <w:b/>
                <w:sz w:val="16"/>
                <w:szCs w:val="16"/>
              </w:rPr>
              <w:t>7</w:t>
            </w:r>
            <w:r w:rsidR="00511723">
              <w:rPr>
                <w:rFonts w:ascii="Arial" w:hAnsi="Arial" w:cs="Arial"/>
                <w:b/>
                <w:sz w:val="16"/>
                <w:szCs w:val="16"/>
              </w:rPr>
              <w:t>71 00  Olomouc</w:t>
            </w:r>
          </w:p>
        </w:tc>
        <w:tc>
          <w:tcPr>
            <w:tcW w:w="2268" w:type="dxa"/>
            <w:hideMark/>
          </w:tcPr>
          <w:p w14:paraId="573EFB7A"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29441D20" w14:textId="77777777" w:rsidTr="00A7283B">
        <w:tc>
          <w:tcPr>
            <w:tcW w:w="3046" w:type="dxa"/>
            <w:hideMark/>
          </w:tcPr>
          <w:p w14:paraId="5B60EA59"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Zastoupená:</w:t>
            </w:r>
          </w:p>
        </w:tc>
        <w:tc>
          <w:tcPr>
            <w:tcW w:w="4961" w:type="dxa"/>
            <w:hideMark/>
          </w:tcPr>
          <w:p w14:paraId="300B33BF" w14:textId="5C318F6D" w:rsidR="007B032C" w:rsidRPr="00986B7A" w:rsidRDefault="00986B7A" w:rsidP="007B032C">
            <w:pPr>
              <w:tabs>
                <w:tab w:val="left" w:pos="2694"/>
                <w:tab w:val="left" w:pos="4395"/>
              </w:tabs>
              <w:spacing w:line="240" w:lineRule="auto"/>
              <w:rPr>
                <w:rFonts w:ascii="Arial" w:hAnsi="Arial" w:cs="Arial"/>
                <w:b/>
                <w:sz w:val="16"/>
                <w:szCs w:val="16"/>
              </w:rPr>
            </w:pPr>
            <w:r w:rsidRPr="00986B7A">
              <w:rPr>
                <w:rStyle w:val="Siln"/>
                <w:rFonts w:ascii="Arial" w:eastAsiaTheme="majorEastAsia" w:hAnsi="Arial" w:cs="Arial"/>
                <w:color w:val="333333"/>
                <w:sz w:val="16"/>
                <w:szCs w:val="16"/>
              </w:rPr>
              <w:t>MUDr. Martin Svoboda, ředitel</w:t>
            </w:r>
          </w:p>
        </w:tc>
        <w:tc>
          <w:tcPr>
            <w:tcW w:w="2268" w:type="dxa"/>
            <w:hideMark/>
          </w:tcPr>
          <w:p w14:paraId="38CCF0F1" w14:textId="77777777" w:rsidR="007B032C" w:rsidRPr="007B032C" w:rsidRDefault="007B032C" w:rsidP="007B032C">
            <w:pPr>
              <w:pStyle w:val="Nadpis9"/>
              <w:spacing w:line="240" w:lineRule="auto"/>
              <w:rPr>
                <w:rFonts w:ascii="Arial" w:hAnsi="Arial" w:cs="Arial"/>
                <w:sz w:val="16"/>
                <w:szCs w:val="16"/>
              </w:rPr>
            </w:pPr>
          </w:p>
        </w:tc>
      </w:tr>
      <w:tr w:rsidR="007B032C" w:rsidRPr="007B032C" w14:paraId="2F3E71CA" w14:textId="77777777" w:rsidTr="00A7283B">
        <w:tc>
          <w:tcPr>
            <w:tcW w:w="3046" w:type="dxa"/>
            <w:hideMark/>
          </w:tcPr>
          <w:p w14:paraId="351E2AB8"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Bankovní spojení:</w:t>
            </w:r>
          </w:p>
        </w:tc>
        <w:tc>
          <w:tcPr>
            <w:tcW w:w="4961" w:type="dxa"/>
            <w:hideMark/>
          </w:tcPr>
          <w:p w14:paraId="6159A35E" w14:textId="22EB32E7"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KB Olomouc</w:t>
            </w:r>
          </w:p>
        </w:tc>
        <w:tc>
          <w:tcPr>
            <w:tcW w:w="2268" w:type="dxa"/>
            <w:hideMark/>
          </w:tcPr>
          <w:p w14:paraId="46DD34C6"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2730F004" w14:textId="77777777" w:rsidTr="00A7283B">
        <w:tc>
          <w:tcPr>
            <w:tcW w:w="3046" w:type="dxa"/>
            <w:hideMark/>
          </w:tcPr>
          <w:p w14:paraId="09A00E67"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Číslo účtu:</w:t>
            </w:r>
          </w:p>
        </w:tc>
        <w:tc>
          <w:tcPr>
            <w:tcW w:w="4961" w:type="dxa"/>
            <w:hideMark/>
          </w:tcPr>
          <w:p w14:paraId="5C554BD9" w14:textId="16018CD4"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19-1098060267/0100</w:t>
            </w:r>
          </w:p>
        </w:tc>
        <w:tc>
          <w:tcPr>
            <w:tcW w:w="2268" w:type="dxa"/>
            <w:hideMark/>
          </w:tcPr>
          <w:p w14:paraId="4F4BBA25"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1CDA8DB0" w14:textId="77777777" w:rsidTr="00A7283B">
        <w:tc>
          <w:tcPr>
            <w:tcW w:w="3046" w:type="dxa"/>
            <w:hideMark/>
          </w:tcPr>
          <w:p w14:paraId="1B748360"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IČ:</w:t>
            </w:r>
          </w:p>
        </w:tc>
        <w:tc>
          <w:tcPr>
            <w:tcW w:w="4961" w:type="dxa"/>
            <w:hideMark/>
          </w:tcPr>
          <w:p w14:paraId="5FE0BD02" w14:textId="06BE4C5C"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60800691</w:t>
            </w:r>
          </w:p>
        </w:tc>
        <w:tc>
          <w:tcPr>
            <w:tcW w:w="2268" w:type="dxa"/>
            <w:hideMark/>
          </w:tcPr>
          <w:p w14:paraId="4BBFEC56"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594FF664" w14:textId="77777777" w:rsidTr="00A7283B">
        <w:tc>
          <w:tcPr>
            <w:tcW w:w="3046" w:type="dxa"/>
            <w:hideMark/>
          </w:tcPr>
          <w:p w14:paraId="077A68BD"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DIČ:</w:t>
            </w:r>
          </w:p>
        </w:tc>
        <w:tc>
          <w:tcPr>
            <w:tcW w:w="4961" w:type="dxa"/>
            <w:hideMark/>
          </w:tcPr>
          <w:p w14:paraId="7E10DF4A" w14:textId="30541550" w:rsidR="007B032C" w:rsidRPr="007B032C" w:rsidRDefault="007B032C" w:rsidP="007B032C">
            <w:pPr>
              <w:tabs>
                <w:tab w:val="left" w:pos="2694"/>
                <w:tab w:val="left" w:pos="4395"/>
              </w:tabs>
              <w:spacing w:line="240" w:lineRule="auto"/>
              <w:rPr>
                <w:rFonts w:ascii="Arial" w:hAnsi="Arial" w:cs="Arial"/>
                <w:b/>
                <w:sz w:val="16"/>
                <w:szCs w:val="16"/>
              </w:rPr>
            </w:pPr>
            <w:r w:rsidRPr="007B032C">
              <w:rPr>
                <w:rFonts w:ascii="Arial" w:hAnsi="Arial" w:cs="Arial"/>
                <w:b/>
                <w:sz w:val="16"/>
                <w:szCs w:val="16"/>
              </w:rPr>
              <w:t>CZ</w:t>
            </w:r>
            <w:r w:rsidR="00511723">
              <w:rPr>
                <w:rFonts w:ascii="Arial" w:hAnsi="Arial" w:cs="Arial"/>
                <w:b/>
                <w:sz w:val="16"/>
                <w:szCs w:val="16"/>
              </w:rPr>
              <w:t>60800691</w:t>
            </w:r>
          </w:p>
        </w:tc>
        <w:tc>
          <w:tcPr>
            <w:tcW w:w="2268" w:type="dxa"/>
            <w:hideMark/>
          </w:tcPr>
          <w:p w14:paraId="685328C5"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3F563446" w14:textId="77777777" w:rsidTr="00A7283B">
        <w:tc>
          <w:tcPr>
            <w:tcW w:w="3046" w:type="dxa"/>
            <w:hideMark/>
          </w:tcPr>
          <w:p w14:paraId="6BAC3896"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(dále jen zákazník)</w:t>
            </w:r>
          </w:p>
        </w:tc>
        <w:tc>
          <w:tcPr>
            <w:tcW w:w="4961" w:type="dxa"/>
            <w:hideMark/>
          </w:tcPr>
          <w:p w14:paraId="4903BFAA" w14:textId="77777777" w:rsidR="007B032C" w:rsidRPr="007B032C" w:rsidRDefault="007B032C" w:rsidP="007B032C">
            <w:pPr>
              <w:tabs>
                <w:tab w:val="left" w:pos="2694"/>
                <w:tab w:val="left" w:pos="4395"/>
              </w:tabs>
              <w:spacing w:line="240" w:lineRule="auto"/>
              <w:rPr>
                <w:rFonts w:ascii="Arial" w:hAnsi="Arial" w:cs="Arial"/>
                <w:b/>
                <w:sz w:val="16"/>
                <w:szCs w:val="16"/>
              </w:rPr>
            </w:pPr>
          </w:p>
        </w:tc>
        <w:tc>
          <w:tcPr>
            <w:tcW w:w="2268" w:type="dxa"/>
            <w:hideMark/>
          </w:tcPr>
          <w:p w14:paraId="2FDCA943" w14:textId="77777777" w:rsidR="007B032C" w:rsidRPr="007B032C" w:rsidRDefault="007B032C" w:rsidP="007B032C">
            <w:pPr>
              <w:pStyle w:val="Nadpis9"/>
              <w:spacing w:line="240" w:lineRule="auto"/>
              <w:jc w:val="center"/>
              <w:rPr>
                <w:rFonts w:ascii="Arial" w:hAnsi="Arial" w:cs="Arial"/>
                <w:sz w:val="16"/>
                <w:szCs w:val="16"/>
              </w:rPr>
            </w:pPr>
          </w:p>
        </w:tc>
      </w:tr>
    </w:tbl>
    <w:p w14:paraId="7411955F" w14:textId="77777777" w:rsidR="00511723" w:rsidRPr="002E334E" w:rsidRDefault="00511723" w:rsidP="00511723">
      <w:pPr>
        <w:tabs>
          <w:tab w:val="left" w:pos="2694"/>
          <w:tab w:val="left" w:pos="4395"/>
        </w:tabs>
        <w:jc w:val="center"/>
        <w:rPr>
          <w:rFonts w:cs="Arial"/>
          <w:sz w:val="16"/>
          <w:szCs w:val="16"/>
        </w:rPr>
      </w:pPr>
      <w:r w:rsidRPr="002E334E">
        <w:rPr>
          <w:rFonts w:cs="Arial"/>
          <w:sz w:val="16"/>
          <w:szCs w:val="16"/>
        </w:rPr>
        <w:t>tuto</w:t>
      </w:r>
    </w:p>
    <w:p w14:paraId="619C50C0" w14:textId="77777777" w:rsidR="00511723" w:rsidRPr="00511723" w:rsidRDefault="00511723" w:rsidP="00511723">
      <w:pPr>
        <w:pStyle w:val="Nadpis6"/>
        <w:tabs>
          <w:tab w:val="left" w:pos="567"/>
          <w:tab w:val="left" w:pos="4395"/>
        </w:tabs>
        <w:jc w:val="center"/>
        <w:rPr>
          <w:rFonts w:ascii="Arial" w:hAnsi="Arial" w:cs="Arial"/>
          <w:sz w:val="18"/>
          <w:szCs w:val="18"/>
        </w:rPr>
      </w:pPr>
      <w:r w:rsidRPr="00511723">
        <w:rPr>
          <w:rFonts w:ascii="Arial" w:hAnsi="Arial" w:cs="Arial"/>
          <w:sz w:val="18"/>
          <w:szCs w:val="18"/>
        </w:rPr>
        <w:t>Smlouvu o dlouhodobém pronájmu lahví na stlačené plyny</w:t>
      </w:r>
    </w:p>
    <w:p w14:paraId="44D2BDAD" w14:textId="449D3C70" w:rsidR="00511723" w:rsidRPr="002E334E" w:rsidRDefault="00511723" w:rsidP="00511723">
      <w:pPr>
        <w:tabs>
          <w:tab w:val="left" w:pos="2694"/>
          <w:tab w:val="left" w:pos="4395"/>
        </w:tabs>
        <w:ind w:left="567"/>
        <w:jc w:val="center"/>
        <w:rPr>
          <w:rFonts w:cs="Arial"/>
          <w:i/>
          <w:sz w:val="16"/>
          <w:szCs w:val="16"/>
        </w:rPr>
      </w:pPr>
      <w:r w:rsidRPr="002E334E">
        <w:rPr>
          <w:rFonts w:cs="Arial"/>
          <w:b/>
          <w:sz w:val="16"/>
          <w:szCs w:val="16"/>
        </w:rPr>
        <w:t xml:space="preserve">číslo </w:t>
      </w:r>
      <w:r>
        <w:rPr>
          <w:rFonts w:cs="Arial"/>
          <w:b/>
          <w:sz w:val="16"/>
          <w:szCs w:val="16"/>
        </w:rPr>
        <w:t>1/2020/580534570</w:t>
      </w:r>
    </w:p>
    <w:p w14:paraId="63C36D36" w14:textId="77777777" w:rsidR="00511723" w:rsidRPr="002E334E" w:rsidRDefault="00511723" w:rsidP="00511723">
      <w:pPr>
        <w:tabs>
          <w:tab w:val="left" w:pos="851"/>
          <w:tab w:val="left" w:pos="2694"/>
          <w:tab w:val="left" w:pos="4395"/>
        </w:tabs>
        <w:jc w:val="right"/>
        <w:rPr>
          <w:rFonts w:cs="Arial"/>
          <w:sz w:val="16"/>
          <w:szCs w:val="16"/>
        </w:rPr>
      </w:pPr>
    </w:p>
    <w:p w14:paraId="7172DAAC" w14:textId="77777777" w:rsidR="00511723" w:rsidRPr="007D175C" w:rsidRDefault="00511723" w:rsidP="00511723">
      <w:pPr>
        <w:pStyle w:val="Zpat"/>
        <w:numPr>
          <w:ilvl w:val="0"/>
          <w:numId w:val="3"/>
        </w:numPr>
        <w:tabs>
          <w:tab w:val="left" w:pos="567"/>
          <w:tab w:val="left" w:pos="2694"/>
          <w:tab w:val="left" w:pos="4395"/>
        </w:tabs>
        <w:spacing w:line="240" w:lineRule="auto"/>
        <w:ind w:right="284"/>
        <w:rPr>
          <w:rFonts w:ascii="Arial" w:hAnsi="Arial" w:cs="Arial"/>
          <w:sz w:val="16"/>
          <w:szCs w:val="16"/>
        </w:rPr>
      </w:pPr>
      <w:r w:rsidRPr="007D175C">
        <w:rPr>
          <w:rFonts w:ascii="Arial" w:hAnsi="Arial" w:cs="Arial"/>
          <w:sz w:val="16"/>
          <w:szCs w:val="16"/>
        </w:rPr>
        <w:t>Zákazník získává jednorázovým zaplacením níže uvedeného dlouhodobého nájmu + DPH za každou lahev nebo distribuční prostředek na stlačené plyny Linde Gas a.s. (dále jen Linde) právo používat je v počtu a po dobu uvedenou níže.</w:t>
      </w:r>
    </w:p>
    <w:tbl>
      <w:tblPr>
        <w:tblW w:w="0" w:type="auto"/>
        <w:tblInd w:w="212" w:type="dxa"/>
        <w:tblLayout w:type="fixed"/>
        <w:tblCellMar>
          <w:left w:w="70" w:type="dxa"/>
          <w:right w:w="70" w:type="dxa"/>
        </w:tblCellMar>
        <w:tblLook w:val="0000" w:firstRow="0" w:lastRow="0" w:firstColumn="0" w:lastColumn="0" w:noHBand="0" w:noVBand="0"/>
      </w:tblPr>
      <w:tblGrid>
        <w:gridCol w:w="2552"/>
        <w:gridCol w:w="1417"/>
        <w:gridCol w:w="1559"/>
        <w:gridCol w:w="1701"/>
        <w:gridCol w:w="1276"/>
        <w:gridCol w:w="1559"/>
      </w:tblGrid>
      <w:tr w:rsidR="00511723" w:rsidRPr="009058D7" w14:paraId="66301EB5" w14:textId="77777777" w:rsidTr="00AF1B1D">
        <w:trPr>
          <w:trHeight w:val="587"/>
        </w:trPr>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14:paraId="00F887AC" w14:textId="77777777" w:rsidR="00511723" w:rsidRDefault="00511723" w:rsidP="00AF1B1D">
            <w:pPr>
              <w:tabs>
                <w:tab w:val="left" w:pos="851"/>
                <w:tab w:val="left" w:pos="2694"/>
                <w:tab w:val="left" w:pos="4395"/>
              </w:tabs>
              <w:ind w:left="357"/>
              <w:rPr>
                <w:rFonts w:cs="Arial"/>
                <w:b/>
                <w:sz w:val="16"/>
                <w:szCs w:val="16"/>
              </w:rPr>
            </w:pPr>
            <w:r w:rsidRPr="002E334E">
              <w:rPr>
                <w:rFonts w:cs="Arial"/>
                <w:b/>
                <w:sz w:val="16"/>
                <w:szCs w:val="16"/>
              </w:rPr>
              <w:t>Skupina lahví</w:t>
            </w:r>
            <w:r>
              <w:rPr>
                <w:rFonts w:cs="Arial"/>
                <w:b/>
                <w:sz w:val="16"/>
                <w:szCs w:val="16"/>
              </w:rPr>
              <w:t xml:space="preserve"> / </w:t>
            </w:r>
          </w:p>
          <w:p w14:paraId="59799358" w14:textId="77777777" w:rsidR="00511723" w:rsidRPr="002E334E" w:rsidRDefault="00511723" w:rsidP="00AF1B1D">
            <w:pPr>
              <w:tabs>
                <w:tab w:val="left" w:pos="851"/>
                <w:tab w:val="left" w:pos="2694"/>
                <w:tab w:val="left" w:pos="4395"/>
              </w:tabs>
              <w:ind w:left="357"/>
              <w:rPr>
                <w:rFonts w:cs="Arial"/>
                <w:b/>
                <w:sz w:val="16"/>
                <w:szCs w:val="16"/>
              </w:rPr>
            </w:pPr>
            <w:r>
              <w:rPr>
                <w:rFonts w:cs="Arial"/>
                <w:b/>
                <w:sz w:val="16"/>
                <w:szCs w:val="16"/>
              </w:rPr>
              <w:t>Distr. prostředek</w:t>
            </w:r>
          </w:p>
        </w:tc>
        <w:tc>
          <w:tcPr>
            <w:tcW w:w="1417" w:type="dxa"/>
            <w:tcBorders>
              <w:top w:val="single" w:sz="4" w:space="0" w:color="auto"/>
              <w:left w:val="nil"/>
              <w:bottom w:val="single" w:sz="4" w:space="0" w:color="auto"/>
              <w:right w:val="single" w:sz="4" w:space="0" w:color="auto"/>
            </w:tcBorders>
            <w:shd w:val="clear" w:color="auto" w:fill="CCCCCC"/>
            <w:vAlign w:val="center"/>
          </w:tcPr>
          <w:p w14:paraId="28168A36"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Počet </w:t>
            </w:r>
          </w:p>
          <w:p w14:paraId="03C1067F"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pronajatých kusů</w:t>
            </w:r>
          </w:p>
        </w:tc>
        <w:tc>
          <w:tcPr>
            <w:tcW w:w="1559" w:type="dxa"/>
            <w:tcBorders>
              <w:top w:val="single" w:sz="4" w:space="0" w:color="auto"/>
              <w:left w:val="nil"/>
              <w:bottom w:val="single" w:sz="4" w:space="0" w:color="auto"/>
              <w:right w:val="single" w:sz="4" w:space="0" w:color="auto"/>
            </w:tcBorders>
            <w:shd w:val="clear" w:color="auto" w:fill="CCCCCC"/>
            <w:vAlign w:val="center"/>
          </w:tcPr>
          <w:p w14:paraId="1F22F78D"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Počátek </w:t>
            </w:r>
          </w:p>
          <w:p w14:paraId="1B7FA5A8" w14:textId="77777777" w:rsidR="00511723" w:rsidRPr="002E334E" w:rsidRDefault="00511723" w:rsidP="00AF1B1D">
            <w:pPr>
              <w:tabs>
                <w:tab w:val="left" w:pos="851"/>
                <w:tab w:val="left" w:pos="2694"/>
                <w:tab w:val="left" w:pos="4395"/>
              </w:tabs>
              <w:jc w:val="center"/>
              <w:rPr>
                <w:rFonts w:cs="Arial"/>
                <w:b/>
                <w:sz w:val="16"/>
                <w:szCs w:val="16"/>
              </w:rPr>
            </w:pPr>
            <w:r w:rsidRPr="002E334E">
              <w:rPr>
                <w:rFonts w:cs="Arial"/>
                <w:b/>
                <w:sz w:val="16"/>
                <w:szCs w:val="16"/>
              </w:rPr>
              <w:t>smlouvy</w:t>
            </w:r>
          </w:p>
        </w:tc>
        <w:tc>
          <w:tcPr>
            <w:tcW w:w="1701" w:type="dxa"/>
            <w:tcBorders>
              <w:top w:val="single" w:sz="4" w:space="0" w:color="auto"/>
              <w:left w:val="nil"/>
              <w:bottom w:val="single" w:sz="4" w:space="0" w:color="auto"/>
              <w:right w:val="single" w:sz="4" w:space="0" w:color="auto"/>
            </w:tcBorders>
            <w:shd w:val="clear" w:color="auto" w:fill="CCCCCC"/>
            <w:vAlign w:val="center"/>
          </w:tcPr>
          <w:p w14:paraId="0B02D1CF"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Konec </w:t>
            </w:r>
          </w:p>
          <w:p w14:paraId="0637B963" w14:textId="77777777" w:rsidR="00511723" w:rsidRPr="002E334E" w:rsidRDefault="00511723" w:rsidP="00AF1B1D">
            <w:pPr>
              <w:tabs>
                <w:tab w:val="left" w:pos="851"/>
                <w:tab w:val="left" w:pos="2694"/>
                <w:tab w:val="left" w:pos="4395"/>
              </w:tabs>
              <w:jc w:val="center"/>
              <w:rPr>
                <w:rFonts w:cs="Arial"/>
                <w:b/>
                <w:sz w:val="16"/>
                <w:szCs w:val="16"/>
              </w:rPr>
            </w:pPr>
            <w:r w:rsidRPr="002E334E">
              <w:rPr>
                <w:rFonts w:cs="Arial"/>
                <w:b/>
                <w:sz w:val="16"/>
                <w:szCs w:val="16"/>
              </w:rPr>
              <w:t>smlouvy</w:t>
            </w:r>
          </w:p>
        </w:tc>
        <w:tc>
          <w:tcPr>
            <w:tcW w:w="1276" w:type="dxa"/>
            <w:tcBorders>
              <w:top w:val="single" w:sz="4" w:space="0" w:color="auto"/>
              <w:left w:val="nil"/>
              <w:bottom w:val="single" w:sz="4" w:space="0" w:color="auto"/>
              <w:right w:val="single" w:sz="4" w:space="0" w:color="auto"/>
            </w:tcBorders>
            <w:shd w:val="clear" w:color="auto" w:fill="CCCCCC"/>
            <w:vAlign w:val="center"/>
          </w:tcPr>
          <w:p w14:paraId="22CFAD82" w14:textId="77777777" w:rsidR="00511723" w:rsidRDefault="00511723" w:rsidP="00AF1B1D">
            <w:pPr>
              <w:tabs>
                <w:tab w:val="left" w:pos="851"/>
                <w:tab w:val="left" w:pos="2694"/>
                <w:tab w:val="left" w:pos="4395"/>
              </w:tabs>
              <w:jc w:val="center"/>
              <w:rPr>
                <w:rFonts w:cs="Arial"/>
                <w:b/>
                <w:sz w:val="16"/>
                <w:szCs w:val="16"/>
              </w:rPr>
            </w:pPr>
            <w:r>
              <w:rPr>
                <w:rFonts w:cs="Arial"/>
                <w:b/>
                <w:sz w:val="16"/>
                <w:szCs w:val="16"/>
              </w:rPr>
              <w:t xml:space="preserve">Nájemné/kus </w:t>
            </w:r>
          </w:p>
          <w:p w14:paraId="144023F4"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(Kč)</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14:paraId="7BB0054E" w14:textId="77777777" w:rsidR="00511723" w:rsidRDefault="00511723" w:rsidP="00AF1B1D">
            <w:pPr>
              <w:tabs>
                <w:tab w:val="left" w:pos="851"/>
                <w:tab w:val="left" w:pos="2694"/>
                <w:tab w:val="left" w:pos="4395"/>
              </w:tabs>
              <w:jc w:val="center"/>
              <w:rPr>
                <w:rFonts w:cs="Arial"/>
                <w:b/>
                <w:sz w:val="16"/>
                <w:szCs w:val="16"/>
              </w:rPr>
            </w:pPr>
            <w:r>
              <w:rPr>
                <w:rFonts w:cs="Arial"/>
                <w:b/>
                <w:sz w:val="16"/>
                <w:szCs w:val="16"/>
              </w:rPr>
              <w:t xml:space="preserve">Nájemné celkem bez DPH </w:t>
            </w:r>
          </w:p>
          <w:p w14:paraId="2AC86DFC"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(Kč)</w:t>
            </w:r>
          </w:p>
        </w:tc>
      </w:tr>
      <w:tr w:rsidR="00511723" w:rsidRPr="009058D7" w14:paraId="01D3BCD5" w14:textId="77777777" w:rsidTr="00AF1B1D">
        <w:trPr>
          <w:trHeight w:val="285"/>
        </w:trPr>
        <w:tc>
          <w:tcPr>
            <w:tcW w:w="2552" w:type="dxa"/>
            <w:tcBorders>
              <w:top w:val="single" w:sz="4" w:space="0" w:color="auto"/>
              <w:left w:val="single" w:sz="4" w:space="0" w:color="auto"/>
              <w:right w:val="single" w:sz="4" w:space="0" w:color="auto"/>
            </w:tcBorders>
            <w:vAlign w:val="center"/>
          </w:tcPr>
          <w:p w14:paraId="5F16EE81" w14:textId="77777777" w:rsidR="00511723" w:rsidRPr="007B67A8" w:rsidRDefault="00511723" w:rsidP="00AF1B1D">
            <w:pPr>
              <w:tabs>
                <w:tab w:val="left" w:pos="851"/>
                <w:tab w:val="left" w:pos="2694"/>
                <w:tab w:val="left" w:pos="4395"/>
              </w:tabs>
              <w:rPr>
                <w:rFonts w:cs="Arial"/>
                <w:sz w:val="16"/>
                <w:szCs w:val="16"/>
              </w:rPr>
            </w:pPr>
            <w:r w:rsidRPr="007B67A8">
              <w:rPr>
                <w:rFonts w:cs="Arial"/>
                <w:sz w:val="16"/>
                <w:szCs w:val="16"/>
              </w:rPr>
              <w:t>Lahve</w:t>
            </w:r>
            <w:r>
              <w:rPr>
                <w:rFonts w:cs="Arial"/>
                <w:sz w:val="16"/>
                <w:szCs w:val="16"/>
              </w:rPr>
              <w:t xml:space="preserve"> – technické plyny</w:t>
            </w:r>
          </w:p>
        </w:tc>
        <w:tc>
          <w:tcPr>
            <w:tcW w:w="1417" w:type="dxa"/>
            <w:tcBorders>
              <w:top w:val="single" w:sz="4" w:space="0" w:color="auto"/>
              <w:left w:val="nil"/>
              <w:right w:val="single" w:sz="4" w:space="0" w:color="auto"/>
            </w:tcBorders>
            <w:vAlign w:val="center"/>
          </w:tcPr>
          <w:p w14:paraId="0DC8A228" w14:textId="480F30D1" w:rsidR="00511723" w:rsidRPr="007B67A8" w:rsidRDefault="00511723" w:rsidP="00AF1B1D">
            <w:pPr>
              <w:tabs>
                <w:tab w:val="left" w:pos="851"/>
                <w:tab w:val="left" w:pos="2694"/>
                <w:tab w:val="left" w:pos="4395"/>
              </w:tabs>
              <w:jc w:val="center"/>
              <w:rPr>
                <w:rFonts w:cs="Arial"/>
                <w:sz w:val="16"/>
                <w:szCs w:val="16"/>
              </w:rPr>
            </w:pPr>
          </w:p>
        </w:tc>
        <w:tc>
          <w:tcPr>
            <w:tcW w:w="1559" w:type="dxa"/>
            <w:tcBorders>
              <w:top w:val="single" w:sz="4" w:space="0" w:color="auto"/>
              <w:left w:val="nil"/>
              <w:bottom w:val="single" w:sz="6" w:space="0" w:color="auto"/>
              <w:right w:val="single" w:sz="4" w:space="0" w:color="auto"/>
            </w:tcBorders>
            <w:vAlign w:val="center"/>
          </w:tcPr>
          <w:p w14:paraId="6501A375" w14:textId="4F2E7CB7" w:rsidR="00511723" w:rsidRPr="007B67A8" w:rsidRDefault="00511723" w:rsidP="00AF1B1D">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4" w:space="0" w:color="auto"/>
              <w:left w:val="nil"/>
              <w:bottom w:val="single" w:sz="6" w:space="0" w:color="auto"/>
              <w:right w:val="single" w:sz="4" w:space="0" w:color="auto"/>
            </w:tcBorders>
            <w:vAlign w:val="center"/>
          </w:tcPr>
          <w:p w14:paraId="0AE8B1EC" w14:textId="6B499D90" w:rsidR="00511723" w:rsidRPr="002E334E" w:rsidRDefault="00511723" w:rsidP="00AF1B1D">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4" w:space="0" w:color="auto"/>
              <w:left w:val="nil"/>
              <w:bottom w:val="single" w:sz="6" w:space="0" w:color="auto"/>
              <w:right w:val="single" w:sz="4" w:space="0" w:color="auto"/>
            </w:tcBorders>
            <w:vAlign w:val="center"/>
          </w:tcPr>
          <w:p w14:paraId="1BFE6C39" w14:textId="36200D65" w:rsidR="00511723" w:rsidRPr="003E29C4" w:rsidRDefault="00511723" w:rsidP="00AF1B1D">
            <w:pPr>
              <w:tabs>
                <w:tab w:val="left" w:pos="851"/>
                <w:tab w:val="left" w:pos="2694"/>
                <w:tab w:val="left" w:pos="4395"/>
              </w:tabs>
              <w:jc w:val="center"/>
              <w:rPr>
                <w:rFonts w:cs="Arial"/>
                <w:sz w:val="16"/>
                <w:szCs w:val="16"/>
              </w:rPr>
            </w:pPr>
            <w:bookmarkStart w:id="0" w:name="_GoBack"/>
            <w:bookmarkEnd w:id="0"/>
          </w:p>
        </w:tc>
        <w:tc>
          <w:tcPr>
            <w:tcW w:w="1559" w:type="dxa"/>
            <w:tcBorders>
              <w:top w:val="single" w:sz="4" w:space="0" w:color="auto"/>
              <w:left w:val="single" w:sz="4" w:space="0" w:color="auto"/>
              <w:bottom w:val="single" w:sz="6" w:space="0" w:color="auto"/>
              <w:right w:val="single" w:sz="4" w:space="0" w:color="auto"/>
            </w:tcBorders>
            <w:vAlign w:val="center"/>
          </w:tcPr>
          <w:p w14:paraId="0A8A971C" w14:textId="3C1CC0DF" w:rsidR="00511723" w:rsidRPr="002E334E" w:rsidRDefault="00511723" w:rsidP="00AF1B1D">
            <w:pPr>
              <w:tabs>
                <w:tab w:val="left" w:pos="851"/>
                <w:tab w:val="left" w:pos="2694"/>
                <w:tab w:val="left" w:pos="4395"/>
              </w:tabs>
              <w:jc w:val="center"/>
              <w:rPr>
                <w:rFonts w:cs="Arial"/>
                <w:sz w:val="16"/>
                <w:szCs w:val="16"/>
              </w:rPr>
            </w:pPr>
          </w:p>
        </w:tc>
      </w:tr>
      <w:tr w:rsidR="00511723" w:rsidRPr="009058D7" w14:paraId="408AC80B" w14:textId="77777777" w:rsidTr="00AF1B1D">
        <w:trPr>
          <w:trHeight w:val="285"/>
        </w:trPr>
        <w:tc>
          <w:tcPr>
            <w:tcW w:w="2552" w:type="dxa"/>
            <w:tcBorders>
              <w:top w:val="single" w:sz="4" w:space="0" w:color="auto"/>
              <w:left w:val="single" w:sz="4" w:space="0" w:color="auto"/>
              <w:right w:val="single" w:sz="4" w:space="0" w:color="auto"/>
            </w:tcBorders>
            <w:vAlign w:val="center"/>
          </w:tcPr>
          <w:p w14:paraId="32FFD893" w14:textId="77777777" w:rsidR="00511723" w:rsidRDefault="00511723" w:rsidP="00511723">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speciální plyny</w:t>
            </w:r>
          </w:p>
        </w:tc>
        <w:tc>
          <w:tcPr>
            <w:tcW w:w="1417" w:type="dxa"/>
            <w:tcBorders>
              <w:top w:val="single" w:sz="4" w:space="0" w:color="auto"/>
              <w:left w:val="nil"/>
              <w:right w:val="single" w:sz="4" w:space="0" w:color="auto"/>
            </w:tcBorders>
            <w:vAlign w:val="center"/>
          </w:tcPr>
          <w:p w14:paraId="1C2444CA" w14:textId="09D0AAE7" w:rsidR="00511723" w:rsidRPr="007B67A8"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366FCB81" w14:textId="233DAA70" w:rsidR="00511723" w:rsidRPr="007B67A8" w:rsidRDefault="00511723" w:rsidP="00511723">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6" w:space="0" w:color="auto"/>
              <w:left w:val="nil"/>
              <w:bottom w:val="single" w:sz="6" w:space="0" w:color="auto"/>
              <w:right w:val="single" w:sz="4" w:space="0" w:color="auto"/>
            </w:tcBorders>
            <w:vAlign w:val="center"/>
          </w:tcPr>
          <w:p w14:paraId="79DEF0B2" w14:textId="0FC0601C" w:rsidR="00511723" w:rsidRPr="002E334E" w:rsidRDefault="00511723" w:rsidP="00511723">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6" w:space="0" w:color="auto"/>
              <w:left w:val="nil"/>
              <w:bottom w:val="single" w:sz="6" w:space="0" w:color="auto"/>
              <w:right w:val="single" w:sz="4" w:space="0" w:color="auto"/>
            </w:tcBorders>
            <w:vAlign w:val="center"/>
          </w:tcPr>
          <w:p w14:paraId="78C4DEE3" w14:textId="748E7592" w:rsidR="00511723" w:rsidRPr="003E29C4"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33A79EFB" w14:textId="06AEA221" w:rsidR="00511723" w:rsidRPr="002E334E" w:rsidRDefault="00511723" w:rsidP="00511723">
            <w:pPr>
              <w:tabs>
                <w:tab w:val="left" w:pos="851"/>
                <w:tab w:val="left" w:pos="2694"/>
                <w:tab w:val="left" w:pos="4395"/>
              </w:tabs>
              <w:jc w:val="center"/>
              <w:rPr>
                <w:rFonts w:cs="Arial"/>
                <w:sz w:val="16"/>
                <w:szCs w:val="16"/>
              </w:rPr>
            </w:pPr>
          </w:p>
        </w:tc>
      </w:tr>
      <w:tr w:rsidR="00511723" w:rsidRPr="009058D7" w14:paraId="4DAA7052" w14:textId="77777777" w:rsidTr="00AF1B1D">
        <w:trPr>
          <w:trHeight w:val="285"/>
        </w:trPr>
        <w:tc>
          <w:tcPr>
            <w:tcW w:w="2552" w:type="dxa"/>
            <w:tcBorders>
              <w:top w:val="single" w:sz="4" w:space="0" w:color="auto"/>
              <w:left w:val="single" w:sz="4" w:space="0" w:color="auto"/>
              <w:right w:val="single" w:sz="4" w:space="0" w:color="auto"/>
            </w:tcBorders>
            <w:vAlign w:val="center"/>
          </w:tcPr>
          <w:p w14:paraId="27292511" w14:textId="77777777" w:rsidR="00511723" w:rsidRPr="007B67A8" w:rsidRDefault="00511723" w:rsidP="00511723">
            <w:pPr>
              <w:tabs>
                <w:tab w:val="left" w:pos="851"/>
                <w:tab w:val="left" w:pos="2694"/>
                <w:tab w:val="left" w:pos="4395"/>
              </w:tabs>
              <w:rPr>
                <w:rFonts w:cs="Arial"/>
                <w:sz w:val="16"/>
                <w:szCs w:val="16"/>
              </w:rPr>
            </w:pPr>
            <w:r>
              <w:rPr>
                <w:rFonts w:cs="Arial"/>
                <w:sz w:val="16"/>
                <w:szCs w:val="16"/>
              </w:rPr>
              <w:t>Lahve – medicinální plyny</w:t>
            </w:r>
          </w:p>
        </w:tc>
        <w:tc>
          <w:tcPr>
            <w:tcW w:w="1417" w:type="dxa"/>
            <w:tcBorders>
              <w:top w:val="single" w:sz="4" w:space="0" w:color="auto"/>
              <w:left w:val="nil"/>
              <w:right w:val="single" w:sz="4" w:space="0" w:color="auto"/>
            </w:tcBorders>
            <w:vAlign w:val="center"/>
          </w:tcPr>
          <w:p w14:paraId="707FB332" w14:textId="253925C1" w:rsidR="00511723" w:rsidRPr="007B67A8"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6E0A83F1" w14:textId="6233C858" w:rsidR="00511723" w:rsidRPr="007B67A8" w:rsidRDefault="00511723" w:rsidP="00511723">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6" w:space="0" w:color="auto"/>
              <w:left w:val="nil"/>
              <w:bottom w:val="single" w:sz="6" w:space="0" w:color="auto"/>
              <w:right w:val="single" w:sz="4" w:space="0" w:color="auto"/>
            </w:tcBorders>
            <w:vAlign w:val="center"/>
          </w:tcPr>
          <w:p w14:paraId="24749B48" w14:textId="7799BE51" w:rsidR="00511723" w:rsidRPr="002E334E" w:rsidRDefault="00511723" w:rsidP="00511723">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6" w:space="0" w:color="auto"/>
              <w:left w:val="nil"/>
              <w:bottom w:val="single" w:sz="6" w:space="0" w:color="auto"/>
              <w:right w:val="single" w:sz="4" w:space="0" w:color="auto"/>
            </w:tcBorders>
          </w:tcPr>
          <w:p w14:paraId="2875CDD5" w14:textId="1E4BE2E4" w:rsidR="00511723" w:rsidRPr="003E29C4"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4A663274" w14:textId="18415AFA" w:rsidR="00511723" w:rsidRPr="002E334E" w:rsidRDefault="00511723" w:rsidP="00511723">
            <w:pPr>
              <w:tabs>
                <w:tab w:val="left" w:pos="851"/>
                <w:tab w:val="left" w:pos="2694"/>
                <w:tab w:val="left" w:pos="4395"/>
              </w:tabs>
              <w:jc w:val="center"/>
              <w:rPr>
                <w:rFonts w:cs="Arial"/>
                <w:sz w:val="16"/>
                <w:szCs w:val="16"/>
              </w:rPr>
            </w:pPr>
          </w:p>
        </w:tc>
      </w:tr>
      <w:tr w:rsidR="00511723" w:rsidRPr="009058D7" w14:paraId="75563775" w14:textId="77777777" w:rsidTr="00AF1B1D">
        <w:trPr>
          <w:trHeight w:val="285"/>
        </w:trPr>
        <w:tc>
          <w:tcPr>
            <w:tcW w:w="2552" w:type="dxa"/>
            <w:tcBorders>
              <w:top w:val="single" w:sz="4" w:space="0" w:color="auto"/>
              <w:left w:val="single" w:sz="4" w:space="0" w:color="auto"/>
              <w:right w:val="single" w:sz="4" w:space="0" w:color="auto"/>
            </w:tcBorders>
            <w:vAlign w:val="center"/>
          </w:tcPr>
          <w:p w14:paraId="1EA3CE03" w14:textId="77777777" w:rsidR="00511723" w:rsidRPr="007B67A8" w:rsidRDefault="00511723" w:rsidP="00511723">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medicinální plyny LOLA</w:t>
            </w:r>
          </w:p>
        </w:tc>
        <w:tc>
          <w:tcPr>
            <w:tcW w:w="1417" w:type="dxa"/>
            <w:tcBorders>
              <w:top w:val="single" w:sz="4" w:space="0" w:color="auto"/>
              <w:left w:val="nil"/>
              <w:right w:val="single" w:sz="4" w:space="0" w:color="auto"/>
            </w:tcBorders>
            <w:vAlign w:val="center"/>
          </w:tcPr>
          <w:p w14:paraId="0D2302DD" w14:textId="1C6A1BAE" w:rsidR="00511723"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13318D7D" w14:textId="60272E46" w:rsidR="00511723" w:rsidRPr="007B67A8" w:rsidRDefault="00511723" w:rsidP="00511723">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6" w:space="0" w:color="auto"/>
              <w:left w:val="nil"/>
              <w:bottom w:val="single" w:sz="6" w:space="0" w:color="auto"/>
              <w:right w:val="single" w:sz="4" w:space="0" w:color="auto"/>
            </w:tcBorders>
            <w:vAlign w:val="center"/>
          </w:tcPr>
          <w:p w14:paraId="6F0DA689" w14:textId="5A270F37" w:rsidR="00511723" w:rsidRPr="002E334E" w:rsidRDefault="00511723" w:rsidP="00511723">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6" w:space="0" w:color="auto"/>
              <w:left w:val="nil"/>
              <w:bottom w:val="single" w:sz="6" w:space="0" w:color="auto"/>
              <w:right w:val="single" w:sz="4" w:space="0" w:color="auto"/>
            </w:tcBorders>
          </w:tcPr>
          <w:p w14:paraId="79BAC376" w14:textId="61F106EC" w:rsidR="00511723" w:rsidRPr="003E29C4"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0CE98313" w14:textId="604C15E6" w:rsidR="00511723" w:rsidRDefault="00511723" w:rsidP="00511723">
            <w:pPr>
              <w:tabs>
                <w:tab w:val="left" w:pos="851"/>
                <w:tab w:val="left" w:pos="2694"/>
                <w:tab w:val="left" w:pos="4395"/>
              </w:tabs>
              <w:jc w:val="center"/>
              <w:rPr>
                <w:rFonts w:cs="Arial"/>
                <w:sz w:val="16"/>
                <w:szCs w:val="16"/>
              </w:rPr>
            </w:pPr>
          </w:p>
        </w:tc>
      </w:tr>
      <w:tr w:rsidR="00511723" w:rsidRPr="009058D7" w14:paraId="6DA19091" w14:textId="77777777" w:rsidTr="00AF1B1D">
        <w:trPr>
          <w:trHeight w:val="285"/>
        </w:trPr>
        <w:tc>
          <w:tcPr>
            <w:tcW w:w="2552" w:type="dxa"/>
            <w:tcBorders>
              <w:top w:val="single" w:sz="4" w:space="0" w:color="auto"/>
              <w:left w:val="single" w:sz="4" w:space="0" w:color="auto"/>
              <w:right w:val="single" w:sz="4" w:space="0" w:color="auto"/>
            </w:tcBorders>
            <w:vAlign w:val="center"/>
          </w:tcPr>
          <w:p w14:paraId="079A6F41" w14:textId="77777777" w:rsidR="00511723" w:rsidRPr="007B67A8" w:rsidRDefault="00511723" w:rsidP="00511723">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medicinální plyny LIV</w:t>
            </w:r>
          </w:p>
        </w:tc>
        <w:tc>
          <w:tcPr>
            <w:tcW w:w="1417" w:type="dxa"/>
            <w:tcBorders>
              <w:top w:val="single" w:sz="4" w:space="0" w:color="auto"/>
              <w:left w:val="nil"/>
              <w:right w:val="single" w:sz="4" w:space="0" w:color="auto"/>
            </w:tcBorders>
            <w:vAlign w:val="center"/>
          </w:tcPr>
          <w:p w14:paraId="4AAACBE2" w14:textId="2DB4AF63" w:rsidR="00511723" w:rsidRPr="007B67A8"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155C6A95" w14:textId="277F9E61" w:rsidR="00511723" w:rsidRPr="007B67A8" w:rsidRDefault="00511723" w:rsidP="00511723">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6" w:space="0" w:color="auto"/>
              <w:left w:val="nil"/>
              <w:bottom w:val="single" w:sz="6" w:space="0" w:color="auto"/>
              <w:right w:val="single" w:sz="4" w:space="0" w:color="auto"/>
            </w:tcBorders>
            <w:vAlign w:val="center"/>
          </w:tcPr>
          <w:p w14:paraId="15718290" w14:textId="65EBAA34" w:rsidR="00511723" w:rsidRPr="002E334E" w:rsidRDefault="00511723" w:rsidP="00511723">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6" w:space="0" w:color="auto"/>
              <w:left w:val="nil"/>
              <w:bottom w:val="single" w:sz="6" w:space="0" w:color="auto"/>
              <w:right w:val="single" w:sz="4" w:space="0" w:color="auto"/>
            </w:tcBorders>
          </w:tcPr>
          <w:p w14:paraId="3EAA9D23" w14:textId="78AFC537" w:rsidR="00511723" w:rsidRPr="003E29C4"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325B24DA" w14:textId="76A37AED" w:rsidR="00511723" w:rsidRPr="002E334E" w:rsidRDefault="00511723" w:rsidP="00511723">
            <w:pPr>
              <w:tabs>
                <w:tab w:val="left" w:pos="851"/>
                <w:tab w:val="left" w:pos="2694"/>
                <w:tab w:val="left" w:pos="4395"/>
              </w:tabs>
              <w:jc w:val="center"/>
              <w:rPr>
                <w:rFonts w:cs="Arial"/>
                <w:sz w:val="16"/>
                <w:szCs w:val="16"/>
              </w:rPr>
            </w:pPr>
          </w:p>
        </w:tc>
      </w:tr>
      <w:tr w:rsidR="00511723" w:rsidRPr="009058D7" w14:paraId="526670BD"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6A33EE8E" w14:textId="77777777" w:rsidR="00511723" w:rsidRPr="007B67A8" w:rsidRDefault="00511723" w:rsidP="00511723">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entonox</w:t>
            </w:r>
          </w:p>
        </w:tc>
        <w:tc>
          <w:tcPr>
            <w:tcW w:w="1417" w:type="dxa"/>
            <w:tcBorders>
              <w:top w:val="single" w:sz="4" w:space="0" w:color="auto"/>
              <w:left w:val="nil"/>
              <w:bottom w:val="single" w:sz="4" w:space="0" w:color="auto"/>
              <w:right w:val="single" w:sz="4" w:space="0" w:color="auto"/>
            </w:tcBorders>
            <w:vAlign w:val="center"/>
          </w:tcPr>
          <w:p w14:paraId="65539C5E" w14:textId="07B94641" w:rsidR="00511723" w:rsidRPr="00DC286F"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53A2B9BC" w14:textId="1CED8B39" w:rsidR="00511723" w:rsidRPr="007B67A8" w:rsidRDefault="00511723" w:rsidP="00511723">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6" w:space="0" w:color="auto"/>
              <w:left w:val="nil"/>
              <w:bottom w:val="single" w:sz="6" w:space="0" w:color="auto"/>
              <w:right w:val="single" w:sz="4" w:space="0" w:color="auto"/>
            </w:tcBorders>
            <w:vAlign w:val="center"/>
          </w:tcPr>
          <w:p w14:paraId="24BC373E" w14:textId="6002C69F" w:rsidR="00511723" w:rsidRPr="002E334E" w:rsidRDefault="00511723" w:rsidP="00511723">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6" w:space="0" w:color="auto"/>
              <w:left w:val="nil"/>
              <w:bottom w:val="single" w:sz="6" w:space="0" w:color="auto"/>
              <w:right w:val="single" w:sz="4" w:space="0" w:color="auto"/>
            </w:tcBorders>
          </w:tcPr>
          <w:p w14:paraId="63A0061C" w14:textId="16DA3935" w:rsidR="00511723" w:rsidRPr="003E29C4"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0D17500B" w14:textId="0A2DB736" w:rsidR="00511723" w:rsidRPr="00DC286F" w:rsidRDefault="00511723" w:rsidP="00511723">
            <w:pPr>
              <w:tabs>
                <w:tab w:val="left" w:pos="851"/>
                <w:tab w:val="left" w:pos="2694"/>
                <w:tab w:val="left" w:pos="4395"/>
              </w:tabs>
              <w:jc w:val="center"/>
              <w:rPr>
                <w:rFonts w:cs="Arial"/>
                <w:sz w:val="16"/>
                <w:szCs w:val="16"/>
              </w:rPr>
            </w:pPr>
          </w:p>
        </w:tc>
      </w:tr>
      <w:tr w:rsidR="00511723" w:rsidRPr="009058D7" w14:paraId="48A00113"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3EFFEC16" w14:textId="77777777" w:rsidR="00511723" w:rsidRPr="007B67A8" w:rsidRDefault="00511723" w:rsidP="00511723">
            <w:pPr>
              <w:tabs>
                <w:tab w:val="left" w:pos="851"/>
                <w:tab w:val="left" w:pos="2694"/>
                <w:tab w:val="left" w:pos="4395"/>
              </w:tabs>
              <w:rPr>
                <w:rFonts w:cs="Arial"/>
                <w:sz w:val="16"/>
                <w:szCs w:val="16"/>
              </w:rPr>
            </w:pPr>
            <w:r>
              <w:rPr>
                <w:rFonts w:cs="Arial"/>
                <w:sz w:val="16"/>
                <w:szCs w:val="16"/>
              </w:rPr>
              <w:t>Palety</w:t>
            </w:r>
          </w:p>
        </w:tc>
        <w:tc>
          <w:tcPr>
            <w:tcW w:w="1417" w:type="dxa"/>
            <w:tcBorders>
              <w:top w:val="single" w:sz="4" w:space="0" w:color="auto"/>
              <w:left w:val="nil"/>
              <w:bottom w:val="single" w:sz="4" w:space="0" w:color="auto"/>
              <w:right w:val="single" w:sz="4" w:space="0" w:color="auto"/>
            </w:tcBorders>
            <w:vAlign w:val="center"/>
          </w:tcPr>
          <w:p w14:paraId="7B10D145" w14:textId="69C8E48E" w:rsidR="00511723" w:rsidRPr="007B67A8"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4F3936A2" w14:textId="658AB573" w:rsidR="00511723" w:rsidRPr="007B67A8" w:rsidRDefault="00511723" w:rsidP="00511723">
            <w:pPr>
              <w:tabs>
                <w:tab w:val="left" w:pos="851"/>
                <w:tab w:val="left" w:pos="2694"/>
                <w:tab w:val="left" w:pos="4395"/>
              </w:tabs>
              <w:jc w:val="center"/>
              <w:rPr>
                <w:rFonts w:cs="Arial"/>
                <w:sz w:val="16"/>
                <w:szCs w:val="16"/>
              </w:rPr>
            </w:pPr>
            <w:r>
              <w:rPr>
                <w:rFonts w:cs="Arial"/>
                <w:sz w:val="16"/>
                <w:szCs w:val="16"/>
              </w:rPr>
              <w:t>1.5.2020</w:t>
            </w:r>
          </w:p>
        </w:tc>
        <w:tc>
          <w:tcPr>
            <w:tcW w:w="1701" w:type="dxa"/>
            <w:tcBorders>
              <w:top w:val="single" w:sz="6" w:space="0" w:color="auto"/>
              <w:left w:val="nil"/>
              <w:bottom w:val="single" w:sz="6" w:space="0" w:color="auto"/>
              <w:right w:val="single" w:sz="4" w:space="0" w:color="auto"/>
            </w:tcBorders>
            <w:vAlign w:val="center"/>
          </w:tcPr>
          <w:p w14:paraId="60F1B459" w14:textId="155FE801" w:rsidR="00511723" w:rsidRPr="002E334E" w:rsidRDefault="00511723" w:rsidP="00511723">
            <w:pPr>
              <w:tabs>
                <w:tab w:val="left" w:pos="851"/>
                <w:tab w:val="left" w:pos="2694"/>
                <w:tab w:val="left" w:pos="4395"/>
              </w:tabs>
              <w:jc w:val="center"/>
              <w:rPr>
                <w:rFonts w:cs="Arial"/>
                <w:sz w:val="16"/>
                <w:szCs w:val="16"/>
              </w:rPr>
            </w:pPr>
            <w:r>
              <w:rPr>
                <w:rFonts w:cs="Arial"/>
                <w:sz w:val="16"/>
                <w:szCs w:val="16"/>
              </w:rPr>
              <w:t>31.10.2020</w:t>
            </w:r>
          </w:p>
        </w:tc>
        <w:tc>
          <w:tcPr>
            <w:tcW w:w="1276" w:type="dxa"/>
            <w:tcBorders>
              <w:top w:val="single" w:sz="6" w:space="0" w:color="auto"/>
              <w:left w:val="nil"/>
              <w:bottom w:val="single" w:sz="6" w:space="0" w:color="auto"/>
              <w:right w:val="single" w:sz="4" w:space="0" w:color="auto"/>
            </w:tcBorders>
          </w:tcPr>
          <w:p w14:paraId="33A0AFD2" w14:textId="198E2887" w:rsidR="00511723" w:rsidRPr="003E29C4" w:rsidRDefault="00511723" w:rsidP="00511723">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3685DDF0" w14:textId="4CD16EA2" w:rsidR="00511723" w:rsidRPr="002E334E" w:rsidRDefault="00511723" w:rsidP="00511723">
            <w:pPr>
              <w:tabs>
                <w:tab w:val="left" w:pos="851"/>
                <w:tab w:val="left" w:pos="2694"/>
                <w:tab w:val="left" w:pos="4395"/>
              </w:tabs>
              <w:jc w:val="center"/>
              <w:rPr>
                <w:rFonts w:cs="Arial"/>
                <w:sz w:val="16"/>
                <w:szCs w:val="16"/>
              </w:rPr>
            </w:pPr>
          </w:p>
        </w:tc>
      </w:tr>
      <w:tr w:rsidR="00511723" w:rsidRPr="009058D7" w14:paraId="36368996"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3D561B48" w14:textId="77777777" w:rsidR="00511723" w:rsidRDefault="00511723" w:rsidP="00AF1B1D">
            <w:pPr>
              <w:tabs>
                <w:tab w:val="left" w:pos="851"/>
                <w:tab w:val="left" w:pos="2694"/>
                <w:tab w:val="left" w:pos="4395"/>
              </w:tabs>
              <w:rPr>
                <w:rFonts w:cs="Arial"/>
                <w:sz w:val="16"/>
                <w:szCs w:val="16"/>
              </w:rPr>
            </w:pPr>
          </w:p>
        </w:tc>
        <w:tc>
          <w:tcPr>
            <w:tcW w:w="1417" w:type="dxa"/>
            <w:tcBorders>
              <w:top w:val="single" w:sz="4" w:space="0" w:color="auto"/>
              <w:left w:val="nil"/>
              <w:bottom w:val="single" w:sz="4" w:space="0" w:color="auto"/>
              <w:right w:val="single" w:sz="4" w:space="0" w:color="auto"/>
            </w:tcBorders>
            <w:vAlign w:val="center"/>
          </w:tcPr>
          <w:p w14:paraId="2B6169C8" w14:textId="5AF51D96" w:rsidR="00511723" w:rsidRDefault="00511723" w:rsidP="00AF1B1D">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4" w:space="0" w:color="auto"/>
              <w:right w:val="single" w:sz="4" w:space="0" w:color="auto"/>
            </w:tcBorders>
            <w:vAlign w:val="center"/>
          </w:tcPr>
          <w:p w14:paraId="5323E237" w14:textId="77777777" w:rsidR="00511723" w:rsidRPr="007B67A8" w:rsidRDefault="00511723" w:rsidP="00AF1B1D">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4" w:space="0" w:color="auto"/>
              <w:right w:val="single" w:sz="4" w:space="0" w:color="auto"/>
            </w:tcBorders>
            <w:vAlign w:val="center"/>
          </w:tcPr>
          <w:p w14:paraId="22AA398A" w14:textId="77777777" w:rsidR="00511723" w:rsidRPr="002E334E" w:rsidRDefault="00511723" w:rsidP="00AF1B1D">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4" w:space="0" w:color="auto"/>
              <w:right w:val="single" w:sz="4" w:space="0" w:color="auto"/>
            </w:tcBorders>
          </w:tcPr>
          <w:p w14:paraId="776E29A3" w14:textId="77777777" w:rsidR="00511723" w:rsidRPr="003E29C4" w:rsidRDefault="00511723" w:rsidP="00AF1B1D">
            <w:pPr>
              <w:tabs>
                <w:tab w:val="left" w:pos="851"/>
                <w:tab w:val="left" w:pos="2694"/>
                <w:tab w:val="left" w:pos="4395"/>
              </w:tabs>
              <w:jc w:val="center"/>
              <w:rPr>
                <w:rFonts w:cs="Arial"/>
                <w:sz w:val="16"/>
                <w:szCs w:val="16"/>
                <w:highlight w:val="yellow"/>
              </w:rPr>
            </w:pPr>
          </w:p>
        </w:tc>
        <w:tc>
          <w:tcPr>
            <w:tcW w:w="1559" w:type="dxa"/>
            <w:tcBorders>
              <w:top w:val="single" w:sz="6" w:space="0" w:color="auto"/>
              <w:left w:val="single" w:sz="4" w:space="0" w:color="auto"/>
              <w:bottom w:val="single" w:sz="4" w:space="0" w:color="auto"/>
              <w:right w:val="single" w:sz="4" w:space="0" w:color="auto"/>
            </w:tcBorders>
            <w:vAlign w:val="center"/>
          </w:tcPr>
          <w:p w14:paraId="58404F7E" w14:textId="6BEE2714" w:rsidR="00511723" w:rsidRPr="003F484A" w:rsidRDefault="00511723" w:rsidP="00AF1B1D">
            <w:pPr>
              <w:tabs>
                <w:tab w:val="left" w:pos="851"/>
                <w:tab w:val="left" w:pos="2694"/>
                <w:tab w:val="left" w:pos="4395"/>
              </w:tabs>
              <w:jc w:val="center"/>
              <w:rPr>
                <w:rFonts w:cs="Arial"/>
                <w:b/>
                <w:sz w:val="16"/>
                <w:szCs w:val="16"/>
              </w:rPr>
            </w:pPr>
            <w:r>
              <w:rPr>
                <w:rFonts w:cs="Arial"/>
                <w:b/>
                <w:sz w:val="16"/>
                <w:szCs w:val="16"/>
              </w:rPr>
              <w:t>22</w:t>
            </w:r>
            <w:r w:rsidR="00EB58C4">
              <w:rPr>
                <w:rFonts w:cs="Arial"/>
                <w:b/>
                <w:sz w:val="16"/>
                <w:szCs w:val="16"/>
              </w:rPr>
              <w:t>7</w:t>
            </w:r>
            <w:r>
              <w:rPr>
                <w:rFonts w:cs="Arial"/>
                <w:b/>
                <w:sz w:val="16"/>
                <w:szCs w:val="16"/>
              </w:rPr>
              <w:t>.</w:t>
            </w:r>
            <w:r w:rsidR="00EB58C4">
              <w:rPr>
                <w:rFonts w:cs="Arial"/>
                <w:b/>
                <w:sz w:val="16"/>
                <w:szCs w:val="16"/>
              </w:rPr>
              <w:t>5</w:t>
            </w:r>
            <w:r>
              <w:rPr>
                <w:rFonts w:cs="Arial"/>
                <w:b/>
                <w:sz w:val="16"/>
                <w:szCs w:val="16"/>
              </w:rPr>
              <w:t>00,-</w:t>
            </w:r>
          </w:p>
        </w:tc>
      </w:tr>
    </w:tbl>
    <w:p w14:paraId="42793A7C" w14:textId="77777777" w:rsidR="00511723" w:rsidRDefault="00511723" w:rsidP="00511723">
      <w:pPr>
        <w:tabs>
          <w:tab w:val="left" w:pos="2694"/>
          <w:tab w:val="left" w:pos="4395"/>
        </w:tabs>
        <w:rPr>
          <w:rFonts w:cs="Arial"/>
          <w:sz w:val="16"/>
          <w:szCs w:val="16"/>
        </w:rPr>
      </w:pPr>
    </w:p>
    <w:p w14:paraId="25327ADF"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Nájemné je zákazníkem hrazeno v hotovosti, resp. v den splatnosti uvedeném na účetním dokladu předem na celou dobu pronájmu.</w:t>
      </w:r>
    </w:p>
    <w:p w14:paraId="25327AE0"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1"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Lahve a distribuční prostředky na stlačené plyny poskytnuté k používání mohou být použity jen k odběru plynů od Linde, popřípadě od dodavatele pověřeného společností Linde.</w:t>
      </w:r>
    </w:p>
    <w:p w14:paraId="25327AE2" w14:textId="77777777" w:rsidR="00CF4ED9" w:rsidRPr="007D175C" w:rsidRDefault="00CF4ED9" w:rsidP="00FF7306">
      <w:pPr>
        <w:tabs>
          <w:tab w:val="left" w:pos="851"/>
          <w:tab w:val="left" w:pos="2694"/>
          <w:tab w:val="left" w:pos="4395"/>
        </w:tabs>
        <w:spacing w:line="240" w:lineRule="auto"/>
        <w:ind w:left="567" w:right="284"/>
        <w:rPr>
          <w:rFonts w:ascii="Arial" w:hAnsi="Arial" w:cs="Arial"/>
          <w:sz w:val="16"/>
          <w:szCs w:val="16"/>
        </w:rPr>
      </w:pPr>
    </w:p>
    <w:p w14:paraId="25327AE3"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Náklady na obsluhu, údržbu, předepsané tlakové zkoušky a náklady spojené s běžným opotřebením nese Linde.</w:t>
      </w:r>
      <w:r w:rsidRPr="007D175C">
        <w:rPr>
          <w:rFonts w:ascii="Arial" w:hAnsi="Arial" w:cs="Arial"/>
          <w:sz w:val="16"/>
          <w:szCs w:val="16"/>
        </w:rPr>
        <w:br/>
        <w:t>Za zcizení, ztrátu, poškození nebo zničení přenechaných lahví a distribučních prostředků na stlačené plyny odpovídá zákazník.</w:t>
      </w:r>
    </w:p>
    <w:p w14:paraId="25327AE4"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5"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14:paraId="25327AE6"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7"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V případě ukončení výše uvedené smlouvy mezi Linde a zákazníkem během doby, za kterou je uhrazeno dlouhodobé nájemné, Linde není povinna uhradit zákazníkovi jakoukoliv částku ze zaplaceného dlouhodobého pronájmu.</w:t>
      </w:r>
    </w:p>
    <w:p w14:paraId="25327AE8"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9"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 xml:space="preserve">Součástí této smlouvy jsou </w:t>
      </w:r>
      <w:proofErr w:type="gramStart"/>
      <w:r w:rsidRPr="007D175C">
        <w:rPr>
          <w:rFonts w:ascii="Arial" w:hAnsi="Arial" w:cs="Arial"/>
          <w:sz w:val="16"/>
          <w:szCs w:val="16"/>
        </w:rPr>
        <w:t>na</w:t>
      </w:r>
      <w:proofErr w:type="gramEnd"/>
      <w:r w:rsidRPr="007D175C">
        <w:rPr>
          <w:rFonts w:ascii="Arial" w:hAnsi="Arial" w:cs="Arial"/>
          <w:sz w:val="16"/>
          <w:szCs w:val="16"/>
        </w:rPr>
        <w:t xml:space="preserve"> druhé straně uvedené „Všeobecné obchodní podmínky společnosti Linde Gas a.s. pro dodávky kapalných plynů, plynů v lahvích, paletách, pevných svazcích, kontejnerech a trajlerech a ostatních produktů a služeb“.</w:t>
      </w:r>
    </w:p>
    <w:p w14:paraId="25327AEA" w14:textId="3FC403B6" w:rsidR="00CF4ED9" w:rsidRDefault="00CF4ED9" w:rsidP="00FF7306">
      <w:pPr>
        <w:tabs>
          <w:tab w:val="left" w:pos="851"/>
          <w:tab w:val="left" w:pos="2694"/>
          <w:tab w:val="left" w:pos="4395"/>
        </w:tabs>
        <w:spacing w:line="240" w:lineRule="auto"/>
        <w:rPr>
          <w:rFonts w:ascii="Arial" w:hAnsi="Arial" w:cs="Arial"/>
          <w:sz w:val="16"/>
          <w:szCs w:val="16"/>
        </w:rPr>
      </w:pPr>
    </w:p>
    <w:p w14:paraId="25327AED" w14:textId="77777777" w:rsidR="00CF4ED9" w:rsidRPr="007D175C" w:rsidRDefault="00CF4ED9" w:rsidP="00CF4ED9">
      <w:pPr>
        <w:tabs>
          <w:tab w:val="left" w:pos="851"/>
          <w:tab w:val="left" w:pos="2694"/>
          <w:tab w:val="left" w:pos="4395"/>
        </w:tabs>
        <w:rPr>
          <w:rFonts w:ascii="Arial" w:hAnsi="Arial" w:cs="Arial"/>
          <w:sz w:val="16"/>
          <w:szCs w:val="16"/>
        </w:rPr>
      </w:pPr>
      <w:r w:rsidRPr="007D175C">
        <w:rPr>
          <w:rFonts w:ascii="Arial" w:hAnsi="Arial" w:cs="Arial"/>
          <w:sz w:val="16"/>
          <w:szCs w:val="16"/>
        </w:rPr>
        <w:t>V .................................... dne....................................</w:t>
      </w:r>
    </w:p>
    <w:p w14:paraId="53B60123" w14:textId="77777777" w:rsidR="007B032C" w:rsidRDefault="007B032C" w:rsidP="009F1E8E">
      <w:pPr>
        <w:tabs>
          <w:tab w:val="left" w:pos="4395"/>
        </w:tabs>
        <w:rPr>
          <w:rFonts w:ascii="Arial" w:hAnsi="Arial" w:cs="Arial"/>
          <w:b/>
          <w:sz w:val="16"/>
          <w:szCs w:val="16"/>
        </w:rPr>
      </w:pPr>
    </w:p>
    <w:p w14:paraId="0C7770B2" w14:textId="77777777" w:rsidR="00FB3E63" w:rsidRPr="007D175C" w:rsidRDefault="00FB3E63" w:rsidP="009F1E8E">
      <w:pPr>
        <w:tabs>
          <w:tab w:val="left" w:pos="4395"/>
        </w:tabs>
        <w:rPr>
          <w:rFonts w:ascii="Arial" w:hAnsi="Arial" w:cs="Arial"/>
          <w:b/>
          <w:sz w:val="16"/>
          <w:szCs w:val="16"/>
        </w:rPr>
      </w:pPr>
    </w:p>
    <w:tbl>
      <w:tblPr>
        <w:tblW w:w="10676" w:type="dxa"/>
        <w:tblLook w:val="01E0" w:firstRow="1" w:lastRow="1" w:firstColumn="1" w:lastColumn="1" w:noHBand="0" w:noVBand="0"/>
      </w:tblPr>
      <w:tblGrid>
        <w:gridCol w:w="5338"/>
        <w:gridCol w:w="5338"/>
      </w:tblGrid>
      <w:tr w:rsidR="00CF4ED9" w:rsidRPr="007D175C" w14:paraId="25327AF5" w14:textId="77777777" w:rsidTr="003026CC">
        <w:trPr>
          <w:trHeight w:val="1"/>
        </w:trPr>
        <w:tc>
          <w:tcPr>
            <w:tcW w:w="5338" w:type="dxa"/>
            <w:shd w:val="clear" w:color="auto" w:fill="auto"/>
          </w:tcPr>
          <w:p w14:paraId="25327AF1"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Linde Gas a.s.</w:t>
            </w:r>
          </w:p>
          <w:p w14:paraId="25327AF2" w14:textId="7271F306"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w:t>
            </w:r>
            <w:r w:rsidR="000477ED">
              <w:rPr>
                <w:rFonts w:ascii="Arial" w:hAnsi="Arial" w:cs="Arial"/>
                <w:sz w:val="16"/>
                <w:szCs w:val="16"/>
              </w:rPr>
              <w:t>Bc. Petr Štolcar, Lenka Nesvadbová</w:t>
            </w:r>
            <w:r w:rsidRPr="007D175C">
              <w:rPr>
                <w:rFonts w:ascii="Arial" w:hAnsi="Arial" w:cs="Arial"/>
                <w:sz w:val="16"/>
                <w:szCs w:val="16"/>
              </w:rPr>
              <w:t xml:space="preserve"> / podpis / razítko)</w:t>
            </w:r>
          </w:p>
        </w:tc>
        <w:tc>
          <w:tcPr>
            <w:tcW w:w="5338" w:type="dxa"/>
            <w:shd w:val="clear" w:color="auto" w:fill="auto"/>
          </w:tcPr>
          <w:p w14:paraId="25327AF3"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zákazníka</w:t>
            </w:r>
          </w:p>
          <w:p w14:paraId="25327AF4" w14:textId="68988416"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 / podpis / razítko)</w:t>
            </w:r>
          </w:p>
        </w:tc>
      </w:tr>
    </w:tbl>
    <w:p w14:paraId="25327AF6" w14:textId="77777777" w:rsidR="00CF4ED9" w:rsidRPr="00DE0F2B" w:rsidRDefault="00CF4ED9" w:rsidP="00DE0F2B">
      <w:pPr>
        <w:rPr>
          <w:rFonts w:ascii="Arial" w:hAnsi="Arial" w:cs="Arial"/>
          <w:sz w:val="16"/>
          <w:szCs w:val="16"/>
        </w:rPr>
        <w:sectPr w:rsidR="00CF4ED9" w:rsidRPr="00DE0F2B" w:rsidSect="00D247E9">
          <w:headerReference w:type="default" r:id="rId13"/>
          <w:footerReference w:type="default" r:id="rId14"/>
          <w:footerReference w:type="first" r:id="rId15"/>
          <w:pgSz w:w="11907" w:h="16840" w:code="9"/>
          <w:pgMar w:top="284" w:right="567" w:bottom="340" w:left="851" w:header="284" w:footer="170" w:gutter="0"/>
          <w:cols w:space="708"/>
          <w:titlePg/>
          <w:docGrid w:linePitch="272"/>
        </w:sectPr>
      </w:pPr>
    </w:p>
    <w:p w14:paraId="25327AF7" w14:textId="77777777" w:rsidR="00CF4ED9" w:rsidRPr="003515BF" w:rsidRDefault="00CF4ED9" w:rsidP="003515BF">
      <w:pPr>
        <w:pStyle w:val="Nadpis4"/>
        <w:spacing w:line="240" w:lineRule="auto"/>
        <w:jc w:val="both"/>
        <w:rPr>
          <w:rFonts w:ascii="Arial" w:hAnsi="Arial" w:cs="Arial"/>
          <w:b/>
          <w:color w:val="auto"/>
          <w:sz w:val="16"/>
          <w:szCs w:val="16"/>
        </w:rPr>
      </w:pPr>
      <w:r w:rsidRPr="003515BF">
        <w:rPr>
          <w:rFonts w:ascii="Arial" w:hAnsi="Arial" w:cs="Arial"/>
          <w:b/>
          <w:color w:val="auto"/>
          <w:sz w:val="16"/>
          <w:szCs w:val="16"/>
        </w:rPr>
        <w:lastRenderedPageBreak/>
        <w:t xml:space="preserve">Všeobecné obchodní podmínky společnosti Linde Gas </w:t>
      </w:r>
      <w:proofErr w:type="gramStart"/>
      <w:r w:rsidRPr="003515BF">
        <w:rPr>
          <w:rFonts w:ascii="Arial" w:hAnsi="Arial" w:cs="Arial"/>
          <w:b/>
          <w:color w:val="auto"/>
          <w:sz w:val="16"/>
          <w:szCs w:val="16"/>
        </w:rPr>
        <w:t>a.s</w:t>
      </w:r>
      <w:proofErr w:type="gramEnd"/>
      <w:r w:rsidRPr="003515BF">
        <w:rPr>
          <w:rFonts w:ascii="Arial" w:hAnsi="Arial" w:cs="Arial"/>
          <w:b/>
          <w:color w:val="auto"/>
          <w:sz w:val="16"/>
          <w:szCs w:val="16"/>
        </w:rPr>
        <w:t>. pro dodávky kapalných plynů, plynů v lahvích, paletách, pevných svazcích, kontejnerech a trajlerech a ostatních produktů a služeb</w:t>
      </w:r>
    </w:p>
    <w:p w14:paraId="25327AF8" w14:textId="77777777" w:rsidR="00CF4ED9" w:rsidRPr="003515BF" w:rsidRDefault="00CF4ED9" w:rsidP="003515BF">
      <w:pPr>
        <w:spacing w:line="240" w:lineRule="auto"/>
        <w:jc w:val="both"/>
        <w:rPr>
          <w:rFonts w:ascii="Arial" w:hAnsi="Arial" w:cs="Arial"/>
          <w:sz w:val="16"/>
          <w:szCs w:val="16"/>
        </w:rPr>
      </w:pPr>
    </w:p>
    <w:p w14:paraId="25327AF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 Platnost</w:t>
      </w:r>
    </w:p>
    <w:p w14:paraId="25327AF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14:paraId="25327AF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14:paraId="25327AFC" w14:textId="77777777" w:rsidR="00CF4ED9" w:rsidRPr="003515BF" w:rsidRDefault="00CF4ED9" w:rsidP="003515BF">
      <w:pPr>
        <w:spacing w:line="240" w:lineRule="auto"/>
        <w:jc w:val="both"/>
        <w:rPr>
          <w:rFonts w:ascii="Arial" w:hAnsi="Arial" w:cs="Arial"/>
          <w:snapToGrid w:val="0"/>
          <w:sz w:val="11"/>
          <w:szCs w:val="11"/>
        </w:rPr>
      </w:pPr>
    </w:p>
    <w:p w14:paraId="25327AF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2. Doprava a zacházení s plyny, lahvemi, paletami, pevnými svazky a kontejnery</w:t>
      </w:r>
    </w:p>
    <w:p w14:paraId="25327AF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Doprava plynů včetně lahví, palet, pevných svazků a kontejnerů se provádí z rampy prodejního místa Linde Gas </w:t>
      </w:r>
      <w:proofErr w:type="gramStart"/>
      <w:r w:rsidRPr="003515BF">
        <w:rPr>
          <w:rFonts w:ascii="Arial" w:hAnsi="Arial" w:cs="Arial"/>
          <w:snapToGrid w:val="0"/>
          <w:sz w:val="11"/>
          <w:szCs w:val="11"/>
        </w:rPr>
        <w:t>a.s</w:t>
      </w:r>
      <w:proofErr w:type="gramEnd"/>
      <w:r w:rsidRPr="003515BF">
        <w:rPr>
          <w:rFonts w:ascii="Arial" w:hAnsi="Arial" w:cs="Arial"/>
          <w:snapToGrid w:val="0"/>
          <w:sz w:val="11"/>
          <w:szCs w:val="11"/>
        </w:rPr>
        <w:t xml:space="preserve">. (dále jen „Linde“). Při vlastním vyzvednutí nebo převzetí dopravcem, který </w:t>
      </w:r>
    </w:p>
    <w:p w14:paraId="25327AF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14:paraId="25327B00" w14:textId="77777777" w:rsidR="00CF4ED9" w:rsidRPr="003515BF" w:rsidRDefault="00CF4ED9" w:rsidP="003515BF">
      <w:pPr>
        <w:spacing w:line="240" w:lineRule="auto"/>
        <w:jc w:val="both"/>
        <w:rPr>
          <w:rFonts w:ascii="Arial" w:hAnsi="Arial" w:cs="Arial"/>
          <w:snapToGrid w:val="0"/>
          <w:sz w:val="11"/>
          <w:szCs w:val="11"/>
        </w:rPr>
      </w:pPr>
    </w:p>
    <w:p w14:paraId="25327B0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3. Dodávky plynů</w:t>
      </w:r>
    </w:p>
    <w:p w14:paraId="25327B0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w:t>
      </w:r>
    </w:p>
    <w:p w14:paraId="25327B0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zásobovacím zařízení dostatečnou zásobu, s přihlédnutím k jeho obvyklé spotřebě. </w:t>
      </w:r>
    </w:p>
    <w:p w14:paraId="25327B0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je povinen umožnit Linde dodávku technických plynů do zásobovacího zařízení kdykoliv 24 hodin denně a současně zajistit potvrzení převzetí dodávky odpovědným zástupcem.</w:t>
      </w:r>
    </w:p>
    <w:p w14:paraId="25327B0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dostatečné zásoby kapalných technických plynů v zásobovacím zařízení Linde. </w:t>
      </w:r>
    </w:p>
    <w:p w14:paraId="25327B06" w14:textId="77777777" w:rsidR="00CF4ED9" w:rsidRPr="003515BF" w:rsidRDefault="00CF4ED9" w:rsidP="003515BF">
      <w:pPr>
        <w:pStyle w:val="Zkladntextodsazen2"/>
        <w:ind w:left="0" w:firstLine="0"/>
        <w:rPr>
          <w:rFonts w:cs="Arial"/>
          <w:sz w:val="11"/>
          <w:szCs w:val="11"/>
        </w:rPr>
      </w:pPr>
      <w:r w:rsidRPr="003515BF">
        <w:rPr>
          <w:rFonts w:cs="Arial"/>
          <w:sz w:val="11"/>
          <w:szCs w:val="11"/>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14:paraId="25327B07" w14:textId="77777777" w:rsidR="00CF4ED9" w:rsidRPr="003515BF" w:rsidRDefault="00CF4ED9" w:rsidP="003515BF">
      <w:pPr>
        <w:pStyle w:val="Zkladntextodsazen2"/>
        <w:ind w:left="0" w:firstLine="0"/>
        <w:rPr>
          <w:rFonts w:cs="Arial"/>
          <w:sz w:val="11"/>
          <w:szCs w:val="11"/>
        </w:rPr>
      </w:pPr>
      <w:r w:rsidRPr="003515BF">
        <w:rPr>
          <w:rFonts w:cs="Arial"/>
          <w:sz w:val="11"/>
          <w:szCs w:val="11"/>
        </w:rPr>
        <w:t>Cena plynů, ostatních produktů a služeb se řídí dle aktuálního ceníku společnosti Linde.</w:t>
      </w:r>
    </w:p>
    <w:p w14:paraId="25327B08" w14:textId="77777777" w:rsidR="00CF4ED9" w:rsidRPr="003515BF" w:rsidRDefault="00CF4ED9" w:rsidP="003515BF">
      <w:pPr>
        <w:pStyle w:val="Zkladntextodsazen2"/>
        <w:ind w:left="0" w:firstLine="0"/>
        <w:rPr>
          <w:rFonts w:cs="Arial"/>
          <w:sz w:val="11"/>
          <w:szCs w:val="11"/>
        </w:rPr>
      </w:pPr>
    </w:p>
    <w:p w14:paraId="25327B0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4. Pronájem lahví, palet, pevných svazků a kontejnerů (dále i „distribuční prostředky“)</w:t>
      </w:r>
    </w:p>
    <w:p w14:paraId="25327B0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3515BF">
        <w:rPr>
          <w:rFonts w:ascii="Arial" w:hAnsi="Arial" w:cs="Arial"/>
          <w:sz w:val="11"/>
          <w:szCs w:val="11"/>
        </w:rPr>
        <w:t>Linde</w:t>
      </w:r>
      <w:r w:rsidRPr="003515BF">
        <w:rPr>
          <w:rFonts w:ascii="Arial" w:hAnsi="Arial" w:cs="Arial"/>
          <w:snapToGrid w:val="0"/>
          <w:sz w:val="11"/>
          <w:szCs w:val="11"/>
        </w:rPr>
        <w:t>, která je oprávněna tyto sazby upravovat i v průběhu nájemního vztahu.</w:t>
      </w:r>
    </w:p>
    <w:p w14:paraId="25327B0B" w14:textId="77777777" w:rsidR="00CF4ED9" w:rsidRPr="003515BF" w:rsidRDefault="00CF4ED9" w:rsidP="003515BF">
      <w:pPr>
        <w:pStyle w:val="Zkladntextodsazen3"/>
        <w:ind w:left="0"/>
        <w:rPr>
          <w:rFonts w:cs="Arial"/>
          <w:sz w:val="11"/>
          <w:szCs w:val="11"/>
        </w:rPr>
      </w:pPr>
      <w:r w:rsidRPr="003515BF">
        <w:rPr>
          <w:rFonts w:cs="Arial"/>
          <w:sz w:val="11"/>
          <w:szCs w:val="11"/>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14:paraId="25327B0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odpovídá za zcizení, ztrátu, odcizení, poškození, zničení nebo nevrácení jemu pronajatých distribučních prostředků. Přenechání distribučních prostředků třetí osobě není dovoleno.</w:t>
      </w:r>
    </w:p>
    <w:p w14:paraId="25327B0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Je zakázáno, aby zákazník měnil na jemu přiděleném čísle zákazníka větší počet distribučních prostředků, než má na tomto čísle od </w:t>
      </w:r>
      <w:r w:rsidRPr="003515BF">
        <w:rPr>
          <w:rFonts w:ascii="Arial" w:hAnsi="Arial" w:cs="Arial"/>
          <w:sz w:val="11"/>
          <w:szCs w:val="11"/>
        </w:rPr>
        <w:t>Linde</w:t>
      </w:r>
      <w:r w:rsidRPr="003515BF">
        <w:rPr>
          <w:rFonts w:ascii="Arial" w:hAnsi="Arial" w:cs="Arial"/>
          <w:snapToGrid w:val="0"/>
          <w:sz w:val="11"/>
          <w:szCs w:val="11"/>
        </w:rPr>
        <w:t xml:space="preserve"> pronajatých.</w:t>
      </w:r>
    </w:p>
    <w:p w14:paraId="25327B0E" w14:textId="77777777" w:rsidR="00CF4ED9" w:rsidRPr="003515BF" w:rsidRDefault="00CF4ED9" w:rsidP="003515BF">
      <w:pPr>
        <w:pStyle w:val="Zkladntext2"/>
        <w:rPr>
          <w:rFonts w:cs="Arial"/>
          <w:sz w:val="11"/>
          <w:szCs w:val="11"/>
        </w:rPr>
      </w:pPr>
      <w:r w:rsidRPr="003515BF">
        <w:rPr>
          <w:rFonts w:cs="Arial"/>
          <w:sz w:val="11"/>
          <w:szCs w:val="11"/>
        </w:rPr>
        <w:t>Distribuční prostředky může zákazník kdykoli vrátit na své náklady prodejnímu místu Linde v jeho prodejní době. O vrácení musí být zákazníkovi vydáno písemné potvrzení prodejního místa Linde.</w:t>
      </w:r>
    </w:p>
    <w:p w14:paraId="25327B0F" w14:textId="77777777" w:rsidR="00CF4ED9" w:rsidRPr="003515BF" w:rsidRDefault="00CF4ED9" w:rsidP="003515BF">
      <w:pPr>
        <w:spacing w:line="240" w:lineRule="auto"/>
        <w:jc w:val="both"/>
        <w:rPr>
          <w:rFonts w:ascii="Arial" w:hAnsi="Arial" w:cs="Arial"/>
          <w:sz w:val="11"/>
          <w:szCs w:val="11"/>
        </w:rPr>
      </w:pPr>
      <w:r w:rsidRPr="003515BF">
        <w:rPr>
          <w:rFonts w:ascii="Arial" w:hAnsi="Arial" w:cs="Arial"/>
          <w:snapToGrid w:val="0"/>
          <w:sz w:val="11"/>
          <w:szCs w:val="11"/>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14:paraId="25327B1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povinen neprodleně oznámit </w:t>
      </w:r>
      <w:r w:rsidRPr="003515BF">
        <w:rPr>
          <w:rFonts w:ascii="Arial" w:hAnsi="Arial" w:cs="Arial"/>
          <w:sz w:val="11"/>
          <w:szCs w:val="11"/>
        </w:rPr>
        <w:t>Linde</w:t>
      </w:r>
      <w:r w:rsidRPr="003515BF">
        <w:rPr>
          <w:rFonts w:ascii="Arial" w:hAnsi="Arial" w:cs="Arial"/>
          <w:snapToGrid w:val="0"/>
          <w:sz w:val="11"/>
          <w:szCs w:val="11"/>
        </w:rPr>
        <w:t xml:space="preserve"> veškeré změny týkající se jeho osoby, které by mohly mít vliv na obchodní vztah mezi ním a </w:t>
      </w:r>
      <w:r w:rsidRPr="003515BF">
        <w:rPr>
          <w:rFonts w:ascii="Arial" w:hAnsi="Arial" w:cs="Arial"/>
          <w:sz w:val="11"/>
          <w:szCs w:val="11"/>
        </w:rPr>
        <w:t>Linde</w:t>
      </w:r>
      <w:r w:rsidRPr="003515BF">
        <w:rPr>
          <w:rFonts w:ascii="Arial" w:hAnsi="Arial" w:cs="Arial"/>
          <w:snapToGrid w:val="0"/>
          <w:sz w:val="11"/>
          <w:szCs w:val="11"/>
        </w:rPr>
        <w:t>, zejména změny jména, firmy, sídla (bydliště), provozovny, či změnu registrace k DPH. Zadržovací právo na pronajaté distribuční prostředky se po dobu trvání nájemní smlouvy vylučuje.</w:t>
      </w:r>
    </w:p>
    <w:p w14:paraId="25327B1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Nájemné je splatné a je účtováno nejméně jednou měsíčně.</w:t>
      </w:r>
    </w:p>
    <w:p w14:paraId="25327B1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 </w:t>
      </w:r>
    </w:p>
    <w:p w14:paraId="25327B1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5. Kauce (finanční jistina za vrácení majetku </w:t>
      </w:r>
      <w:r w:rsidRPr="003515BF">
        <w:rPr>
          <w:rFonts w:ascii="Arial" w:hAnsi="Arial" w:cs="Arial"/>
          <w:b/>
          <w:sz w:val="11"/>
          <w:szCs w:val="11"/>
        </w:rPr>
        <w:t>Linde</w:t>
      </w:r>
      <w:r w:rsidRPr="003515BF">
        <w:rPr>
          <w:rFonts w:ascii="Arial" w:hAnsi="Arial" w:cs="Arial"/>
          <w:b/>
          <w:snapToGrid w:val="0"/>
          <w:sz w:val="11"/>
          <w:szCs w:val="11"/>
        </w:rPr>
        <w:t>)</w:t>
      </w:r>
    </w:p>
    <w:p w14:paraId="25327B1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3515BF">
        <w:rPr>
          <w:rFonts w:ascii="Arial" w:hAnsi="Arial" w:cs="Arial"/>
          <w:sz w:val="11"/>
          <w:szCs w:val="11"/>
        </w:rPr>
        <w:t>Linde</w:t>
      </w:r>
      <w:r w:rsidRPr="003515BF">
        <w:rPr>
          <w:rFonts w:ascii="Arial" w:hAnsi="Arial" w:cs="Arial"/>
          <w:snapToGrid w:val="0"/>
          <w:sz w:val="11"/>
          <w:szCs w:val="11"/>
        </w:rPr>
        <w:t xml:space="preserve">, po zápočtu nákladů vzniklých </w:t>
      </w:r>
      <w:r w:rsidRPr="003515BF">
        <w:rPr>
          <w:rFonts w:ascii="Arial" w:hAnsi="Arial" w:cs="Arial"/>
          <w:sz w:val="11"/>
          <w:szCs w:val="11"/>
        </w:rPr>
        <w:t>Linde</w:t>
      </w:r>
      <w:r w:rsidRPr="003515BF">
        <w:rPr>
          <w:rFonts w:ascii="Arial" w:hAnsi="Arial" w:cs="Arial"/>
          <w:snapToGrid w:val="0"/>
          <w:sz w:val="11"/>
          <w:szCs w:val="11"/>
        </w:rPr>
        <w:t xml:space="preserve"> za náhradní opatření, odstranění škod nebo nečistot a dalších závazků. </w:t>
      </w:r>
    </w:p>
    <w:p w14:paraId="25327B1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Za den úhrady závazků zápočtem je považován den vyhotovení zápočtu.</w:t>
      </w:r>
    </w:p>
    <w:p w14:paraId="25327B16" w14:textId="77777777" w:rsidR="00CF4ED9" w:rsidRPr="003515BF" w:rsidRDefault="00CF4ED9" w:rsidP="003515BF">
      <w:pPr>
        <w:spacing w:line="240" w:lineRule="auto"/>
        <w:jc w:val="both"/>
        <w:rPr>
          <w:rFonts w:ascii="Arial" w:hAnsi="Arial" w:cs="Arial"/>
          <w:snapToGrid w:val="0"/>
          <w:sz w:val="11"/>
          <w:szCs w:val="11"/>
        </w:rPr>
      </w:pPr>
    </w:p>
    <w:p w14:paraId="25327B1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6. Smluvní pokuta</w:t>
      </w:r>
    </w:p>
    <w:p w14:paraId="25327B1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Při zcizení, odcizení, poškození, zničení nebo nevrácení distribučních prostředků je zákazník povinen zaplatit </w:t>
      </w:r>
      <w:r w:rsidRPr="003515BF">
        <w:rPr>
          <w:rFonts w:ascii="Arial" w:hAnsi="Arial" w:cs="Arial"/>
          <w:sz w:val="11"/>
          <w:szCs w:val="11"/>
        </w:rPr>
        <w:t>Linde</w:t>
      </w:r>
      <w:r w:rsidRPr="003515BF">
        <w:rPr>
          <w:rFonts w:ascii="Arial" w:hAnsi="Arial" w:cs="Arial"/>
          <w:snapToGrid w:val="0"/>
          <w:sz w:val="11"/>
          <w:szCs w:val="11"/>
        </w:rPr>
        <w:t xml:space="preserve"> smluvní pokutu za každou tlakovou lahev 4.000</w:t>
      </w:r>
      <w:proofErr w:type="gramStart"/>
      <w:r w:rsidRPr="003515BF">
        <w:rPr>
          <w:rFonts w:ascii="Arial" w:hAnsi="Arial" w:cs="Arial"/>
          <w:snapToGrid w:val="0"/>
          <w:sz w:val="11"/>
          <w:szCs w:val="11"/>
        </w:rPr>
        <w:t>,-</w:t>
      </w:r>
      <w:proofErr w:type="gramEnd"/>
      <w:r w:rsidRPr="003515BF">
        <w:rPr>
          <w:rFonts w:ascii="Arial" w:hAnsi="Arial" w:cs="Arial"/>
          <w:snapToGrid w:val="0"/>
          <w:sz w:val="11"/>
          <w:szCs w:val="11"/>
        </w:rPr>
        <w:t xml:space="preserve"> Kč, za každou přepravní paletu 5.000,- Kč, za každý pevný svazek 80.000,- Kč (včetně lahví ve svazku) a za každý kontejner 100.000,- Kč. Smluvní pokutou není dotčeno právo </w:t>
      </w:r>
      <w:r w:rsidRPr="003515BF">
        <w:rPr>
          <w:rFonts w:ascii="Arial" w:hAnsi="Arial" w:cs="Arial"/>
          <w:sz w:val="11"/>
          <w:szCs w:val="11"/>
        </w:rPr>
        <w:t>Linde</w:t>
      </w:r>
      <w:r w:rsidRPr="003515BF">
        <w:rPr>
          <w:rFonts w:ascii="Arial" w:hAnsi="Arial" w:cs="Arial"/>
          <w:snapToGrid w:val="0"/>
          <w:sz w:val="11"/>
          <w:szCs w:val="11"/>
        </w:rPr>
        <w:t xml:space="preserve"> na náhradu škody, kterou je oprávněna vymáhat samostatně.</w:t>
      </w:r>
    </w:p>
    <w:p w14:paraId="25327B19" w14:textId="77777777" w:rsidR="00CF4ED9" w:rsidRPr="003515BF" w:rsidRDefault="00CF4ED9" w:rsidP="003515BF">
      <w:pPr>
        <w:spacing w:line="240" w:lineRule="auto"/>
        <w:jc w:val="both"/>
        <w:rPr>
          <w:rFonts w:ascii="Arial" w:hAnsi="Arial" w:cs="Arial"/>
          <w:snapToGrid w:val="0"/>
          <w:sz w:val="11"/>
          <w:szCs w:val="11"/>
        </w:rPr>
      </w:pPr>
    </w:p>
    <w:p w14:paraId="25327B1A"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7. Lahve zákazníků</w:t>
      </w:r>
    </w:p>
    <w:p w14:paraId="25327B1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14:paraId="25327B1C" w14:textId="77777777" w:rsidR="00CF4ED9" w:rsidRPr="003515BF" w:rsidRDefault="00CF4ED9" w:rsidP="003515BF">
      <w:pPr>
        <w:spacing w:line="240" w:lineRule="auto"/>
        <w:jc w:val="both"/>
        <w:rPr>
          <w:rFonts w:ascii="Arial" w:hAnsi="Arial" w:cs="Arial"/>
          <w:snapToGrid w:val="0"/>
          <w:sz w:val="11"/>
          <w:szCs w:val="11"/>
        </w:rPr>
      </w:pPr>
    </w:p>
    <w:p w14:paraId="25327B1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8. Platební podmínky</w:t>
      </w:r>
    </w:p>
    <w:p w14:paraId="25327B1E" w14:textId="77777777" w:rsidR="00CF4ED9" w:rsidRPr="003515BF" w:rsidRDefault="00CF4ED9" w:rsidP="003515BF">
      <w:pPr>
        <w:pStyle w:val="Zkladntext3"/>
        <w:rPr>
          <w:rFonts w:cs="Arial"/>
          <w:color w:val="auto"/>
          <w:sz w:val="11"/>
          <w:szCs w:val="11"/>
        </w:rPr>
      </w:pPr>
      <w:r w:rsidRPr="003515BF">
        <w:rPr>
          <w:rFonts w:cs="Arial"/>
          <w:color w:val="auto"/>
          <w:sz w:val="11"/>
          <w:szCs w:val="11"/>
        </w:rPr>
        <w:t>Linde je oprávněna požadovat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14:paraId="25327B1F" w14:textId="77777777" w:rsidR="00CF4ED9" w:rsidRPr="003515BF" w:rsidRDefault="00CF4ED9" w:rsidP="003515BF">
      <w:pPr>
        <w:pStyle w:val="Zkladntext3"/>
        <w:rPr>
          <w:rFonts w:cs="Arial"/>
          <w:color w:val="auto"/>
          <w:sz w:val="11"/>
          <w:szCs w:val="11"/>
        </w:rPr>
      </w:pPr>
    </w:p>
    <w:p w14:paraId="25327B20"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9. Výhrada vlastnictví</w:t>
      </w:r>
    </w:p>
    <w:p w14:paraId="25327B2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Až do úplného vyrovnání závazků zákazníkem zůstává dodané zboží vlastnictvím </w:t>
      </w:r>
      <w:r w:rsidRPr="003515BF">
        <w:rPr>
          <w:rFonts w:ascii="Arial" w:hAnsi="Arial" w:cs="Arial"/>
          <w:sz w:val="11"/>
          <w:szCs w:val="11"/>
        </w:rPr>
        <w:t>Linde</w:t>
      </w:r>
      <w:r w:rsidRPr="003515BF">
        <w:rPr>
          <w:rFonts w:ascii="Arial" w:hAnsi="Arial" w:cs="Arial"/>
          <w:snapToGrid w:val="0"/>
          <w:sz w:val="11"/>
          <w:szCs w:val="11"/>
        </w:rPr>
        <w:t>.</w:t>
      </w:r>
    </w:p>
    <w:p w14:paraId="25327B22" w14:textId="77777777" w:rsidR="00CF4ED9" w:rsidRPr="003515BF" w:rsidRDefault="00CF4ED9" w:rsidP="003515BF">
      <w:pPr>
        <w:spacing w:line="240" w:lineRule="auto"/>
        <w:jc w:val="both"/>
        <w:rPr>
          <w:rFonts w:ascii="Arial" w:hAnsi="Arial" w:cs="Arial"/>
          <w:snapToGrid w:val="0"/>
          <w:sz w:val="11"/>
          <w:szCs w:val="11"/>
        </w:rPr>
      </w:pPr>
    </w:p>
    <w:p w14:paraId="25327B2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10. Prodlení</w:t>
      </w:r>
    </w:p>
    <w:p w14:paraId="25327B2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opožděných dodávek nebo výpadku v dodávkách může zákazník, pokud </w:t>
      </w:r>
      <w:r w:rsidRPr="003515BF">
        <w:rPr>
          <w:rFonts w:ascii="Arial" w:hAnsi="Arial" w:cs="Arial"/>
          <w:sz w:val="11"/>
          <w:szCs w:val="11"/>
        </w:rPr>
        <w:t>Linde</w:t>
      </w:r>
      <w:r w:rsidRPr="003515BF">
        <w:rPr>
          <w:rFonts w:ascii="Arial" w:hAnsi="Arial" w:cs="Arial"/>
          <w:snapToGrid w:val="0"/>
          <w:sz w:val="11"/>
          <w:szCs w:val="11"/>
        </w:rPr>
        <w:t xml:space="preserve"> nesplní dodávku v náhradní lhůtě, odstoupit od smlouvy. Škody takto vzniklé jsou hrazeny podle zákona </w:t>
      </w:r>
    </w:p>
    <w:p w14:paraId="25327B2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a těchto podmínek.</w:t>
      </w:r>
    </w:p>
    <w:p w14:paraId="25327B26" w14:textId="77777777" w:rsidR="00CF4ED9" w:rsidRPr="003515BF" w:rsidRDefault="00CF4ED9" w:rsidP="003515BF">
      <w:pPr>
        <w:spacing w:line="240" w:lineRule="auto"/>
        <w:jc w:val="both"/>
        <w:rPr>
          <w:rFonts w:ascii="Arial" w:hAnsi="Arial" w:cs="Arial"/>
          <w:snapToGrid w:val="0"/>
          <w:sz w:val="11"/>
          <w:szCs w:val="11"/>
        </w:rPr>
      </w:pPr>
    </w:p>
    <w:p w14:paraId="25327B2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11. Odpovědnost za škodu</w:t>
      </w:r>
    </w:p>
    <w:p w14:paraId="25327B2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že je </w:t>
      </w:r>
      <w:r w:rsidRPr="003515BF">
        <w:rPr>
          <w:rFonts w:ascii="Arial" w:hAnsi="Arial" w:cs="Arial"/>
          <w:sz w:val="11"/>
          <w:szCs w:val="11"/>
        </w:rPr>
        <w:t>Linde</w:t>
      </w:r>
      <w:r w:rsidRPr="003515BF">
        <w:rPr>
          <w:rFonts w:ascii="Arial" w:hAnsi="Arial" w:cs="Arial"/>
          <w:snapToGrid w:val="0"/>
          <w:sz w:val="11"/>
          <w:szCs w:val="11"/>
        </w:rPr>
        <w:t xml:space="preserve"> za podmínek daných zákonem povinna nahradit zákazníkovi způsobenou škodu, dohodly si smluvní strany rozsah náhrady škody tak, že </w:t>
      </w:r>
      <w:r w:rsidRPr="003515BF">
        <w:rPr>
          <w:rFonts w:ascii="Arial" w:hAnsi="Arial" w:cs="Arial"/>
          <w:sz w:val="11"/>
          <w:szCs w:val="11"/>
        </w:rPr>
        <w:t>Linde</w:t>
      </w:r>
      <w:r w:rsidRPr="003515BF">
        <w:rPr>
          <w:rFonts w:ascii="Arial" w:hAnsi="Arial" w:cs="Arial"/>
          <w:snapToGrid w:val="0"/>
          <w:sz w:val="11"/>
          <w:szCs w:val="11"/>
        </w:rPr>
        <w:t xml:space="preserve"> uhradí zákazníkovi škodu </w:t>
      </w:r>
    </w:p>
    <w:p w14:paraId="25327B29" w14:textId="77777777" w:rsidR="00CF4ED9" w:rsidRPr="003515BF" w:rsidRDefault="00CF4ED9" w:rsidP="003515BF">
      <w:pPr>
        <w:spacing w:line="240" w:lineRule="auto"/>
        <w:jc w:val="both"/>
        <w:rPr>
          <w:rFonts w:ascii="Arial" w:hAnsi="Arial" w:cs="Arial"/>
          <w:snapToGrid w:val="0"/>
          <w:sz w:val="11"/>
          <w:szCs w:val="11"/>
        </w:rPr>
      </w:pPr>
      <w:proofErr w:type="gramStart"/>
      <w:r w:rsidRPr="003515BF">
        <w:rPr>
          <w:rFonts w:ascii="Arial" w:hAnsi="Arial" w:cs="Arial"/>
          <w:snapToGrid w:val="0"/>
          <w:sz w:val="11"/>
          <w:szCs w:val="11"/>
        </w:rPr>
        <w:t>v</w:t>
      </w:r>
      <w:proofErr w:type="gramEnd"/>
      <w:r w:rsidRPr="003515BF">
        <w:rPr>
          <w:rFonts w:ascii="Arial" w:hAnsi="Arial" w:cs="Arial"/>
          <w:snapToGrid w:val="0"/>
          <w:sz w:val="11"/>
          <w:szCs w:val="11"/>
        </w:rPr>
        <w:t xml:space="preserve"> prokázané výši, nejvýše však částku 20 000 000,- Kč. Právo na náhradu škody a vydání bezdůvodného obohacení se promlčují v tříleté promlčecí době.</w:t>
      </w:r>
    </w:p>
    <w:p w14:paraId="25327B2A" w14:textId="77777777" w:rsidR="00CF4ED9" w:rsidRPr="003515BF" w:rsidRDefault="00CF4ED9" w:rsidP="003515BF">
      <w:pPr>
        <w:spacing w:line="240" w:lineRule="auto"/>
        <w:jc w:val="both"/>
        <w:rPr>
          <w:rFonts w:ascii="Arial" w:hAnsi="Arial" w:cs="Arial"/>
          <w:snapToGrid w:val="0"/>
          <w:sz w:val="11"/>
          <w:szCs w:val="11"/>
        </w:rPr>
      </w:pPr>
    </w:p>
    <w:p w14:paraId="25327B2B" w14:textId="77777777" w:rsidR="00CF4ED9" w:rsidRPr="003515BF" w:rsidRDefault="00CF4ED9" w:rsidP="003515BF">
      <w:pPr>
        <w:tabs>
          <w:tab w:val="left" w:pos="4185"/>
        </w:tabs>
        <w:spacing w:line="240" w:lineRule="auto"/>
        <w:jc w:val="both"/>
        <w:rPr>
          <w:rFonts w:ascii="Arial" w:hAnsi="Arial" w:cs="Arial"/>
          <w:b/>
          <w:snapToGrid w:val="0"/>
          <w:sz w:val="11"/>
          <w:szCs w:val="11"/>
        </w:rPr>
      </w:pPr>
      <w:r w:rsidRPr="003515BF">
        <w:rPr>
          <w:rFonts w:ascii="Arial" w:hAnsi="Arial" w:cs="Arial"/>
          <w:b/>
          <w:snapToGrid w:val="0"/>
          <w:sz w:val="11"/>
          <w:szCs w:val="11"/>
        </w:rPr>
        <w:t>12. Záruka za vadné plnění</w:t>
      </w:r>
    </w:p>
    <w:p w14:paraId="25327B2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Pokud je dodávka vadná nebo neodpovídá množství dodaného plynu, má zákazník právo uplatnit reklamaci, která se řídí platnou legislativou a vnitřními předpisy </w:t>
      </w:r>
      <w:r w:rsidRPr="003515BF">
        <w:rPr>
          <w:rFonts w:ascii="Arial" w:hAnsi="Arial" w:cs="Arial"/>
          <w:sz w:val="11"/>
          <w:szCs w:val="11"/>
        </w:rPr>
        <w:t>Linde</w:t>
      </w:r>
      <w:r w:rsidRPr="003515BF">
        <w:rPr>
          <w:rFonts w:ascii="Arial" w:hAnsi="Arial" w:cs="Arial"/>
          <w:snapToGrid w:val="0"/>
          <w:sz w:val="11"/>
          <w:szCs w:val="11"/>
        </w:rPr>
        <w:t>.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dodávky a nebo požadovat zrušení dodávky.</w:t>
      </w:r>
    </w:p>
    <w:p w14:paraId="25327B2D" w14:textId="77777777" w:rsidR="00CF4ED9" w:rsidRPr="003515BF" w:rsidRDefault="00CF4ED9" w:rsidP="003515BF">
      <w:pPr>
        <w:spacing w:line="240" w:lineRule="auto"/>
        <w:jc w:val="both"/>
        <w:rPr>
          <w:rFonts w:ascii="Arial" w:hAnsi="Arial" w:cs="Arial"/>
          <w:snapToGrid w:val="0"/>
          <w:sz w:val="11"/>
          <w:szCs w:val="11"/>
        </w:rPr>
      </w:pPr>
    </w:p>
    <w:p w14:paraId="25327B2E"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13. Vyšší moc</w:t>
      </w:r>
    </w:p>
    <w:p w14:paraId="25327B2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případy vyšší moci, jakož i provozní, dopravní a energetické poruchy, stávky, výluky, osvobozují toho, kdo je jimi postižen, </w:t>
      </w:r>
      <w:proofErr w:type="gramStart"/>
      <w:r w:rsidRPr="003515BF">
        <w:rPr>
          <w:rFonts w:ascii="Arial" w:hAnsi="Arial" w:cs="Arial"/>
          <w:snapToGrid w:val="0"/>
          <w:sz w:val="11"/>
          <w:szCs w:val="11"/>
        </w:rPr>
        <w:t>od</w:t>
      </w:r>
      <w:proofErr w:type="gramEnd"/>
      <w:r w:rsidRPr="003515BF">
        <w:rPr>
          <w:rFonts w:ascii="Arial" w:hAnsi="Arial" w:cs="Arial"/>
          <w:snapToGrid w:val="0"/>
          <w:sz w:val="11"/>
          <w:szCs w:val="11"/>
        </w:rPr>
        <w:t xml:space="preserve"> smluvních povinností po dobu a v rozsahu účinnosti těchto událostí. To platí také tehdy, když uvedené okolnosti nastanou u subdodavatelů.</w:t>
      </w:r>
    </w:p>
    <w:p w14:paraId="25327B30" w14:textId="77777777" w:rsidR="00CF4ED9" w:rsidRPr="003515BF" w:rsidRDefault="00CF4ED9" w:rsidP="003515BF">
      <w:pPr>
        <w:spacing w:line="240" w:lineRule="auto"/>
        <w:jc w:val="both"/>
        <w:rPr>
          <w:rFonts w:ascii="Arial" w:hAnsi="Arial" w:cs="Arial"/>
          <w:snapToGrid w:val="0"/>
          <w:sz w:val="11"/>
          <w:szCs w:val="11"/>
        </w:rPr>
      </w:pPr>
    </w:p>
    <w:p w14:paraId="25327B3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14. Zajištění množství</w:t>
      </w:r>
    </w:p>
    <w:p w14:paraId="25327B32" w14:textId="77777777" w:rsidR="00CF4ED9" w:rsidRPr="003515BF" w:rsidRDefault="00CF4ED9" w:rsidP="003515BF">
      <w:pPr>
        <w:pStyle w:val="Zkladntextodsazen2"/>
        <w:ind w:left="0" w:firstLine="0"/>
        <w:rPr>
          <w:rFonts w:cs="Arial"/>
          <w:sz w:val="11"/>
          <w:szCs w:val="11"/>
        </w:rPr>
      </w:pPr>
      <w:r w:rsidRPr="003515BF">
        <w:rPr>
          <w:rFonts w:cs="Arial"/>
          <w:sz w:val="11"/>
          <w:szCs w:val="11"/>
        </w:rPr>
        <w:t>Pokud je údaj o množství v lahvích v ”m</w:t>
      </w:r>
      <w:r w:rsidRPr="003515BF">
        <w:rPr>
          <w:rFonts w:cs="Arial"/>
          <w:sz w:val="11"/>
          <w:szCs w:val="11"/>
          <w:vertAlign w:val="superscript"/>
        </w:rPr>
        <w:t>3</w:t>
      </w:r>
      <w:r w:rsidRPr="003515BF">
        <w:rPr>
          <w:rFonts w:cs="Arial"/>
          <w:sz w:val="11"/>
          <w:szCs w:val="11"/>
        </w:rPr>
        <w:t>”, pak se vztahuje na stav plynu při 15°C a tlaku 0,1 MPa. Zbytkové obsahy u vrácených distribučních prostředků nepodléhají náhradě.</w:t>
      </w:r>
    </w:p>
    <w:p w14:paraId="25327B33" w14:textId="77777777" w:rsidR="00CF4ED9" w:rsidRPr="003515BF" w:rsidRDefault="00CF4ED9" w:rsidP="003515BF">
      <w:pPr>
        <w:pStyle w:val="Zkladntextodsazen2"/>
        <w:ind w:left="0" w:firstLine="0"/>
        <w:rPr>
          <w:rFonts w:cs="Arial"/>
          <w:sz w:val="11"/>
          <w:szCs w:val="11"/>
        </w:rPr>
      </w:pPr>
    </w:p>
    <w:p w14:paraId="25327B34"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15. Dodávky prostřednictvím třetí osoby</w:t>
      </w:r>
    </w:p>
    <w:p w14:paraId="25327B3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Linde je oprávněna splnit své dodavatelské povinnosti prostřednictvím třetí osoby.</w:t>
      </w:r>
    </w:p>
    <w:p w14:paraId="25327B36" w14:textId="77777777" w:rsidR="00CF4ED9" w:rsidRPr="003515BF" w:rsidRDefault="00CF4ED9" w:rsidP="003515BF">
      <w:pPr>
        <w:spacing w:line="240" w:lineRule="auto"/>
        <w:jc w:val="both"/>
        <w:rPr>
          <w:rFonts w:ascii="Arial" w:hAnsi="Arial" w:cs="Arial"/>
          <w:snapToGrid w:val="0"/>
          <w:sz w:val="11"/>
          <w:szCs w:val="11"/>
        </w:rPr>
      </w:pPr>
    </w:p>
    <w:p w14:paraId="25327B37" w14:textId="77777777" w:rsidR="00CF4ED9" w:rsidRPr="003515BF" w:rsidRDefault="00CF4ED9" w:rsidP="003515BF">
      <w:pPr>
        <w:pStyle w:val="Zkladntext"/>
        <w:rPr>
          <w:rFonts w:cs="Arial"/>
          <w:sz w:val="11"/>
          <w:szCs w:val="11"/>
        </w:rPr>
      </w:pPr>
      <w:r w:rsidRPr="003515BF">
        <w:rPr>
          <w:rFonts w:cs="Arial"/>
          <w:b/>
          <w:sz w:val="11"/>
          <w:szCs w:val="11"/>
        </w:rPr>
        <w:t>16. Poplatky</w:t>
      </w:r>
    </w:p>
    <w:p w14:paraId="25327B38" w14:textId="77777777" w:rsidR="00CF4ED9" w:rsidRPr="003515BF" w:rsidRDefault="00CF4ED9" w:rsidP="003515BF">
      <w:pPr>
        <w:pStyle w:val="Zkladntext"/>
        <w:rPr>
          <w:rFonts w:cs="Arial"/>
          <w:sz w:val="11"/>
          <w:szCs w:val="11"/>
        </w:rPr>
      </w:pPr>
      <w:r w:rsidRPr="003515BF">
        <w:rPr>
          <w:rFonts w:cs="Arial"/>
          <w:sz w:val="11"/>
          <w:szCs w:val="11"/>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14:paraId="25327B39" w14:textId="77777777" w:rsidR="00CF4ED9" w:rsidRPr="003515BF" w:rsidRDefault="00CF4ED9" w:rsidP="003515BF">
      <w:pPr>
        <w:pStyle w:val="Zkladntext"/>
        <w:rPr>
          <w:rFonts w:cs="Arial"/>
          <w:sz w:val="11"/>
          <w:szCs w:val="11"/>
        </w:rPr>
      </w:pPr>
    </w:p>
    <w:p w14:paraId="25327B3A"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17. Změny smlouvy</w:t>
      </w:r>
    </w:p>
    <w:p w14:paraId="25327B3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Změny a doplňky sjednaných podmínek se vyžadují písemnou formou. Písemnou formou se nerozumí forma elektronické komunikace.</w:t>
      </w:r>
    </w:p>
    <w:p w14:paraId="25327B3C" w14:textId="77777777" w:rsidR="00CF4ED9" w:rsidRPr="003515BF" w:rsidRDefault="00CF4ED9" w:rsidP="003515BF">
      <w:pPr>
        <w:spacing w:line="240" w:lineRule="auto"/>
        <w:jc w:val="both"/>
        <w:rPr>
          <w:rFonts w:ascii="Arial" w:hAnsi="Arial" w:cs="Arial"/>
          <w:snapToGrid w:val="0"/>
          <w:sz w:val="11"/>
          <w:szCs w:val="11"/>
        </w:rPr>
      </w:pPr>
    </w:p>
    <w:p w14:paraId="25327B3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18. Řešení sporů</w:t>
      </w:r>
    </w:p>
    <w:p w14:paraId="25327B3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Pro řešení všech sporů mezi zákazníkem a </w:t>
      </w:r>
      <w:r w:rsidRPr="003515BF">
        <w:rPr>
          <w:rFonts w:ascii="Arial" w:hAnsi="Arial" w:cs="Arial"/>
          <w:sz w:val="11"/>
          <w:szCs w:val="11"/>
        </w:rPr>
        <w:t>Linde</w:t>
      </w:r>
      <w:r w:rsidRPr="003515BF">
        <w:rPr>
          <w:rFonts w:ascii="Arial" w:hAnsi="Arial" w:cs="Arial"/>
          <w:snapToGrid w:val="0"/>
          <w:sz w:val="11"/>
          <w:szCs w:val="11"/>
        </w:rPr>
        <w:t xml:space="preserve"> je, za dodržení příslušnosti věcné, místně příslušný soud, v jehož obvodu je sídlo </w:t>
      </w:r>
      <w:r w:rsidRPr="003515BF">
        <w:rPr>
          <w:rFonts w:ascii="Arial" w:hAnsi="Arial" w:cs="Arial"/>
          <w:sz w:val="11"/>
          <w:szCs w:val="11"/>
        </w:rPr>
        <w:t>Linde</w:t>
      </w:r>
      <w:r w:rsidRPr="003515BF">
        <w:rPr>
          <w:rFonts w:ascii="Arial" w:hAnsi="Arial" w:cs="Arial"/>
          <w:snapToGrid w:val="0"/>
          <w:sz w:val="11"/>
          <w:szCs w:val="11"/>
        </w:rPr>
        <w:t>.</w:t>
      </w:r>
    </w:p>
    <w:p w14:paraId="25327B3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případě, že je zákazník spotřebitelem, je subjektem řešení mimosoudních sporů Česká obchodní inspekce, bližší informace na www.coi.cz.</w:t>
      </w:r>
    </w:p>
    <w:p w14:paraId="25327B40" w14:textId="77777777" w:rsidR="00CF4ED9" w:rsidRPr="003515BF" w:rsidRDefault="00CF4ED9" w:rsidP="003515BF">
      <w:pPr>
        <w:spacing w:line="240" w:lineRule="auto"/>
        <w:jc w:val="both"/>
        <w:rPr>
          <w:rFonts w:ascii="Arial" w:hAnsi="Arial" w:cs="Arial"/>
          <w:snapToGrid w:val="0"/>
          <w:sz w:val="11"/>
          <w:szCs w:val="11"/>
        </w:rPr>
      </w:pPr>
    </w:p>
    <w:p w14:paraId="25327B41"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19. Prohlášení o shodě</w:t>
      </w:r>
    </w:p>
    <w:p w14:paraId="25327B42" w14:textId="77777777" w:rsidR="00CF4ED9" w:rsidRPr="003515BF" w:rsidRDefault="00CF4ED9" w:rsidP="003515BF">
      <w:pPr>
        <w:pStyle w:val="Zkladntextodsazen2"/>
        <w:widowControl w:val="0"/>
        <w:ind w:left="0" w:firstLine="0"/>
        <w:rPr>
          <w:rFonts w:cs="Arial"/>
          <w:sz w:val="11"/>
          <w:szCs w:val="11"/>
        </w:rPr>
      </w:pPr>
      <w:r w:rsidRPr="003515BF">
        <w:rPr>
          <w:rFonts w:cs="Arial"/>
          <w:sz w:val="11"/>
          <w:szCs w:val="11"/>
        </w:rPr>
        <w:t>Linde vlastní ”Prohlášení o shodě” na ocelové tlakové lahve včetně svařovaných, které mu dodavatel lahví poskytuje na lahve vyrobené po 1.9.1997, používané k distribuci plynů.</w:t>
      </w:r>
    </w:p>
    <w:p w14:paraId="25327B43" w14:textId="77777777" w:rsidR="00CF4ED9" w:rsidRPr="003515BF" w:rsidRDefault="00CF4ED9" w:rsidP="003515BF">
      <w:pPr>
        <w:pStyle w:val="Zkladntextodsazen2"/>
        <w:widowControl w:val="0"/>
        <w:ind w:left="0" w:firstLine="0"/>
        <w:rPr>
          <w:rFonts w:cs="Arial"/>
          <w:sz w:val="11"/>
          <w:szCs w:val="11"/>
        </w:rPr>
      </w:pPr>
    </w:p>
    <w:p w14:paraId="25327B44"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20. Výrobky vyhovují ČSN nebo specifikaci </w:t>
      </w:r>
      <w:r w:rsidRPr="003515BF">
        <w:rPr>
          <w:rFonts w:ascii="Arial" w:hAnsi="Arial" w:cs="Arial"/>
          <w:b/>
          <w:sz w:val="11"/>
          <w:szCs w:val="11"/>
        </w:rPr>
        <w:t>Linde</w:t>
      </w:r>
      <w:r w:rsidRPr="003515BF">
        <w:rPr>
          <w:rFonts w:ascii="Arial" w:hAnsi="Arial" w:cs="Arial"/>
          <w:b/>
          <w:snapToGrid w:val="0"/>
          <w:sz w:val="11"/>
          <w:szCs w:val="11"/>
        </w:rPr>
        <w:t>.</w:t>
      </w:r>
    </w:p>
    <w:p w14:paraId="25327B45" w14:textId="77777777" w:rsidR="00CF4ED9" w:rsidRPr="003515BF" w:rsidRDefault="00CF4ED9" w:rsidP="003515BF">
      <w:pPr>
        <w:widowControl w:val="0"/>
        <w:spacing w:line="240" w:lineRule="auto"/>
        <w:jc w:val="both"/>
        <w:rPr>
          <w:rFonts w:ascii="Arial" w:hAnsi="Arial" w:cs="Arial"/>
          <w:b/>
          <w:snapToGrid w:val="0"/>
          <w:sz w:val="11"/>
          <w:szCs w:val="11"/>
        </w:rPr>
      </w:pPr>
    </w:p>
    <w:p w14:paraId="25327B46" w14:textId="77777777" w:rsidR="00CF4ED9" w:rsidRPr="003515BF" w:rsidRDefault="00CF4ED9" w:rsidP="003515BF">
      <w:pPr>
        <w:pStyle w:val="Nadpis4"/>
        <w:spacing w:line="240" w:lineRule="auto"/>
        <w:jc w:val="both"/>
        <w:rPr>
          <w:rFonts w:ascii="Arial" w:hAnsi="Arial" w:cs="Arial"/>
          <w:snapToGrid w:val="0"/>
          <w:color w:val="auto"/>
          <w:sz w:val="11"/>
          <w:szCs w:val="11"/>
        </w:rPr>
      </w:pPr>
      <w:r w:rsidRPr="003515BF">
        <w:rPr>
          <w:rFonts w:ascii="Arial" w:hAnsi="Arial" w:cs="Arial"/>
          <w:snapToGrid w:val="0"/>
          <w:color w:val="auto"/>
          <w:sz w:val="11"/>
          <w:szCs w:val="11"/>
        </w:rPr>
        <w:t>21. Tyto Všeobecné podmínky (Form 1211/22) jsou platné od 1.2.2016.</w:t>
      </w:r>
    </w:p>
    <w:sectPr w:rsidR="00CF4ED9" w:rsidRPr="003515BF" w:rsidSect="003515BF">
      <w:headerReference w:type="default" r:id="rId16"/>
      <w:headerReference w:type="first" r:id="rId17"/>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29AA" w14:textId="77777777" w:rsidR="00352E21" w:rsidRDefault="00352E21">
      <w:r>
        <w:separator/>
      </w:r>
    </w:p>
  </w:endnote>
  <w:endnote w:type="continuationSeparator" w:id="0">
    <w:p w14:paraId="2C9B131E" w14:textId="77777777" w:rsidR="00352E21" w:rsidRDefault="003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ndeDaxOffice">
    <w:altName w:val="Bahnschrift Light"/>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0" w14:textId="77777777" w:rsidR="00CF4ED9" w:rsidRDefault="00CF4ED9">
    <w:pPr>
      <w:pStyle w:val="Zpat"/>
      <w:rPr>
        <w:szCs w:val="14"/>
      </w:rPr>
    </w:pPr>
  </w:p>
  <w:p w14:paraId="25327B51" w14:textId="77777777" w:rsidR="00CF4ED9" w:rsidRPr="00C35B0E" w:rsidRDefault="00CF4ED9">
    <w:pPr>
      <w:pStyle w:val="Zpat"/>
      <w:rPr>
        <w:rFonts w:cs="Arial"/>
        <w:sz w:val="12"/>
        <w:szCs w:val="12"/>
      </w:rPr>
    </w:pPr>
  </w:p>
  <w:p w14:paraId="25327B52" w14:textId="77777777" w:rsidR="00CF4ED9" w:rsidRPr="00D168FE" w:rsidRDefault="00CF4ED9" w:rsidP="00E1188F">
    <w:pPr>
      <w:pStyle w:val="Zpat"/>
      <w:rPr>
        <w:sz w:val="12"/>
        <w:szCs w:val="12"/>
      </w:rPr>
    </w:pPr>
    <w:r w:rsidRPr="00D168FE">
      <w:rPr>
        <w:sz w:val="12"/>
        <w:szCs w:val="12"/>
      </w:rPr>
      <w:tab/>
    </w:r>
  </w:p>
  <w:p w14:paraId="25327B53" w14:textId="77777777" w:rsidR="00CF4ED9" w:rsidRPr="00044422" w:rsidRDefault="00CF4ED9">
    <w:pPr>
      <w:pStyle w:val="Zpat"/>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14173"/>
      <w:docPartObj>
        <w:docPartGallery w:val="Page Numbers (Bottom of Page)"/>
        <w:docPartUnique/>
      </w:docPartObj>
    </w:sdtPr>
    <w:sdtEndPr/>
    <w:sdtContent>
      <w:p w14:paraId="25327B54" w14:textId="77777777" w:rsidR="007B356C" w:rsidRPr="007B356C" w:rsidRDefault="007B356C" w:rsidP="007B356C">
        <w:pPr>
          <w:pStyle w:val="Zpat"/>
        </w:pPr>
        <w:r w:rsidRPr="007B356C">
          <w:rPr>
            <w:rFonts w:ascii="Arial" w:hAnsi="Arial" w:cs="Arial"/>
            <w:sz w:val="12"/>
            <w:szCs w:val="12"/>
          </w:rPr>
          <w:t>Společnost je zapsaná u Městského soudu v Praze v Obchodním rejstříku oddíl B, vložka 411. Společnost je certifikovaná dle ISO 9001, ISO 14001 a je držitelem osvědčení Responsible Care.</w:t>
        </w:r>
      </w:p>
      <w:p w14:paraId="25327B55" w14:textId="13DA7C37" w:rsidR="009F1E8E" w:rsidRDefault="009F1E8E">
        <w:pPr>
          <w:pStyle w:val="Zpat"/>
          <w:jc w:val="center"/>
        </w:pPr>
        <w:r>
          <w:fldChar w:fldCharType="begin"/>
        </w:r>
        <w:r>
          <w:instrText>PAGE   \* MERGEFORMAT</w:instrText>
        </w:r>
        <w:r>
          <w:fldChar w:fldCharType="separate"/>
        </w:r>
        <w:r w:rsidR="007D1CA9" w:rsidRPr="007D1CA9">
          <w:rPr>
            <w:noProof/>
            <w:lang w:val="cs-CZ"/>
          </w:rPr>
          <w:t>2</w:t>
        </w:r>
        <w:r>
          <w:fldChar w:fldCharType="end"/>
        </w:r>
      </w:p>
    </w:sdtContent>
  </w:sdt>
  <w:p w14:paraId="25327B56" w14:textId="77777777"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w:t>
    </w:r>
    <w:proofErr w:type="gramStart"/>
    <w:r w:rsidRPr="007B356C">
      <w:rPr>
        <w:rFonts w:ascii="Arial" w:hAnsi="Arial" w:cs="Arial"/>
        <w:sz w:val="12"/>
        <w:szCs w:val="12"/>
      </w:rPr>
      <w:t>33  2019.06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F830" w14:textId="77777777" w:rsidR="00352E21" w:rsidRDefault="00352E21">
      <w:r>
        <w:separator/>
      </w:r>
    </w:p>
  </w:footnote>
  <w:footnote w:type="continuationSeparator" w:id="0">
    <w:p w14:paraId="635BA8D8" w14:textId="77777777" w:rsidR="00352E21" w:rsidRDefault="0035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4F" w14:textId="77777777"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7" w14:textId="77777777" w:rsidR="00B96BBF" w:rsidRDefault="00B96B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8" w14:textId="77777777" w:rsidR="008E461E" w:rsidRDefault="008E46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15:restartNumberingAfterBreak="0">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15:restartNumberingAfterBreak="0">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15:restartNumberingAfterBreak="0">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US"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A0"/>
    <w:rsid w:val="0000422A"/>
    <w:rsid w:val="00010780"/>
    <w:rsid w:val="00012C86"/>
    <w:rsid w:val="000477ED"/>
    <w:rsid w:val="00075F62"/>
    <w:rsid w:val="00092B0A"/>
    <w:rsid w:val="000A165C"/>
    <w:rsid w:val="000B2B87"/>
    <w:rsid w:val="000B7703"/>
    <w:rsid w:val="000E1756"/>
    <w:rsid w:val="000E4ADB"/>
    <w:rsid w:val="00104B1D"/>
    <w:rsid w:val="00107DC9"/>
    <w:rsid w:val="001146AF"/>
    <w:rsid w:val="00136D81"/>
    <w:rsid w:val="001671EF"/>
    <w:rsid w:val="00176724"/>
    <w:rsid w:val="00176CF8"/>
    <w:rsid w:val="00185625"/>
    <w:rsid w:val="00185C30"/>
    <w:rsid w:val="001876A8"/>
    <w:rsid w:val="00187DDD"/>
    <w:rsid w:val="00200BE5"/>
    <w:rsid w:val="00201083"/>
    <w:rsid w:val="00204B60"/>
    <w:rsid w:val="002052B5"/>
    <w:rsid w:val="00230E73"/>
    <w:rsid w:val="00257200"/>
    <w:rsid w:val="00267820"/>
    <w:rsid w:val="00281557"/>
    <w:rsid w:val="002A07B3"/>
    <w:rsid w:val="002A39BD"/>
    <w:rsid w:val="002B355B"/>
    <w:rsid w:val="002C6960"/>
    <w:rsid w:val="002D198E"/>
    <w:rsid w:val="002D511E"/>
    <w:rsid w:val="002D67E2"/>
    <w:rsid w:val="002D6B91"/>
    <w:rsid w:val="002E3BC5"/>
    <w:rsid w:val="003026CC"/>
    <w:rsid w:val="00320FEC"/>
    <w:rsid w:val="00342A3C"/>
    <w:rsid w:val="003440DF"/>
    <w:rsid w:val="00345CD8"/>
    <w:rsid w:val="003515BF"/>
    <w:rsid w:val="00352E21"/>
    <w:rsid w:val="00355A55"/>
    <w:rsid w:val="003658B1"/>
    <w:rsid w:val="0038216B"/>
    <w:rsid w:val="0038279A"/>
    <w:rsid w:val="003827D8"/>
    <w:rsid w:val="0038562C"/>
    <w:rsid w:val="00390A10"/>
    <w:rsid w:val="003A16AC"/>
    <w:rsid w:val="003B4F8A"/>
    <w:rsid w:val="003B6DDB"/>
    <w:rsid w:val="003D3280"/>
    <w:rsid w:val="003D4668"/>
    <w:rsid w:val="003E0AA6"/>
    <w:rsid w:val="003E1C7E"/>
    <w:rsid w:val="003E29C4"/>
    <w:rsid w:val="003E33CA"/>
    <w:rsid w:val="003F1D61"/>
    <w:rsid w:val="003F5C22"/>
    <w:rsid w:val="00403B35"/>
    <w:rsid w:val="00430F84"/>
    <w:rsid w:val="004340B1"/>
    <w:rsid w:val="004468A5"/>
    <w:rsid w:val="00447D66"/>
    <w:rsid w:val="00453CD0"/>
    <w:rsid w:val="004542C0"/>
    <w:rsid w:val="00466848"/>
    <w:rsid w:val="00482CAE"/>
    <w:rsid w:val="00485C3D"/>
    <w:rsid w:val="004B6444"/>
    <w:rsid w:val="004F16AF"/>
    <w:rsid w:val="004F5736"/>
    <w:rsid w:val="005071C6"/>
    <w:rsid w:val="00511723"/>
    <w:rsid w:val="00533AB0"/>
    <w:rsid w:val="00573FEF"/>
    <w:rsid w:val="005853C2"/>
    <w:rsid w:val="005978E1"/>
    <w:rsid w:val="005B2B13"/>
    <w:rsid w:val="005B63B2"/>
    <w:rsid w:val="00607162"/>
    <w:rsid w:val="00630190"/>
    <w:rsid w:val="006307BA"/>
    <w:rsid w:val="00634697"/>
    <w:rsid w:val="00643023"/>
    <w:rsid w:val="00644503"/>
    <w:rsid w:val="00653904"/>
    <w:rsid w:val="00655015"/>
    <w:rsid w:val="00684566"/>
    <w:rsid w:val="00685F70"/>
    <w:rsid w:val="0069778B"/>
    <w:rsid w:val="006A33AB"/>
    <w:rsid w:val="006D191C"/>
    <w:rsid w:val="006F3E10"/>
    <w:rsid w:val="006F5A1F"/>
    <w:rsid w:val="007010D1"/>
    <w:rsid w:val="00711FA8"/>
    <w:rsid w:val="00732910"/>
    <w:rsid w:val="007601F6"/>
    <w:rsid w:val="00764E8B"/>
    <w:rsid w:val="00774CDD"/>
    <w:rsid w:val="007B032C"/>
    <w:rsid w:val="007B356C"/>
    <w:rsid w:val="007C3060"/>
    <w:rsid w:val="007C63E3"/>
    <w:rsid w:val="007D175C"/>
    <w:rsid w:val="007D1CA9"/>
    <w:rsid w:val="007D63FB"/>
    <w:rsid w:val="008154DC"/>
    <w:rsid w:val="008518EE"/>
    <w:rsid w:val="008560BC"/>
    <w:rsid w:val="00875698"/>
    <w:rsid w:val="008C0C45"/>
    <w:rsid w:val="008C5F7E"/>
    <w:rsid w:val="008D1212"/>
    <w:rsid w:val="008D3CA0"/>
    <w:rsid w:val="008E3CD8"/>
    <w:rsid w:val="008E461E"/>
    <w:rsid w:val="008E7ACA"/>
    <w:rsid w:val="008F1852"/>
    <w:rsid w:val="00901D46"/>
    <w:rsid w:val="00903A24"/>
    <w:rsid w:val="009047C3"/>
    <w:rsid w:val="00920480"/>
    <w:rsid w:val="0093654E"/>
    <w:rsid w:val="0094559C"/>
    <w:rsid w:val="00945B36"/>
    <w:rsid w:val="009603C6"/>
    <w:rsid w:val="00961DE4"/>
    <w:rsid w:val="009624B7"/>
    <w:rsid w:val="009756EB"/>
    <w:rsid w:val="00986B7A"/>
    <w:rsid w:val="00993DFA"/>
    <w:rsid w:val="0099709C"/>
    <w:rsid w:val="009A1CF2"/>
    <w:rsid w:val="009B255F"/>
    <w:rsid w:val="009C72DB"/>
    <w:rsid w:val="009D468D"/>
    <w:rsid w:val="009D7727"/>
    <w:rsid w:val="009F1E8E"/>
    <w:rsid w:val="009F7003"/>
    <w:rsid w:val="00A03F32"/>
    <w:rsid w:val="00A47FDC"/>
    <w:rsid w:val="00A562D7"/>
    <w:rsid w:val="00A64B1B"/>
    <w:rsid w:val="00A64C16"/>
    <w:rsid w:val="00A66F60"/>
    <w:rsid w:val="00A75E53"/>
    <w:rsid w:val="00A86059"/>
    <w:rsid w:val="00AA588A"/>
    <w:rsid w:val="00AC528F"/>
    <w:rsid w:val="00AE7665"/>
    <w:rsid w:val="00B04584"/>
    <w:rsid w:val="00B21672"/>
    <w:rsid w:val="00B5788E"/>
    <w:rsid w:val="00B6707E"/>
    <w:rsid w:val="00B71E64"/>
    <w:rsid w:val="00B763F0"/>
    <w:rsid w:val="00B80D0A"/>
    <w:rsid w:val="00B94C91"/>
    <w:rsid w:val="00B96BBF"/>
    <w:rsid w:val="00BA4C7D"/>
    <w:rsid w:val="00BB3AEA"/>
    <w:rsid w:val="00BD22F9"/>
    <w:rsid w:val="00BD6284"/>
    <w:rsid w:val="00BE3DC7"/>
    <w:rsid w:val="00BF70C1"/>
    <w:rsid w:val="00C02E14"/>
    <w:rsid w:val="00C11DDF"/>
    <w:rsid w:val="00C167C2"/>
    <w:rsid w:val="00C21373"/>
    <w:rsid w:val="00C275FF"/>
    <w:rsid w:val="00C340FD"/>
    <w:rsid w:val="00C558DB"/>
    <w:rsid w:val="00C56B33"/>
    <w:rsid w:val="00C62605"/>
    <w:rsid w:val="00C839F9"/>
    <w:rsid w:val="00C8585F"/>
    <w:rsid w:val="00CB10FE"/>
    <w:rsid w:val="00CC150A"/>
    <w:rsid w:val="00CC7E56"/>
    <w:rsid w:val="00CD0140"/>
    <w:rsid w:val="00CD6C0A"/>
    <w:rsid w:val="00CD7710"/>
    <w:rsid w:val="00CE0A78"/>
    <w:rsid w:val="00CE350F"/>
    <w:rsid w:val="00CE4F63"/>
    <w:rsid w:val="00CE745A"/>
    <w:rsid w:val="00CF4ED9"/>
    <w:rsid w:val="00D06899"/>
    <w:rsid w:val="00D10953"/>
    <w:rsid w:val="00D133A3"/>
    <w:rsid w:val="00D136FE"/>
    <w:rsid w:val="00D247E9"/>
    <w:rsid w:val="00D321FA"/>
    <w:rsid w:val="00D37E5C"/>
    <w:rsid w:val="00D50886"/>
    <w:rsid w:val="00D54354"/>
    <w:rsid w:val="00D64DC3"/>
    <w:rsid w:val="00D85F70"/>
    <w:rsid w:val="00D956EA"/>
    <w:rsid w:val="00DA036F"/>
    <w:rsid w:val="00DA2D10"/>
    <w:rsid w:val="00DB10A5"/>
    <w:rsid w:val="00DB1D22"/>
    <w:rsid w:val="00DB3928"/>
    <w:rsid w:val="00DC23B6"/>
    <w:rsid w:val="00DD73F0"/>
    <w:rsid w:val="00DE0F2B"/>
    <w:rsid w:val="00DE1262"/>
    <w:rsid w:val="00DF0256"/>
    <w:rsid w:val="00E326D6"/>
    <w:rsid w:val="00E35EEC"/>
    <w:rsid w:val="00E36965"/>
    <w:rsid w:val="00E4103E"/>
    <w:rsid w:val="00E46161"/>
    <w:rsid w:val="00E57992"/>
    <w:rsid w:val="00E71A84"/>
    <w:rsid w:val="00E72639"/>
    <w:rsid w:val="00E973D5"/>
    <w:rsid w:val="00EB0C2B"/>
    <w:rsid w:val="00EB15A3"/>
    <w:rsid w:val="00EB58C4"/>
    <w:rsid w:val="00EF5D08"/>
    <w:rsid w:val="00F27DD7"/>
    <w:rsid w:val="00F35C65"/>
    <w:rsid w:val="00F41A75"/>
    <w:rsid w:val="00F46449"/>
    <w:rsid w:val="00F5323F"/>
    <w:rsid w:val="00F56484"/>
    <w:rsid w:val="00F64FF5"/>
    <w:rsid w:val="00F81086"/>
    <w:rsid w:val="00F83157"/>
    <w:rsid w:val="00F9528B"/>
    <w:rsid w:val="00FA299F"/>
    <w:rsid w:val="00FA44D5"/>
    <w:rsid w:val="00FB3E63"/>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327A67"/>
  <w15:docId w15:val="{989716F7-A9E1-47F6-917A-9199EBE5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 w:type="character" w:styleId="Siln">
    <w:name w:val="Strong"/>
    <w:basedOn w:val="Standardnpsmoodstavce"/>
    <w:uiPriority w:val="22"/>
    <w:qFormat/>
    <w:rsid w:val="00986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870336964">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17120352">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7A62-3E10-4E5B-94EF-5855BE236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4.xml><?xml version="1.0" encoding="utf-8"?>
<ds:datastoreItem xmlns:ds="http://schemas.openxmlformats.org/officeDocument/2006/customXml" ds:itemID="{CF12C8A9-6749-4334-B339-195EEBEA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Template>
  <TotalTime>1</TotalTime>
  <Pages>2</Pages>
  <Words>2173</Words>
  <Characters>12823</Characters>
  <Application>Microsoft Office Word</Application>
  <DocSecurity>0</DocSecurity>
  <Lines>106</Lines>
  <Paragraphs>29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dc:description/>
  <cp:lastModifiedBy>Javořík Dušan MUDr. (00819)</cp:lastModifiedBy>
  <cp:revision>2</cp:revision>
  <cp:lastPrinted>2020-06-03T11:32:00Z</cp:lastPrinted>
  <dcterms:created xsi:type="dcterms:W3CDTF">2020-06-03T11:42:00Z</dcterms:created>
  <dcterms:modified xsi:type="dcterms:W3CDTF">2020-06-03T11:42:00Z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