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AF" w:rsidRDefault="00EA60AF" w:rsidP="00EA60AF">
      <w:pPr>
        <w:pStyle w:val="Zpat"/>
        <w:tabs>
          <w:tab w:val="clear" w:pos="4536"/>
          <w:tab w:val="clear" w:pos="9072"/>
          <w:tab w:val="right" w:pos="8647"/>
        </w:tabs>
        <w:ind w:right="360" w:firstLine="142"/>
        <w:jc w:val="center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</w:t>
      </w:r>
      <w:r w:rsidR="00CD7D06">
        <w:rPr>
          <w:b/>
          <w:sz w:val="18"/>
        </w:rPr>
        <w:t>Čísl</w:t>
      </w:r>
      <w:r>
        <w:rPr>
          <w:b/>
          <w:sz w:val="18"/>
        </w:rPr>
        <w:t xml:space="preserve">o smlouvy: </w:t>
      </w:r>
      <w:r w:rsidR="0040664B">
        <w:rPr>
          <w:b/>
          <w:sz w:val="18"/>
        </w:rPr>
        <w:t>2239</w:t>
      </w:r>
    </w:p>
    <w:p w:rsidR="00561ABE" w:rsidRPr="00F902AF" w:rsidRDefault="00AA03EC" w:rsidP="00AA03EC">
      <w:pPr>
        <w:pStyle w:val="Zpat"/>
        <w:tabs>
          <w:tab w:val="clear" w:pos="4536"/>
          <w:tab w:val="clear" w:pos="9072"/>
          <w:tab w:val="center" w:pos="4568"/>
          <w:tab w:val="left" w:pos="7680"/>
          <w:tab w:val="right" w:pos="8647"/>
        </w:tabs>
        <w:ind w:right="360" w:firstLine="142"/>
        <w:rPr>
          <w:b/>
          <w:szCs w:val="24"/>
        </w:rPr>
      </w:pPr>
      <w:r>
        <w:rPr>
          <w:b/>
          <w:szCs w:val="24"/>
        </w:rPr>
        <w:tab/>
      </w:r>
    </w:p>
    <w:p w:rsidR="00DF2016" w:rsidRPr="008E506D" w:rsidRDefault="00266958">
      <w:pPr>
        <w:pStyle w:val="Nadpis2"/>
        <w:jc w:val="center"/>
        <w:rPr>
          <w:rFonts w:ascii="Times New Roman" w:hAnsi="Times New Roman"/>
          <w:b/>
          <w:sz w:val="32"/>
          <w:szCs w:val="32"/>
        </w:rPr>
      </w:pPr>
      <w:r w:rsidRPr="008E506D">
        <w:rPr>
          <w:rFonts w:ascii="Times New Roman" w:hAnsi="Times New Roman"/>
          <w:b/>
          <w:sz w:val="32"/>
          <w:szCs w:val="32"/>
        </w:rPr>
        <w:t>SERVISNÍ</w:t>
      </w:r>
      <w:r w:rsidR="007949E7">
        <w:rPr>
          <w:rFonts w:ascii="Times New Roman" w:hAnsi="Times New Roman"/>
          <w:b/>
          <w:sz w:val="32"/>
          <w:szCs w:val="32"/>
        </w:rPr>
        <w:t xml:space="preserve"> </w:t>
      </w:r>
      <w:r w:rsidR="00DF2016" w:rsidRPr="008E506D">
        <w:rPr>
          <w:rFonts w:ascii="Times New Roman" w:hAnsi="Times New Roman"/>
          <w:b/>
          <w:sz w:val="32"/>
          <w:szCs w:val="32"/>
        </w:rPr>
        <w:t xml:space="preserve">SMLOUVA   </w:t>
      </w:r>
    </w:p>
    <w:p w:rsidR="00DF2016" w:rsidRPr="00FB2FE5" w:rsidRDefault="00DF2016">
      <w:pPr>
        <w:jc w:val="center"/>
        <w:rPr>
          <w:b/>
          <w:sz w:val="16"/>
        </w:rPr>
      </w:pPr>
    </w:p>
    <w:p w:rsidR="000D38BF" w:rsidRPr="00FB2FE5" w:rsidRDefault="000D38BF">
      <w:pPr>
        <w:jc w:val="center"/>
        <w:rPr>
          <w:b/>
          <w:sz w:val="16"/>
        </w:rPr>
      </w:pPr>
    </w:p>
    <w:p w:rsidR="00DF2016" w:rsidRPr="00FB2FE5" w:rsidRDefault="00DF2016">
      <w:pPr>
        <w:jc w:val="center"/>
        <w:rPr>
          <w:b/>
          <w:sz w:val="28"/>
          <w:szCs w:val="28"/>
        </w:rPr>
      </w:pPr>
      <w:r w:rsidRPr="00FB2FE5">
        <w:rPr>
          <w:b/>
          <w:sz w:val="28"/>
          <w:szCs w:val="28"/>
        </w:rPr>
        <w:t>na servisní zabezpečení</w:t>
      </w:r>
      <w:r w:rsidR="00B33110" w:rsidRPr="00FB2FE5">
        <w:rPr>
          <w:b/>
          <w:sz w:val="28"/>
          <w:szCs w:val="28"/>
        </w:rPr>
        <w:t xml:space="preserve">: </w:t>
      </w:r>
      <w:r w:rsidRPr="00FB2FE5">
        <w:rPr>
          <w:b/>
          <w:sz w:val="28"/>
          <w:szCs w:val="28"/>
        </w:rPr>
        <w:t xml:space="preserve">elektrické </w:t>
      </w:r>
      <w:r w:rsidR="009D3883" w:rsidRPr="00FB2FE5">
        <w:rPr>
          <w:b/>
          <w:sz w:val="28"/>
          <w:szCs w:val="28"/>
        </w:rPr>
        <w:t xml:space="preserve">požární </w:t>
      </w:r>
      <w:r w:rsidR="00B33110" w:rsidRPr="00FB2FE5">
        <w:rPr>
          <w:b/>
          <w:sz w:val="28"/>
          <w:szCs w:val="28"/>
        </w:rPr>
        <w:t>signalizace (EPS),</w:t>
      </w:r>
      <w:r w:rsidR="009D3883" w:rsidRPr="00FB2FE5">
        <w:rPr>
          <w:b/>
          <w:sz w:val="28"/>
          <w:szCs w:val="28"/>
        </w:rPr>
        <w:t xml:space="preserve"> </w:t>
      </w:r>
      <w:r w:rsidR="00B33110" w:rsidRPr="00FB2FE5">
        <w:rPr>
          <w:b/>
          <w:sz w:val="28"/>
          <w:szCs w:val="28"/>
        </w:rPr>
        <w:t xml:space="preserve">elektrické </w:t>
      </w:r>
      <w:r w:rsidRPr="00FB2FE5">
        <w:rPr>
          <w:b/>
          <w:sz w:val="28"/>
          <w:szCs w:val="28"/>
        </w:rPr>
        <w:t>zabezpečovací</w:t>
      </w:r>
      <w:r w:rsidR="007949E7">
        <w:rPr>
          <w:b/>
          <w:sz w:val="28"/>
          <w:szCs w:val="28"/>
        </w:rPr>
        <w:t xml:space="preserve"> </w:t>
      </w:r>
      <w:r w:rsidRPr="00FB2FE5">
        <w:rPr>
          <w:b/>
          <w:sz w:val="28"/>
          <w:szCs w:val="28"/>
        </w:rPr>
        <w:t>signalizace (</w:t>
      </w:r>
      <w:r w:rsidR="002E7F73" w:rsidRPr="00FB2FE5">
        <w:rPr>
          <w:b/>
          <w:sz w:val="28"/>
          <w:szCs w:val="28"/>
        </w:rPr>
        <w:t>E</w:t>
      </w:r>
      <w:r w:rsidR="009D3883" w:rsidRPr="00FB2FE5">
        <w:rPr>
          <w:b/>
          <w:sz w:val="28"/>
          <w:szCs w:val="28"/>
        </w:rPr>
        <w:t>Z</w:t>
      </w:r>
      <w:r w:rsidR="002E7F73" w:rsidRPr="00FB2FE5">
        <w:rPr>
          <w:b/>
          <w:sz w:val="28"/>
          <w:szCs w:val="28"/>
        </w:rPr>
        <w:t>S</w:t>
      </w:r>
      <w:r w:rsidRPr="00FB2FE5">
        <w:rPr>
          <w:b/>
          <w:sz w:val="28"/>
          <w:szCs w:val="28"/>
        </w:rPr>
        <w:t>)</w:t>
      </w:r>
      <w:r w:rsidR="00A15CBC" w:rsidRPr="00FB2FE5">
        <w:rPr>
          <w:b/>
          <w:sz w:val="28"/>
          <w:szCs w:val="28"/>
        </w:rPr>
        <w:t>,</w:t>
      </w:r>
      <w:r w:rsidRPr="00FB2FE5">
        <w:rPr>
          <w:b/>
          <w:sz w:val="28"/>
          <w:szCs w:val="28"/>
        </w:rPr>
        <w:t xml:space="preserve"> </w:t>
      </w:r>
      <w:r w:rsidR="009D3883" w:rsidRPr="00FB2FE5">
        <w:rPr>
          <w:b/>
          <w:sz w:val="28"/>
          <w:szCs w:val="28"/>
        </w:rPr>
        <w:t>PC</w:t>
      </w:r>
      <w:r w:rsidR="00B33110" w:rsidRPr="00FB2FE5">
        <w:rPr>
          <w:b/>
          <w:sz w:val="28"/>
          <w:szCs w:val="28"/>
        </w:rPr>
        <w:t>,</w:t>
      </w:r>
      <w:r w:rsidR="009D3883" w:rsidRPr="00FB2FE5">
        <w:rPr>
          <w:b/>
          <w:sz w:val="28"/>
          <w:szCs w:val="28"/>
        </w:rPr>
        <w:t xml:space="preserve"> </w:t>
      </w:r>
      <w:r w:rsidR="00E22D2A" w:rsidRPr="00FB2FE5">
        <w:rPr>
          <w:b/>
          <w:sz w:val="28"/>
          <w:szCs w:val="28"/>
        </w:rPr>
        <w:t>telef</w:t>
      </w:r>
      <w:r w:rsidR="00994259" w:rsidRPr="00FB2FE5">
        <w:rPr>
          <w:b/>
          <w:sz w:val="28"/>
          <w:szCs w:val="28"/>
        </w:rPr>
        <w:t>onní</w:t>
      </w:r>
      <w:r w:rsidR="00E22D2A" w:rsidRPr="00FB2FE5">
        <w:rPr>
          <w:b/>
          <w:sz w:val="28"/>
          <w:szCs w:val="28"/>
        </w:rPr>
        <w:t>ch</w:t>
      </w:r>
      <w:r w:rsidR="00B33110" w:rsidRPr="00FB2FE5">
        <w:rPr>
          <w:b/>
          <w:sz w:val="28"/>
          <w:szCs w:val="28"/>
        </w:rPr>
        <w:t xml:space="preserve"> a optických</w:t>
      </w:r>
      <w:r w:rsidR="00E22D2A" w:rsidRPr="00FB2FE5">
        <w:rPr>
          <w:b/>
          <w:sz w:val="28"/>
          <w:szCs w:val="28"/>
        </w:rPr>
        <w:t xml:space="preserve"> rozvodů</w:t>
      </w:r>
      <w:r w:rsidR="009D3883" w:rsidRPr="00FB2FE5">
        <w:rPr>
          <w:b/>
          <w:sz w:val="28"/>
          <w:szCs w:val="28"/>
        </w:rPr>
        <w:t xml:space="preserve"> (</w:t>
      </w:r>
      <w:r w:rsidR="007949E7" w:rsidRPr="00FB2FE5">
        <w:rPr>
          <w:b/>
          <w:sz w:val="28"/>
          <w:szCs w:val="28"/>
        </w:rPr>
        <w:t>SK), kamerových</w:t>
      </w:r>
      <w:r w:rsidR="00E22D2A" w:rsidRPr="00FB2FE5">
        <w:rPr>
          <w:b/>
          <w:sz w:val="28"/>
          <w:szCs w:val="28"/>
        </w:rPr>
        <w:t xml:space="preserve"> systémů</w:t>
      </w:r>
      <w:r w:rsidR="009D3883" w:rsidRPr="00FB2FE5">
        <w:rPr>
          <w:b/>
          <w:sz w:val="28"/>
          <w:szCs w:val="28"/>
        </w:rPr>
        <w:t xml:space="preserve"> (</w:t>
      </w:r>
      <w:r w:rsidR="00A64623" w:rsidRPr="00FB2FE5">
        <w:rPr>
          <w:b/>
          <w:sz w:val="28"/>
          <w:szCs w:val="28"/>
        </w:rPr>
        <w:t>C</w:t>
      </w:r>
      <w:r w:rsidR="009D3883" w:rsidRPr="00FB2FE5">
        <w:rPr>
          <w:b/>
          <w:sz w:val="28"/>
          <w:szCs w:val="28"/>
        </w:rPr>
        <w:t>CTV)</w:t>
      </w:r>
      <w:r w:rsidR="00E22D2A" w:rsidRPr="00FB2FE5">
        <w:rPr>
          <w:b/>
          <w:sz w:val="28"/>
          <w:szCs w:val="28"/>
        </w:rPr>
        <w:t xml:space="preserve">, TV rozvodů </w:t>
      </w:r>
      <w:r w:rsidR="009D3883" w:rsidRPr="00FB2FE5">
        <w:rPr>
          <w:b/>
          <w:sz w:val="28"/>
          <w:szCs w:val="28"/>
        </w:rPr>
        <w:t>(STA),</w:t>
      </w:r>
      <w:r w:rsidR="00E22D2A" w:rsidRPr="00FB2FE5">
        <w:rPr>
          <w:b/>
          <w:sz w:val="28"/>
          <w:szCs w:val="28"/>
        </w:rPr>
        <w:t xml:space="preserve"> </w:t>
      </w:r>
      <w:r w:rsidR="009D3883" w:rsidRPr="00FB2FE5">
        <w:rPr>
          <w:b/>
          <w:sz w:val="28"/>
          <w:szCs w:val="28"/>
        </w:rPr>
        <w:t xml:space="preserve">satelitních </w:t>
      </w:r>
      <w:r w:rsidR="00E22D2A" w:rsidRPr="00FB2FE5">
        <w:rPr>
          <w:b/>
          <w:sz w:val="28"/>
          <w:szCs w:val="28"/>
        </w:rPr>
        <w:t xml:space="preserve">antén </w:t>
      </w:r>
      <w:r w:rsidR="009D3883" w:rsidRPr="00FB2FE5">
        <w:rPr>
          <w:b/>
          <w:sz w:val="28"/>
          <w:szCs w:val="28"/>
        </w:rPr>
        <w:t>(</w:t>
      </w:r>
      <w:r w:rsidR="00E22D2A" w:rsidRPr="00FB2FE5">
        <w:rPr>
          <w:b/>
          <w:sz w:val="28"/>
          <w:szCs w:val="28"/>
        </w:rPr>
        <w:t>SAT</w:t>
      </w:r>
      <w:r w:rsidR="009D3883" w:rsidRPr="00FB2FE5">
        <w:rPr>
          <w:b/>
          <w:sz w:val="28"/>
          <w:szCs w:val="28"/>
        </w:rPr>
        <w:t>),</w:t>
      </w:r>
      <w:r w:rsidR="00E22D2A" w:rsidRPr="00FB2FE5">
        <w:rPr>
          <w:b/>
          <w:sz w:val="28"/>
          <w:szCs w:val="28"/>
        </w:rPr>
        <w:t xml:space="preserve"> </w:t>
      </w:r>
      <w:r w:rsidR="00B33110" w:rsidRPr="00FB2FE5">
        <w:rPr>
          <w:b/>
          <w:sz w:val="28"/>
          <w:szCs w:val="28"/>
        </w:rPr>
        <w:t xml:space="preserve">ostatních </w:t>
      </w:r>
      <w:r w:rsidR="00E22D2A" w:rsidRPr="00FB2FE5">
        <w:rPr>
          <w:b/>
          <w:sz w:val="28"/>
          <w:szCs w:val="28"/>
        </w:rPr>
        <w:t>elektronických zařízeních</w:t>
      </w:r>
      <w:r w:rsidR="009D3883" w:rsidRPr="00FB2FE5">
        <w:rPr>
          <w:b/>
          <w:sz w:val="28"/>
          <w:szCs w:val="28"/>
        </w:rPr>
        <w:t xml:space="preserve"> </w:t>
      </w:r>
      <w:r w:rsidR="00B33110" w:rsidRPr="00FB2FE5">
        <w:rPr>
          <w:b/>
          <w:sz w:val="28"/>
          <w:szCs w:val="28"/>
        </w:rPr>
        <w:t xml:space="preserve">a </w:t>
      </w:r>
      <w:r w:rsidR="009D3883" w:rsidRPr="00FB2FE5">
        <w:rPr>
          <w:b/>
          <w:sz w:val="28"/>
          <w:szCs w:val="28"/>
        </w:rPr>
        <w:t>nouzové</w:t>
      </w:r>
      <w:r w:rsidR="00994259" w:rsidRPr="00FB2FE5">
        <w:rPr>
          <w:b/>
          <w:sz w:val="28"/>
          <w:szCs w:val="28"/>
        </w:rPr>
        <w:t>ho</w:t>
      </w:r>
      <w:r w:rsidR="009D3883" w:rsidRPr="00FB2FE5">
        <w:rPr>
          <w:b/>
          <w:sz w:val="28"/>
          <w:szCs w:val="28"/>
        </w:rPr>
        <w:t xml:space="preserve"> osvětlení</w:t>
      </w:r>
    </w:p>
    <w:p w:rsidR="00DF2016" w:rsidRPr="00FB2FE5" w:rsidRDefault="00F902AF">
      <w:pPr>
        <w:jc w:val="center"/>
        <w:rPr>
          <w:szCs w:val="24"/>
        </w:rPr>
      </w:pPr>
      <w:r w:rsidRPr="00FB2FE5">
        <w:rPr>
          <w:szCs w:val="24"/>
        </w:rPr>
        <w:t>uzavřená mezi stranami</w:t>
      </w:r>
      <w:r w:rsidR="00DF2016" w:rsidRPr="00FB2FE5">
        <w:rPr>
          <w:szCs w:val="24"/>
        </w:rPr>
        <w:t xml:space="preserve"> </w:t>
      </w:r>
    </w:p>
    <w:p w:rsidR="00F902AF" w:rsidRPr="00FB2FE5" w:rsidRDefault="00F902AF">
      <w:pPr>
        <w:jc w:val="center"/>
        <w:rPr>
          <w:szCs w:val="24"/>
        </w:rPr>
      </w:pPr>
    </w:p>
    <w:p w:rsidR="00F902AF" w:rsidRPr="00FB2FE5" w:rsidRDefault="00F902AF">
      <w:pPr>
        <w:jc w:val="center"/>
        <w:rPr>
          <w:szCs w:val="24"/>
        </w:rPr>
      </w:pPr>
    </w:p>
    <w:p w:rsidR="00DF2016" w:rsidRDefault="00DF2016">
      <w:pPr>
        <w:rPr>
          <w:b/>
          <w:caps/>
        </w:rPr>
      </w:pPr>
    </w:p>
    <w:p w:rsidR="00DF2016" w:rsidRDefault="00DF2016" w:rsidP="00F902AF">
      <w:pPr>
        <w:numPr>
          <w:ilvl w:val="0"/>
          <w:numId w:val="5"/>
        </w:numPr>
        <w:jc w:val="center"/>
        <w:rPr>
          <w:b/>
          <w:sz w:val="28"/>
        </w:rPr>
      </w:pPr>
      <w:r>
        <w:rPr>
          <w:b/>
          <w:sz w:val="28"/>
        </w:rPr>
        <w:t>Smluvní  strany</w:t>
      </w:r>
    </w:p>
    <w:p w:rsidR="00DF2016" w:rsidRDefault="00DF2016">
      <w:pPr>
        <w:rPr>
          <w:b/>
          <w:caps/>
        </w:rPr>
      </w:pPr>
    </w:p>
    <w:p w:rsidR="00DF2016" w:rsidRDefault="00DF2016">
      <w:pPr>
        <w:tabs>
          <w:tab w:val="left" w:pos="180"/>
          <w:tab w:val="left" w:pos="975"/>
        </w:tabs>
        <w:ind w:left="142"/>
        <w:rPr>
          <w:caps/>
        </w:rPr>
      </w:pPr>
      <w:r>
        <w:rPr>
          <w:b/>
          <w:caps/>
          <w:sz w:val="20"/>
        </w:rPr>
        <w:t>1.1</w:t>
      </w:r>
      <w:r>
        <w:rPr>
          <w:caps/>
        </w:rPr>
        <w:t>. objednatel</w:t>
      </w:r>
    </w:p>
    <w:p w:rsidR="00DF2016" w:rsidRDefault="00DF2016" w:rsidP="00A15CBC">
      <w:pPr>
        <w:ind w:left="3540" w:hanging="3038"/>
      </w:pPr>
      <w:r>
        <w:t>název firmy</w:t>
      </w:r>
      <w:r>
        <w:tab/>
      </w:r>
      <w:r w:rsidR="00A15CBC">
        <w:rPr>
          <w:b/>
        </w:rPr>
        <w:t>Čtyřlístek – centrum pro osoby se zdravotním postižením Ostrava, příspěvková organizace</w:t>
      </w:r>
    </w:p>
    <w:p w:rsidR="00DF2016" w:rsidRDefault="00DF2016">
      <w:pPr>
        <w:ind w:firstLine="142"/>
      </w:pPr>
      <w:r>
        <w:t xml:space="preserve">      sídlo</w:t>
      </w:r>
      <w:r>
        <w:tab/>
      </w:r>
      <w:r>
        <w:tab/>
      </w:r>
      <w:r>
        <w:tab/>
      </w:r>
      <w:r>
        <w:tab/>
      </w:r>
      <w:r w:rsidR="00E22D2A">
        <w:t>Hladnovská 751/119,</w:t>
      </w:r>
      <w:r w:rsidR="002E7F73">
        <w:t xml:space="preserve"> Ostrava – </w:t>
      </w:r>
      <w:r w:rsidR="00E22D2A">
        <w:t>Muglinov</w:t>
      </w:r>
      <w:r w:rsidR="002E7F73">
        <w:t>,</w:t>
      </w:r>
      <w:r w:rsidR="000D38BF">
        <w:t xml:space="preserve"> </w:t>
      </w:r>
      <w:r w:rsidR="002E7F73">
        <w:t>PSČ 7</w:t>
      </w:r>
      <w:r w:rsidR="00E22D2A">
        <w:t>12</w:t>
      </w:r>
      <w:r w:rsidR="002E7F73">
        <w:t xml:space="preserve"> </w:t>
      </w:r>
      <w:r w:rsidR="00E22D2A">
        <w:t>0</w:t>
      </w:r>
      <w:r w:rsidR="002E7F73">
        <w:t>0</w:t>
      </w:r>
    </w:p>
    <w:p w:rsidR="00DF2016" w:rsidRDefault="00DF2016" w:rsidP="002E7F73">
      <w:pPr>
        <w:ind w:left="3540" w:hanging="3398"/>
      </w:pPr>
      <w:r>
        <w:t xml:space="preserve">      zastoupená                           </w:t>
      </w:r>
      <w:r>
        <w:tab/>
      </w:r>
      <w:r w:rsidR="00E22D2A">
        <w:t>PhDr. Svatopluk Aniol, ředitel organizace</w:t>
      </w:r>
    </w:p>
    <w:p w:rsidR="00DF2016" w:rsidRDefault="00DF2016">
      <w:pPr>
        <w:ind w:firstLine="142"/>
      </w:pPr>
      <w:r>
        <w:t xml:space="preserve">      tel</w:t>
      </w:r>
      <w:r>
        <w:tab/>
      </w:r>
      <w:r>
        <w:tab/>
        <w:t xml:space="preserve">         </w:t>
      </w:r>
      <w:r>
        <w:tab/>
      </w:r>
      <w:r>
        <w:tab/>
        <w:t xml:space="preserve"> </w:t>
      </w:r>
    </w:p>
    <w:p w:rsidR="00DF2016" w:rsidRDefault="00DF2016">
      <w:r>
        <w:t xml:space="preserve">        mobil</w:t>
      </w:r>
      <w:r>
        <w:tab/>
      </w:r>
      <w:r>
        <w:tab/>
      </w:r>
      <w:r>
        <w:tab/>
      </w:r>
      <w:r>
        <w:tab/>
      </w:r>
      <w:r>
        <w:tab/>
      </w:r>
    </w:p>
    <w:p w:rsidR="000D38BF" w:rsidRDefault="002E7F73">
      <w:r>
        <w:t xml:space="preserve">        email</w:t>
      </w:r>
      <w:r>
        <w:tab/>
      </w:r>
      <w:r>
        <w:tab/>
      </w:r>
      <w:r>
        <w:tab/>
      </w:r>
      <w:r>
        <w:tab/>
      </w:r>
    </w:p>
    <w:p w:rsidR="00DF2016" w:rsidRDefault="000D38BF">
      <w:r>
        <w:t xml:space="preserve"> </w:t>
      </w:r>
      <w:r w:rsidR="00DF2016">
        <w:t xml:space="preserve">       banka</w:t>
      </w:r>
      <w:r w:rsidR="00DF2016">
        <w:tab/>
      </w:r>
      <w:r w:rsidR="00DF2016">
        <w:tab/>
      </w:r>
      <w:r w:rsidR="00DF2016">
        <w:tab/>
      </w:r>
      <w:r w:rsidR="00DF2016">
        <w:tab/>
      </w:r>
    </w:p>
    <w:p w:rsidR="00DF2016" w:rsidRDefault="00DF2016">
      <w:r>
        <w:t xml:space="preserve">        č. účtu</w:t>
      </w:r>
      <w:r>
        <w:tab/>
      </w:r>
      <w:r>
        <w:tab/>
      </w:r>
      <w:r>
        <w:tab/>
      </w:r>
      <w:r>
        <w:tab/>
      </w:r>
    </w:p>
    <w:p w:rsidR="00DF2016" w:rsidRDefault="00DF2016">
      <w:r>
        <w:t xml:space="preserve">        IČ</w:t>
      </w:r>
      <w:r>
        <w:tab/>
      </w:r>
      <w:r>
        <w:tab/>
      </w:r>
      <w:r>
        <w:tab/>
      </w:r>
      <w:r>
        <w:tab/>
      </w:r>
      <w:r w:rsidR="00E22D2A">
        <w:t>70631808</w:t>
      </w:r>
    </w:p>
    <w:p w:rsidR="002E7F73" w:rsidRDefault="002E7F73">
      <w:r>
        <w:t xml:space="preserve">        DIČ</w:t>
      </w:r>
      <w:r>
        <w:tab/>
      </w:r>
      <w:r>
        <w:tab/>
      </w:r>
      <w:r>
        <w:tab/>
      </w:r>
      <w:r>
        <w:tab/>
        <w:t>CZ</w:t>
      </w:r>
      <w:r w:rsidR="00E22D2A">
        <w:t>70631808</w:t>
      </w:r>
    </w:p>
    <w:p w:rsidR="00DF2016" w:rsidRDefault="00DF2016">
      <w:pPr>
        <w:ind w:left="540"/>
      </w:pPr>
    </w:p>
    <w:p w:rsidR="00DF2016" w:rsidRDefault="00DF2016">
      <w:pPr>
        <w:tabs>
          <w:tab w:val="left" w:pos="975"/>
        </w:tabs>
        <w:ind w:firstLine="142"/>
        <w:rPr>
          <w:caps/>
        </w:rPr>
      </w:pPr>
      <w:r>
        <w:rPr>
          <w:b/>
          <w:sz w:val="20"/>
        </w:rPr>
        <w:t>1.2</w:t>
      </w:r>
      <w:r>
        <w:rPr>
          <w:b/>
        </w:rPr>
        <w:t>.</w:t>
      </w:r>
      <w:r>
        <w:t xml:space="preserve"> ZHOT</w:t>
      </w:r>
      <w:r>
        <w:rPr>
          <w:caps/>
        </w:rPr>
        <w:t>oVITEL</w:t>
      </w:r>
      <w:r w:rsidR="007153F8">
        <w:rPr>
          <w:caps/>
        </w:rPr>
        <w:tab/>
      </w:r>
      <w:r w:rsidR="007153F8">
        <w:rPr>
          <w:caps/>
        </w:rPr>
        <w:tab/>
      </w:r>
      <w:r w:rsidR="007153F8">
        <w:rPr>
          <w:caps/>
        </w:rPr>
        <w:tab/>
      </w:r>
    </w:p>
    <w:p w:rsidR="00DF2016" w:rsidRDefault="00DF2016">
      <w:pPr>
        <w:ind w:right="-142" w:firstLine="435"/>
      </w:pPr>
      <w:r>
        <w:t>název firmy</w:t>
      </w:r>
      <w:r>
        <w:tab/>
      </w:r>
      <w:r>
        <w:tab/>
      </w:r>
      <w:r>
        <w:tab/>
      </w:r>
      <w:r w:rsidR="00EF5C7F" w:rsidRPr="00EF5C7F">
        <w:rPr>
          <w:b/>
        </w:rPr>
        <w:t>BEScom Security s.r.o.</w:t>
      </w:r>
    </w:p>
    <w:p w:rsidR="00DF2016" w:rsidRDefault="00DF2016">
      <w:pPr>
        <w:ind w:firstLine="435"/>
      </w:pPr>
      <w:r>
        <w:t>sídlo</w:t>
      </w:r>
      <w:r>
        <w:tab/>
      </w:r>
      <w:r>
        <w:tab/>
      </w:r>
      <w:r>
        <w:tab/>
      </w:r>
      <w:r>
        <w:tab/>
      </w:r>
      <w:r w:rsidR="00EF5C7F">
        <w:t>Pražákova 6/226, 709 00 Ostrava - Mariánské Hory</w:t>
      </w:r>
    </w:p>
    <w:p w:rsidR="00DF2016" w:rsidRDefault="00DF2016">
      <w:r>
        <w:t xml:space="preserve">       zastoupená</w:t>
      </w:r>
      <w:r>
        <w:tab/>
      </w:r>
      <w:r>
        <w:tab/>
      </w:r>
      <w:r>
        <w:tab/>
      </w:r>
      <w:r w:rsidR="00EF5C7F">
        <w:t>Ivo Šonka, jednatel společnosti</w:t>
      </w:r>
      <w:r>
        <w:tab/>
      </w:r>
      <w:r>
        <w:tab/>
      </w:r>
    </w:p>
    <w:p w:rsidR="00DF2016" w:rsidRDefault="00DF2016">
      <w:pPr>
        <w:ind w:firstLine="142"/>
      </w:pPr>
      <w:r>
        <w:t xml:space="preserve">     tel</w:t>
      </w:r>
      <w:r>
        <w:tab/>
      </w:r>
      <w:r>
        <w:tab/>
      </w:r>
      <w:r>
        <w:tab/>
      </w:r>
      <w:r>
        <w:tab/>
      </w:r>
      <w:r>
        <w:tab/>
      </w:r>
    </w:p>
    <w:p w:rsidR="00DF2016" w:rsidRDefault="00DF2016">
      <w:pPr>
        <w:ind w:firstLine="142"/>
      </w:pPr>
      <w:r>
        <w:t xml:space="preserve">     </w:t>
      </w:r>
      <w:r w:rsidR="00721B44">
        <w:t>GSM</w:t>
      </w:r>
      <w:r>
        <w:tab/>
      </w:r>
      <w:r>
        <w:tab/>
      </w:r>
      <w:r>
        <w:tab/>
      </w:r>
      <w:r>
        <w:tab/>
      </w:r>
    </w:p>
    <w:p w:rsidR="00DF2016" w:rsidRDefault="00DF2016">
      <w:pPr>
        <w:ind w:firstLine="142"/>
      </w:pPr>
      <w:r>
        <w:t xml:space="preserve">     email        </w:t>
      </w:r>
      <w:r>
        <w:tab/>
        <w:t xml:space="preserve"> </w:t>
      </w:r>
      <w:r>
        <w:tab/>
      </w:r>
      <w:r>
        <w:tab/>
      </w:r>
    </w:p>
    <w:p w:rsidR="00DF2016" w:rsidRDefault="00DF2016">
      <w:pPr>
        <w:ind w:firstLine="142"/>
      </w:pPr>
      <w:r>
        <w:t xml:space="preserve">     banka</w:t>
      </w:r>
      <w:r>
        <w:tab/>
      </w:r>
      <w:r>
        <w:tab/>
      </w:r>
      <w:r>
        <w:tab/>
      </w:r>
      <w:r>
        <w:tab/>
      </w:r>
    </w:p>
    <w:p w:rsidR="00EF5C7F" w:rsidRDefault="00DF2016" w:rsidP="00EF5C7F">
      <w:pPr>
        <w:pStyle w:val="Default"/>
      </w:pPr>
      <w:r>
        <w:lastRenderedPageBreak/>
        <w:t xml:space="preserve">    </w:t>
      </w:r>
      <w:r w:rsidR="00EF5C7F">
        <w:t xml:space="preserve">   </w:t>
      </w:r>
      <w:r>
        <w:t>číslo účtu</w:t>
      </w:r>
      <w:r>
        <w:tab/>
      </w:r>
      <w:r>
        <w:tab/>
      </w:r>
      <w:r>
        <w:tab/>
      </w:r>
      <w:r>
        <w:tab/>
      </w:r>
    </w:p>
    <w:p w:rsidR="00DF2016" w:rsidRDefault="00EF5C7F" w:rsidP="00EF5C7F">
      <w:pPr>
        <w:ind w:firstLine="142"/>
      </w:pPr>
      <w:r>
        <w:t xml:space="preserve">     </w:t>
      </w:r>
      <w:r w:rsidR="00DF2016">
        <w:t xml:space="preserve">IČ </w:t>
      </w:r>
      <w:r w:rsidR="00DF2016">
        <w:tab/>
      </w:r>
      <w:r w:rsidR="00DF2016">
        <w:tab/>
      </w:r>
      <w:r w:rsidR="00DF2016">
        <w:tab/>
      </w:r>
      <w:r w:rsidR="00DF2016">
        <w:tab/>
      </w:r>
      <w:r>
        <w:t>26817403</w:t>
      </w:r>
    </w:p>
    <w:p w:rsidR="00DF2016" w:rsidRDefault="00DF2016">
      <w:r>
        <w:t xml:space="preserve">       DIČ </w:t>
      </w:r>
      <w:r w:rsidR="00EF5C7F">
        <w:t xml:space="preserve"> </w:t>
      </w:r>
      <w:r w:rsidR="00EF5C7F">
        <w:tab/>
        <w:t xml:space="preserve"> </w:t>
      </w:r>
      <w:r w:rsidR="00EF5C7F">
        <w:tab/>
      </w:r>
      <w:r>
        <w:t xml:space="preserve"> </w:t>
      </w:r>
      <w:r>
        <w:tab/>
      </w:r>
      <w:r>
        <w:tab/>
      </w:r>
      <w:r w:rsidR="00EF5C7F">
        <w:t>CZ26817403</w:t>
      </w:r>
      <w:r>
        <w:tab/>
      </w:r>
      <w:r>
        <w:tab/>
      </w:r>
    </w:p>
    <w:p w:rsidR="00DF2016" w:rsidRDefault="00DF2016"/>
    <w:p w:rsidR="00DF2016" w:rsidRDefault="00DF2016"/>
    <w:p w:rsidR="00DF2016" w:rsidRDefault="00DF2016">
      <w:pPr>
        <w:jc w:val="both"/>
      </w:pPr>
      <w:r>
        <w:t xml:space="preserve">Smluvní strany prohlašují, že údaje v tomto článku smlouvy jsou v souladu s platnými zápisy  v obchodním rejstříku (§ </w:t>
      </w:r>
      <w:smartTag w:uri="urn:schemas-microsoft-com:office:smarttags" w:element="metricconverter">
        <w:smartTagPr>
          <w:attr w:name="ProductID" w:val="27 a"/>
        </w:smartTagPr>
        <w:r>
          <w:t>27 a</w:t>
        </w:r>
      </w:smartTag>
      <w:r>
        <w:t xml:space="preserve"> násl. obch. zák.) resp. v živnostenském rejstříku (§ 60 živnostenského zákona) a že osoby zde uvedené jsou jejich oprávněnými zástupci.</w:t>
      </w:r>
      <w:r>
        <w:rPr>
          <w:b/>
          <w:caps/>
        </w:rPr>
        <w:t xml:space="preserve"> </w:t>
      </w:r>
    </w:p>
    <w:p w:rsidR="00633CB0" w:rsidRDefault="00633CB0">
      <w:pPr>
        <w:ind w:left="540"/>
        <w:jc w:val="both"/>
        <w:rPr>
          <w:b/>
        </w:rPr>
      </w:pPr>
    </w:p>
    <w:p w:rsidR="00DF2016" w:rsidRDefault="00DF2016">
      <w:pPr>
        <w:tabs>
          <w:tab w:val="left" w:pos="360"/>
        </w:tabs>
        <w:jc w:val="both"/>
        <w:rPr>
          <w:b/>
        </w:rPr>
      </w:pPr>
      <w:r>
        <w:rPr>
          <w:b/>
          <w:sz w:val="20"/>
        </w:rPr>
        <w:t>1.3.</w:t>
      </w:r>
      <w:r>
        <w:rPr>
          <w:b/>
        </w:rPr>
        <w:t xml:space="preserve">     Oprávněné osoby</w:t>
      </w:r>
    </w:p>
    <w:p w:rsidR="00DF2016" w:rsidRDefault="00DF2016">
      <w:pPr>
        <w:jc w:val="both"/>
      </w:pPr>
    </w:p>
    <w:p w:rsidR="00072315" w:rsidRDefault="00DF2016">
      <w:pPr>
        <w:tabs>
          <w:tab w:val="left" w:pos="1418"/>
        </w:tabs>
        <w:ind w:left="708"/>
      </w:pPr>
      <w:r>
        <w:rPr>
          <w:i/>
        </w:rPr>
        <w:t>Objednatel</w:t>
      </w:r>
      <w:r>
        <w:t xml:space="preserve"> -   osoby oprávněné</w:t>
      </w:r>
      <w:r w:rsidR="00072315">
        <w:t>:</w:t>
      </w:r>
    </w:p>
    <w:p w:rsidR="00633CB0" w:rsidRDefault="00072315">
      <w:pPr>
        <w:tabs>
          <w:tab w:val="left" w:pos="1418"/>
        </w:tabs>
        <w:ind w:left="708"/>
        <w:rPr>
          <w:i/>
        </w:rPr>
      </w:pPr>
      <w:r>
        <w:t>V</w:t>
      </w:r>
      <w:r w:rsidR="00F902AF">
        <w:t>e věcech smluvních a obchodních</w:t>
      </w:r>
      <w:r w:rsidR="00633CB0">
        <w:t>:</w:t>
      </w:r>
      <w:r w:rsidR="00DF2016">
        <w:t xml:space="preserve"> </w:t>
      </w:r>
      <w:r w:rsidR="00E22D2A">
        <w:t>PhDr. Svatopluk Aniol, ředitel organizace</w:t>
      </w:r>
      <w:r w:rsidR="00633CB0">
        <w:rPr>
          <w:i/>
        </w:rPr>
        <w:t xml:space="preserve"> </w:t>
      </w:r>
    </w:p>
    <w:p w:rsidR="00633CB0" w:rsidRDefault="004325B1">
      <w:pPr>
        <w:tabs>
          <w:tab w:val="left" w:pos="1418"/>
        </w:tabs>
        <w:ind w:left="708"/>
      </w:pPr>
      <w:r>
        <w:t>Ve věcech smluvních</w:t>
      </w:r>
      <w:r w:rsidR="00633CB0" w:rsidRPr="00633CB0">
        <w:t xml:space="preserve"> – </w:t>
      </w:r>
      <w:r w:rsidR="00072315">
        <w:t>Vratislav Prokop, ve</w:t>
      </w:r>
      <w:r w:rsidR="00F902AF">
        <w:t xml:space="preserve">doucí provozně technického </w:t>
      </w:r>
      <w:r w:rsidR="00F902AF" w:rsidRPr="00B74CC0">
        <w:t>útvaru</w:t>
      </w:r>
    </w:p>
    <w:p w:rsidR="004325B1" w:rsidRDefault="004325B1">
      <w:pPr>
        <w:tabs>
          <w:tab w:val="left" w:pos="1418"/>
        </w:tabs>
        <w:ind w:left="708"/>
      </w:pPr>
      <w:r>
        <w:t>Ve věcech technických – Lukáš Kellner, technický pracovník</w:t>
      </w:r>
    </w:p>
    <w:p w:rsidR="00072315" w:rsidRDefault="00072315">
      <w:pPr>
        <w:tabs>
          <w:tab w:val="left" w:pos="1418"/>
        </w:tabs>
        <w:ind w:left="708"/>
        <w:rPr>
          <w:i/>
        </w:rPr>
      </w:pPr>
    </w:p>
    <w:p w:rsidR="00072315" w:rsidRDefault="00DF2016">
      <w:pPr>
        <w:tabs>
          <w:tab w:val="left" w:pos="1418"/>
        </w:tabs>
        <w:ind w:left="708"/>
      </w:pPr>
      <w:r>
        <w:rPr>
          <w:i/>
        </w:rPr>
        <w:t>Zhotovitel</w:t>
      </w:r>
      <w:r>
        <w:t xml:space="preserve"> -  osob</w:t>
      </w:r>
      <w:r w:rsidR="008D2E95">
        <w:t>y oprávněné</w:t>
      </w:r>
      <w:r w:rsidR="00072315">
        <w:t>:</w:t>
      </w:r>
    </w:p>
    <w:p w:rsidR="00072315" w:rsidRDefault="00072315">
      <w:pPr>
        <w:tabs>
          <w:tab w:val="left" w:pos="1418"/>
        </w:tabs>
        <w:ind w:left="708"/>
      </w:pPr>
      <w:r>
        <w:t>V</w:t>
      </w:r>
      <w:r w:rsidR="008D2E95">
        <w:t>e věcech smluvních</w:t>
      </w:r>
      <w:r>
        <w:t xml:space="preserve"> a</w:t>
      </w:r>
      <w:r w:rsidR="00DF2016">
        <w:t xml:space="preserve"> obchodních</w:t>
      </w:r>
      <w:r>
        <w:t>:</w:t>
      </w:r>
      <w:r w:rsidR="00B74CC0">
        <w:t xml:space="preserve"> </w:t>
      </w:r>
      <w:r w:rsidR="00EF5C7F" w:rsidRPr="00EF5C7F">
        <w:rPr>
          <w:b/>
        </w:rPr>
        <w:t>Ivo Šonka, jednatel společnosti</w:t>
      </w:r>
    </w:p>
    <w:p w:rsidR="00072315" w:rsidRPr="00EF5C7F" w:rsidRDefault="00072315">
      <w:pPr>
        <w:tabs>
          <w:tab w:val="left" w:pos="1418"/>
        </w:tabs>
        <w:ind w:left="708"/>
        <w:rPr>
          <w:b/>
        </w:rPr>
      </w:pPr>
      <w:r>
        <w:t>Ve věcech</w:t>
      </w:r>
      <w:r w:rsidR="00A57124">
        <w:t xml:space="preserve"> technických</w:t>
      </w:r>
      <w:r>
        <w:t xml:space="preserve">: </w:t>
      </w:r>
      <w:r w:rsidR="00EF5C7F" w:rsidRPr="00EF5C7F">
        <w:rPr>
          <w:b/>
        </w:rPr>
        <w:t>Roman Jakel, hlavní technik</w:t>
      </w:r>
    </w:p>
    <w:p w:rsidR="00072315" w:rsidRDefault="00072315">
      <w:pPr>
        <w:tabs>
          <w:tab w:val="left" w:pos="1418"/>
        </w:tabs>
        <w:ind w:left="708"/>
      </w:pPr>
    </w:p>
    <w:p w:rsidR="008D2E95" w:rsidRPr="008D2E95" w:rsidRDefault="00072315">
      <w:pPr>
        <w:tabs>
          <w:tab w:val="left" w:pos="1418"/>
        </w:tabs>
        <w:ind w:left="708"/>
      </w:pPr>
      <w:r>
        <w:t xml:space="preserve">                                                </w:t>
      </w:r>
      <w:r w:rsidR="009D3883">
        <w:t xml:space="preserve"> </w:t>
      </w:r>
    </w:p>
    <w:p w:rsidR="00DF2016" w:rsidRDefault="00DF2016">
      <w:pPr>
        <w:jc w:val="center"/>
        <w:rPr>
          <w:b/>
          <w:sz w:val="28"/>
        </w:rPr>
      </w:pPr>
      <w:r>
        <w:rPr>
          <w:b/>
          <w:sz w:val="28"/>
        </w:rPr>
        <w:t>2. Předmět plnění</w:t>
      </w:r>
    </w:p>
    <w:p w:rsidR="00DF2016" w:rsidRDefault="00DF2016"/>
    <w:p w:rsidR="00DF2016" w:rsidRDefault="00DF2016">
      <w:pPr>
        <w:pStyle w:val="Zkladntext"/>
        <w:jc w:val="both"/>
        <w:rPr>
          <w:b/>
        </w:rPr>
      </w:pPr>
      <w:r>
        <w:rPr>
          <w:b/>
          <w:sz w:val="20"/>
        </w:rPr>
        <w:t>2.1</w:t>
      </w:r>
      <w:r>
        <w:rPr>
          <w:b/>
        </w:rPr>
        <w:tab/>
        <w:t>Definice předmětu plnění</w:t>
      </w:r>
    </w:p>
    <w:p w:rsidR="00DF2016" w:rsidRDefault="00DF2016">
      <w:pPr>
        <w:pStyle w:val="BodyText20"/>
        <w:ind w:left="708" w:firstLine="0"/>
        <w:rPr>
          <w:color w:val="FF0000"/>
        </w:rPr>
      </w:pPr>
      <w:r>
        <w:t xml:space="preserve">Zhotovitel se  zavazuje  zabezpečit provoz a údržbu </w:t>
      </w:r>
      <w:r w:rsidR="00A314AD" w:rsidRPr="00A314AD">
        <w:rPr>
          <w:szCs w:val="24"/>
        </w:rPr>
        <w:t>elektrické požární signalizace (EPS), elektrické zabezpečovací  signalizace (EZS), PC, telefonních a optických rozvodů (SK),  kamerových systémů (CCTV), TV rozvodů (STA), satelitních antén (SAT), ostatních elektronic</w:t>
      </w:r>
      <w:r w:rsidR="00F902AF">
        <w:rPr>
          <w:szCs w:val="24"/>
        </w:rPr>
        <w:t xml:space="preserve">kých </w:t>
      </w:r>
      <w:r w:rsidR="00F902AF" w:rsidRPr="00B74CC0">
        <w:rPr>
          <w:szCs w:val="24"/>
        </w:rPr>
        <w:t>zařízení</w:t>
      </w:r>
      <w:r w:rsidR="00A314AD" w:rsidRPr="00A314AD">
        <w:rPr>
          <w:szCs w:val="24"/>
        </w:rPr>
        <w:t xml:space="preserve"> a nouzového</w:t>
      </w:r>
      <w:r w:rsidR="00A314AD">
        <w:rPr>
          <w:szCs w:val="24"/>
        </w:rPr>
        <w:t xml:space="preserve"> osvětlení, </w:t>
      </w:r>
      <w:r>
        <w:t xml:space="preserve">což zahrnuje všechny činnosti potřebné k posouzení technického stavu, všechny činnosti potřebné k zajištění předepsaných parametrů a pravidelnou revizní činnost při zajišťování chodu těchto zařízení. Veškeré práce mimo revizí a pravidelných periodických prohlídek budou realizovány na základě </w:t>
      </w:r>
      <w:r w:rsidR="00D33D91">
        <w:t xml:space="preserve">telefonické </w:t>
      </w:r>
      <w:r>
        <w:t>objednávky požadované odběratelem.</w:t>
      </w:r>
    </w:p>
    <w:p w:rsidR="00DF2016" w:rsidRDefault="00DF2016">
      <w:pPr>
        <w:ind w:left="708"/>
        <w:jc w:val="both"/>
      </w:pPr>
      <w:r>
        <w:t xml:space="preserve"> </w:t>
      </w:r>
    </w:p>
    <w:p w:rsidR="00DF2016" w:rsidRDefault="00DF2016">
      <w:pPr>
        <w:jc w:val="both"/>
        <w:rPr>
          <w:b/>
        </w:rPr>
      </w:pPr>
      <w:r>
        <w:rPr>
          <w:b/>
          <w:sz w:val="20"/>
        </w:rPr>
        <w:t>2.2</w:t>
      </w:r>
      <w:r>
        <w:rPr>
          <w:b/>
        </w:rPr>
        <w:tab/>
        <w:t>Dokumentace</w:t>
      </w:r>
    </w:p>
    <w:p w:rsidR="00DF2016" w:rsidRDefault="00DF2016">
      <w:pPr>
        <w:ind w:left="705"/>
        <w:jc w:val="both"/>
      </w:pPr>
      <w:r>
        <w:lastRenderedPageBreak/>
        <w:t>Zhotovitel se dále zavazuje předat objednateli veškerou dokumentaci, která vznikne pro jeho potřeby při realizaci předmětu plnění, nebo bude součástí dodávky materiálu (záruční listy,</w:t>
      </w:r>
      <w:r w:rsidR="00072315">
        <w:t xml:space="preserve"> </w:t>
      </w:r>
      <w:r>
        <w:t xml:space="preserve">pokyny pro údržbu zařízení apod.). </w:t>
      </w:r>
    </w:p>
    <w:p w:rsidR="00D30E4F" w:rsidRDefault="00D30E4F">
      <w:pPr>
        <w:ind w:left="705"/>
        <w:jc w:val="both"/>
      </w:pPr>
    </w:p>
    <w:p w:rsidR="00D30E4F" w:rsidRPr="002C19A6" w:rsidRDefault="00D30E4F">
      <w:pPr>
        <w:ind w:left="705"/>
        <w:jc w:val="both"/>
      </w:pPr>
      <w:r w:rsidRPr="002C19A6">
        <w:t>Dokumentace, vzniklá při realizaci předmětu plnění (revizní zprávy apod.), bude dodána objednateli nejpozději do 14 kalendářních dnů od provedení prohlídky, revize nebo kontroly. O</w:t>
      </w:r>
      <w:r w:rsidR="00C84650" w:rsidRPr="002C19A6">
        <w:t>statní dokumenty, které jsou</w:t>
      </w:r>
      <w:r w:rsidRPr="002C19A6">
        <w:t xml:space="preserve"> součástí dodávky materiálu</w:t>
      </w:r>
      <w:r w:rsidR="00C84650" w:rsidRPr="002C19A6">
        <w:t>,</w:t>
      </w:r>
      <w:r w:rsidRPr="002C19A6">
        <w:t xml:space="preserve"> budou objednateli doručeny nebo předány po ukončení dodávky nebo služby a to ve stejné lhůtě 14 kalendářních dnů.</w:t>
      </w:r>
    </w:p>
    <w:p w:rsidR="00DF2016" w:rsidRDefault="00DF2016">
      <w:pPr>
        <w:jc w:val="both"/>
      </w:pPr>
    </w:p>
    <w:p w:rsidR="00DF2016" w:rsidRDefault="00DF2016">
      <w:pPr>
        <w:jc w:val="both"/>
        <w:rPr>
          <w:b/>
        </w:rPr>
      </w:pPr>
      <w:r>
        <w:rPr>
          <w:b/>
          <w:sz w:val="20"/>
        </w:rPr>
        <w:t>2.3</w:t>
      </w:r>
      <w:r>
        <w:tab/>
      </w:r>
      <w:r>
        <w:rPr>
          <w:b/>
        </w:rPr>
        <w:t>Dodržování předpisů při realizaci</w:t>
      </w:r>
    </w:p>
    <w:p w:rsidR="00DF2016" w:rsidRDefault="00DF2016">
      <w:pPr>
        <w:ind w:left="708"/>
        <w:jc w:val="both"/>
      </w:pPr>
      <w:r>
        <w:t xml:space="preserve">Zhotovitel se zavazuje k dodržování platných předpisů a norem pro prováděné </w:t>
      </w:r>
      <w:r w:rsidR="005766D9">
        <w:t>činnosti</w:t>
      </w:r>
      <w:r>
        <w:t xml:space="preserve"> práce.</w:t>
      </w:r>
    </w:p>
    <w:p w:rsidR="00DF2016" w:rsidRDefault="00DF2016">
      <w:pPr>
        <w:ind w:left="708"/>
        <w:jc w:val="both"/>
      </w:pPr>
    </w:p>
    <w:p w:rsidR="00DF2016" w:rsidRDefault="00DF2016">
      <w:pPr>
        <w:jc w:val="both"/>
        <w:rPr>
          <w:b/>
        </w:rPr>
      </w:pPr>
      <w:r>
        <w:rPr>
          <w:b/>
          <w:sz w:val="20"/>
        </w:rPr>
        <w:t>2.4</w:t>
      </w:r>
      <w:r>
        <w:rPr>
          <w:b/>
        </w:rPr>
        <w:tab/>
        <w:t>Konzultace a zajištění realizace smlouvy</w:t>
      </w:r>
    </w:p>
    <w:p w:rsidR="00DF2016" w:rsidRDefault="00DF2016">
      <w:pPr>
        <w:ind w:left="708"/>
        <w:jc w:val="both"/>
      </w:pPr>
      <w:r>
        <w:t>Posuzování ve věcech technických bude prováděno operativně dle dohody osobami oprávněnými za smluvní strany.</w:t>
      </w:r>
    </w:p>
    <w:p w:rsidR="00DF2016" w:rsidRDefault="00DF2016">
      <w:pPr>
        <w:jc w:val="both"/>
      </w:pPr>
    </w:p>
    <w:p w:rsidR="00DF2016" w:rsidRDefault="00DF2016">
      <w:pPr>
        <w:jc w:val="both"/>
        <w:rPr>
          <w:b/>
        </w:rPr>
      </w:pPr>
      <w:r>
        <w:rPr>
          <w:b/>
          <w:sz w:val="20"/>
        </w:rPr>
        <w:t>2.5</w:t>
      </w:r>
      <w:r>
        <w:rPr>
          <w:b/>
        </w:rPr>
        <w:tab/>
        <w:t>Hlášení a evidence poruch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2016" w:rsidRDefault="00DF2016">
      <w:pPr>
        <w:spacing w:before="120" w:line="240" w:lineRule="atLeast"/>
        <w:ind w:left="720"/>
        <w:jc w:val="both"/>
      </w:pPr>
      <w:r>
        <w:t>Zhotovitel zajistí stálou pohotovostní službu pro mimořádné případy. Závady (poruchy) či požadované služby budou nahlášen</w:t>
      </w:r>
      <w:r w:rsidR="00F76656">
        <w:t>y  na jedno z telefonních čísel</w:t>
      </w:r>
      <w:r>
        <w:t>:</w:t>
      </w:r>
    </w:p>
    <w:p w:rsidR="00DF2016" w:rsidRPr="00EF5C7F" w:rsidRDefault="00B33110">
      <w:pPr>
        <w:spacing w:before="120" w:line="240" w:lineRule="atLeast"/>
        <w:ind w:left="720"/>
        <w:jc w:val="both"/>
        <w:rPr>
          <w:b/>
        </w:rPr>
      </w:pPr>
      <w:r w:rsidRPr="00EF5C7F">
        <w:rPr>
          <w:b/>
        </w:rPr>
        <w:t>T</w:t>
      </w:r>
      <w:r w:rsidR="00DF2016" w:rsidRPr="00EF5C7F">
        <w:rPr>
          <w:b/>
        </w:rPr>
        <w:t>el</w:t>
      </w:r>
      <w:r w:rsidRPr="00EF5C7F">
        <w:rPr>
          <w:b/>
        </w:rPr>
        <w:t>efon:</w:t>
      </w:r>
      <w:r w:rsidR="00EF5C7F" w:rsidRPr="00EF5C7F">
        <w:rPr>
          <w:b/>
        </w:rPr>
        <w:t xml:space="preserve"> +420 596 619 788</w:t>
      </w:r>
    </w:p>
    <w:p w:rsidR="00B54E6A" w:rsidRPr="00EF5C7F" w:rsidRDefault="002F0699" w:rsidP="00B54E6A">
      <w:pPr>
        <w:spacing w:before="120" w:line="240" w:lineRule="atLeast"/>
        <w:ind w:left="720"/>
        <w:rPr>
          <w:b/>
        </w:rPr>
      </w:pPr>
      <w:r w:rsidRPr="00EF5C7F">
        <w:rPr>
          <w:b/>
        </w:rPr>
        <w:t>G</w:t>
      </w:r>
      <w:r w:rsidR="00DF2016" w:rsidRPr="00EF5C7F">
        <w:rPr>
          <w:b/>
        </w:rPr>
        <w:t>SM</w:t>
      </w:r>
      <w:r w:rsidR="00F55477" w:rsidRPr="00EF5C7F">
        <w:rPr>
          <w:b/>
        </w:rPr>
        <w:t xml:space="preserve"> </w:t>
      </w:r>
      <w:r w:rsidR="00DF2016" w:rsidRPr="00EF5C7F">
        <w:rPr>
          <w:b/>
        </w:rPr>
        <w:t>brána:</w:t>
      </w:r>
      <w:r w:rsidR="00EF5C7F" w:rsidRPr="00EF5C7F">
        <w:rPr>
          <w:b/>
        </w:rPr>
        <w:t xml:space="preserve"> +420 603 424 620</w:t>
      </w:r>
      <w:r w:rsidR="00ED75FA" w:rsidRPr="00EF5C7F">
        <w:rPr>
          <w:b/>
        </w:rPr>
        <w:t xml:space="preserve">                                                </w:t>
      </w:r>
      <w:r w:rsidR="00F55477" w:rsidRPr="00EF5C7F">
        <w:rPr>
          <w:b/>
        </w:rPr>
        <w:t xml:space="preserve"> </w:t>
      </w:r>
    </w:p>
    <w:p w:rsidR="00DF2016" w:rsidRPr="00EF5C7F" w:rsidRDefault="00B33110" w:rsidP="00B33110">
      <w:pPr>
        <w:spacing w:before="120" w:line="240" w:lineRule="atLeast"/>
        <w:ind w:left="720"/>
        <w:rPr>
          <w:b/>
        </w:rPr>
      </w:pPr>
      <w:r w:rsidRPr="00EF5C7F">
        <w:rPr>
          <w:b/>
        </w:rPr>
        <w:t>S</w:t>
      </w:r>
      <w:r w:rsidR="00DB41E5" w:rsidRPr="00EF5C7F">
        <w:rPr>
          <w:b/>
        </w:rPr>
        <w:t>ervis</w:t>
      </w:r>
      <w:r w:rsidRPr="00EF5C7F">
        <w:rPr>
          <w:b/>
        </w:rPr>
        <w:t>:</w:t>
      </w:r>
      <w:r w:rsidR="00EF5C7F" w:rsidRPr="00EF5C7F">
        <w:rPr>
          <w:b/>
        </w:rPr>
        <w:t>+420 603424620</w:t>
      </w:r>
      <w:r w:rsidR="00ED75FA" w:rsidRPr="00EF5C7F">
        <w:rPr>
          <w:b/>
        </w:rPr>
        <w:t xml:space="preserve">                    </w:t>
      </w:r>
      <w:r w:rsidRPr="00EF5C7F">
        <w:rPr>
          <w:b/>
        </w:rPr>
        <w:tab/>
      </w:r>
      <w:r w:rsidRPr="00EF5C7F">
        <w:rPr>
          <w:b/>
        </w:rPr>
        <w:tab/>
        <w:t xml:space="preserve"> </w:t>
      </w:r>
      <w:r w:rsidR="001C0D13" w:rsidRPr="00EF5C7F">
        <w:rPr>
          <w:b/>
        </w:rPr>
        <w:t xml:space="preserve"> </w:t>
      </w:r>
      <w:r w:rsidR="00DF2016" w:rsidRPr="00EF5C7F">
        <w:rPr>
          <w:b/>
        </w:rPr>
        <w:tab/>
      </w:r>
      <w:r w:rsidR="00DF2016" w:rsidRPr="00EF5C7F">
        <w:rPr>
          <w:b/>
        </w:rPr>
        <w:tab/>
      </w:r>
      <w:r w:rsidR="00DF2016" w:rsidRPr="00EF5C7F">
        <w:rPr>
          <w:b/>
        </w:rPr>
        <w:tab/>
      </w:r>
      <w:r w:rsidR="00DF2016" w:rsidRPr="00EF5C7F">
        <w:rPr>
          <w:b/>
        </w:rPr>
        <w:tab/>
        <w:t xml:space="preserve"> </w:t>
      </w:r>
    </w:p>
    <w:p w:rsidR="00DF2016" w:rsidRDefault="00DF2016" w:rsidP="00ED75FA">
      <w:pPr>
        <w:spacing w:before="120" w:line="240" w:lineRule="atLeast"/>
        <w:ind w:left="720"/>
        <w:jc w:val="both"/>
      </w:pPr>
      <w:r>
        <w:t>Objednatel nahlásí své jméno, název a adresu organizace, čas hlášení poruchy a stručný popis projevující se závady</w:t>
      </w:r>
      <w:r w:rsidR="007C2902">
        <w:t xml:space="preserve"> </w:t>
      </w:r>
      <w:r>
        <w:t>(popř.</w:t>
      </w:r>
      <w:r w:rsidR="00072315">
        <w:t xml:space="preserve"> </w:t>
      </w:r>
      <w:r>
        <w:t>požadované služby) a jméno komu byla závada nahlášena. Zhotovitel zaznamená nahlášené údaje do knihy poruch, která bude u něj uložena. Účtované položky budou pro účely fakturace zaznamenány pracovníkem servisu do soupisu provedených prací</w:t>
      </w:r>
      <w:r w:rsidR="00DF2E7E">
        <w:t xml:space="preserve"> – zakázkového listu</w:t>
      </w:r>
      <w:r>
        <w:t xml:space="preserve"> a jejich správnost bude potvrzena podpisem oprávněného pracovníka objednatele po provedení požadované práce.</w:t>
      </w:r>
    </w:p>
    <w:p w:rsidR="00DF2016" w:rsidRDefault="00DF2016" w:rsidP="00ED75FA">
      <w:pPr>
        <w:ind w:left="720"/>
        <w:jc w:val="both"/>
      </w:pPr>
    </w:p>
    <w:p w:rsidR="00DF2016" w:rsidRDefault="00DF2016" w:rsidP="00ED75FA">
      <w:pPr>
        <w:ind w:left="720"/>
        <w:jc w:val="both"/>
      </w:pPr>
      <w:r>
        <w:t xml:space="preserve">                                     </w:t>
      </w:r>
    </w:p>
    <w:p w:rsidR="00DF2016" w:rsidRDefault="00DF2016">
      <w:pPr>
        <w:jc w:val="center"/>
        <w:rPr>
          <w:b/>
          <w:sz w:val="28"/>
        </w:rPr>
      </w:pPr>
      <w:r>
        <w:rPr>
          <w:b/>
          <w:sz w:val="28"/>
        </w:rPr>
        <w:t>3. Doba a místo plnění</w:t>
      </w:r>
    </w:p>
    <w:p w:rsidR="00DF2016" w:rsidRDefault="00DF2016">
      <w:pPr>
        <w:rPr>
          <w:caps/>
        </w:rPr>
      </w:pPr>
    </w:p>
    <w:p w:rsidR="00DF2016" w:rsidRDefault="00072315" w:rsidP="00072315">
      <w:pPr>
        <w:tabs>
          <w:tab w:val="left" w:pos="360"/>
          <w:tab w:val="left" w:pos="705"/>
        </w:tabs>
        <w:jc w:val="both"/>
      </w:pPr>
      <w:r w:rsidRPr="003F7CEA">
        <w:rPr>
          <w:b/>
          <w:sz w:val="20"/>
        </w:rPr>
        <w:lastRenderedPageBreak/>
        <w:t>3.1</w:t>
      </w:r>
      <w:r w:rsidR="00DF2016">
        <w:rPr>
          <w:b/>
        </w:rPr>
        <w:t xml:space="preserve">      Doba a místo plnění</w:t>
      </w:r>
    </w:p>
    <w:p w:rsidR="004325B1" w:rsidRDefault="00DF2016">
      <w:pPr>
        <w:ind w:left="705"/>
        <w:jc w:val="both"/>
      </w:pPr>
      <w:r w:rsidRPr="006144DA">
        <w:t>Smlouva se uzavírá na dobu</w:t>
      </w:r>
      <w:r w:rsidR="007153F8" w:rsidRPr="006144DA">
        <w:t xml:space="preserve"> max.</w:t>
      </w:r>
      <w:r w:rsidRPr="006144DA">
        <w:t xml:space="preserve"> </w:t>
      </w:r>
      <w:r w:rsidR="002C19A6">
        <w:t>na dobu 60</w:t>
      </w:r>
      <w:r w:rsidR="004325B1">
        <w:t xml:space="preserve"> měsíců od platnosti smlouvy.</w:t>
      </w:r>
    </w:p>
    <w:p w:rsidR="004749D7" w:rsidRDefault="00AC3115" w:rsidP="002C19A6">
      <w:pPr>
        <w:pStyle w:val="Bezmezer"/>
        <w:ind w:left="705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t>Místem plnění j</w:t>
      </w:r>
      <w:r w:rsidR="002F0699">
        <w:t>sou</w:t>
      </w:r>
      <w:r>
        <w:t xml:space="preserve"> objekt</w:t>
      </w:r>
      <w:r w:rsidR="002F0699">
        <w:t>y spadající pod správu objednatele.</w:t>
      </w:r>
      <w:r>
        <w:t xml:space="preserve"> </w:t>
      </w:r>
      <w:r w:rsidR="002C19A6" w:rsidRPr="002C19A6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S ohledem na maximální předpokládanou hodnotu veřejné zakázky bude smlouva </w:t>
      </w:r>
      <w:r w:rsidR="005766D9" w:rsidRPr="002C19A6">
        <w:rPr>
          <w:rFonts w:ascii="Times New Roman" w:hAnsi="Times New Roman" w:cs="Times New Roman"/>
          <w:bCs/>
          <w:sz w:val="24"/>
          <w:szCs w:val="24"/>
          <w:lang w:eastAsia="cs-CZ"/>
        </w:rPr>
        <w:t>ukončena k termínu</w:t>
      </w:r>
      <w:r w:rsidR="002C19A6" w:rsidRPr="002C19A6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profinancování předpokládané hodnoty zakázky nebo k datu trvání smlouvy, tj. 60 měsíců, podle toho, která skutečnost nastane dříve.</w:t>
      </w:r>
      <w:r w:rsidR="004749D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4749D7" w:rsidRDefault="004749D7" w:rsidP="002C19A6">
      <w:pPr>
        <w:pStyle w:val="Bezmezer"/>
        <w:ind w:left="705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:rsidR="00DF2016" w:rsidRDefault="00DF2016">
      <w:pPr>
        <w:jc w:val="center"/>
        <w:rPr>
          <w:b/>
          <w:sz w:val="28"/>
        </w:rPr>
      </w:pPr>
    </w:p>
    <w:p w:rsidR="00DF2016" w:rsidRPr="00BB221A" w:rsidRDefault="00DF2016">
      <w:pPr>
        <w:jc w:val="center"/>
        <w:rPr>
          <w:b/>
          <w:sz w:val="28"/>
        </w:rPr>
      </w:pPr>
      <w:r w:rsidRPr="00BB221A">
        <w:rPr>
          <w:b/>
          <w:sz w:val="28"/>
        </w:rPr>
        <w:t>4. Cena předmětu plnění</w:t>
      </w:r>
    </w:p>
    <w:p w:rsidR="00DF2016" w:rsidRDefault="00DF2016"/>
    <w:p w:rsidR="00DF2016" w:rsidRDefault="00DF2016">
      <w:pPr>
        <w:tabs>
          <w:tab w:val="left" w:pos="360"/>
        </w:tabs>
        <w:jc w:val="both"/>
      </w:pPr>
      <w:r w:rsidRPr="003F7CEA">
        <w:rPr>
          <w:b/>
          <w:sz w:val="20"/>
        </w:rPr>
        <w:t>4.1</w:t>
      </w:r>
      <w:r>
        <w:rPr>
          <w:b/>
        </w:rPr>
        <w:t xml:space="preserve">      Cena předmětu plnění</w:t>
      </w:r>
    </w:p>
    <w:tbl>
      <w:tblPr>
        <w:tblW w:w="96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4685"/>
        <w:gridCol w:w="1479"/>
        <w:gridCol w:w="1726"/>
      </w:tblGrid>
      <w:tr w:rsidR="00906DE5" w:rsidRPr="00834C6A" w:rsidTr="00AA03EC">
        <w:trPr>
          <w:trHeight w:val="286"/>
        </w:trPr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DE5" w:rsidRPr="003D0E98" w:rsidRDefault="00906DE5" w:rsidP="0058500A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 – NABÍDKOVÁ CENA</w:t>
            </w:r>
          </w:p>
        </w:tc>
      </w:tr>
      <w:tr w:rsidR="00906DE5" w:rsidRPr="00A66971" w:rsidTr="00AA03EC">
        <w:trPr>
          <w:trHeight w:val="357"/>
        </w:trPr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b/>
                <w:bCs/>
                <w:color w:val="000000"/>
                <w:sz w:val="28"/>
                <w:szCs w:val="28"/>
              </w:rPr>
              <w:t>NÁZEV ZAŘÍZENÍ</w:t>
            </w:r>
          </w:p>
        </w:tc>
        <w:tc>
          <w:tcPr>
            <w:tcW w:w="4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b/>
                <w:bCs/>
                <w:color w:val="000000"/>
                <w:sz w:val="28"/>
                <w:szCs w:val="28"/>
              </w:rPr>
              <w:t>POPIS SLUŽBY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b/>
                <w:bCs/>
                <w:color w:val="000000"/>
                <w:sz w:val="28"/>
                <w:szCs w:val="28"/>
              </w:rPr>
              <w:t>Nabídková cena v Kč bez DPH*</w:t>
            </w:r>
          </w:p>
        </w:tc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b/>
                <w:bCs/>
                <w:color w:val="000000"/>
                <w:sz w:val="28"/>
                <w:szCs w:val="28"/>
              </w:rPr>
              <w:t>Měrná jednotka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b/>
                <w:bCs/>
                <w:color w:val="000000"/>
                <w:sz w:val="28"/>
                <w:szCs w:val="28"/>
              </w:rPr>
              <w:t>A - KONTROLNÍ SLUŽBY</w:t>
            </w: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b/>
                <w:bCs/>
                <w:color w:val="000000"/>
                <w:sz w:val="28"/>
                <w:szCs w:val="28"/>
              </w:rPr>
              <w:t>DOMOV BARVEVNÝ SVĚT (DBS)</w:t>
            </w:r>
          </w:p>
        </w:tc>
        <w:tc>
          <w:tcPr>
            <w:tcW w:w="4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 xml:space="preserve">Půlroční kontrola </w:t>
            </w:r>
            <w:r w:rsidRPr="00A66971">
              <w:rPr>
                <w:rFonts w:cs="Calibri"/>
                <w:b/>
                <w:bCs/>
                <w:color w:val="FF0000"/>
                <w:sz w:val="28"/>
                <w:szCs w:val="28"/>
              </w:rPr>
              <w:t>EZS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 xml:space="preserve">Půlroční kontrola </w:t>
            </w:r>
            <w:r w:rsidRPr="00A66971">
              <w:rPr>
                <w:rFonts w:cs="Calibri"/>
                <w:b/>
                <w:bCs/>
                <w:color w:val="00B050"/>
                <w:sz w:val="28"/>
                <w:szCs w:val="28"/>
              </w:rPr>
              <w:t>EPS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sz w:val="28"/>
                <w:szCs w:val="28"/>
              </w:rPr>
            </w:pPr>
            <w:r w:rsidRPr="00A66971">
              <w:rPr>
                <w:rFonts w:cs="Calibri"/>
                <w:sz w:val="28"/>
                <w:szCs w:val="28"/>
              </w:rPr>
              <w:t xml:space="preserve">Roční kontrola s revizí </w:t>
            </w:r>
            <w:r w:rsidRPr="00A66971">
              <w:rPr>
                <w:rFonts w:cs="Calibri"/>
                <w:b/>
                <w:bCs/>
                <w:color w:val="FF0000"/>
                <w:sz w:val="28"/>
                <w:szCs w:val="28"/>
              </w:rPr>
              <w:t>EZS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 xml:space="preserve">Roční kontrola s revizí  </w:t>
            </w:r>
            <w:r w:rsidRPr="00A66971">
              <w:rPr>
                <w:rFonts w:cs="Calibri"/>
                <w:b/>
                <w:bCs/>
                <w:color w:val="00B050"/>
                <w:sz w:val="28"/>
                <w:szCs w:val="28"/>
              </w:rPr>
              <w:t>EPS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Roční kontrola</w:t>
            </w:r>
            <w:r w:rsidRPr="00A66971">
              <w:rPr>
                <w:rFonts w:cs="Calibri"/>
                <w:color w:val="000000"/>
                <w:sz w:val="28"/>
                <w:szCs w:val="28"/>
              </w:rPr>
              <w:t xml:space="preserve"> nouzového osvětlení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40664B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8261C7">
              <w:rPr>
                <w:rFonts w:cs="Calibri"/>
                <w:b/>
                <w:bCs/>
                <w:color w:val="000000"/>
                <w:sz w:val="28"/>
                <w:szCs w:val="28"/>
              </w:rPr>
              <w:t>DOMOV NA LIŠČINĚ (DL)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Půlroční kontrola </w:t>
            </w:r>
            <w:r w:rsidRPr="008261C7">
              <w:rPr>
                <w:rFonts w:cs="Calibri"/>
                <w:b/>
                <w:color w:val="FF0000"/>
                <w:sz w:val="28"/>
                <w:szCs w:val="28"/>
              </w:rPr>
              <w:t>EZS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06DE5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Roční kontrola </w:t>
            </w:r>
            <w:r w:rsidRPr="008261C7">
              <w:rPr>
                <w:rFonts w:cs="Calibri"/>
                <w:b/>
                <w:color w:val="FF0000"/>
                <w:sz w:val="28"/>
                <w:szCs w:val="28"/>
              </w:rPr>
              <w:t>EZS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s revizí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06DE5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Roční kontrola nouzového osvětlení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Kč/objekt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EDED"/>
            <w:vAlign w:val="center"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06DE5" w:rsidRPr="0017798B" w:rsidRDefault="00906DE5" w:rsidP="0058500A">
            <w:pPr>
              <w:rPr>
                <w:rFonts w:cs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E5" w:rsidRPr="00A66971" w:rsidRDefault="0001368E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6DE5" w:rsidRPr="00A66971" w:rsidRDefault="0001368E" w:rsidP="0001368E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x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sz w:val="20"/>
              </w:rPr>
            </w:pPr>
          </w:p>
        </w:tc>
      </w:tr>
      <w:tr w:rsidR="00906DE5" w:rsidRPr="00A66971" w:rsidTr="00AA03EC">
        <w:trPr>
          <w:trHeight w:val="357"/>
        </w:trPr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b/>
                <w:bCs/>
                <w:color w:val="000000"/>
                <w:sz w:val="28"/>
                <w:szCs w:val="28"/>
              </w:rPr>
              <w:t>DBS a DL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Servisní práce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383A8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Kč/hod.</w:t>
            </w:r>
          </w:p>
        </w:tc>
      </w:tr>
      <w:tr w:rsidR="00906DE5" w:rsidRPr="00A66971" w:rsidTr="00AA03EC">
        <w:trPr>
          <w:trHeight w:val="357"/>
        </w:trPr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Programovací hodina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383A8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Kč/hod.</w:t>
            </w:r>
          </w:p>
        </w:tc>
      </w:tr>
      <w:tr w:rsidR="00906DE5" w:rsidRPr="00A66971" w:rsidTr="00AA03EC">
        <w:trPr>
          <w:trHeight w:val="371"/>
        </w:trPr>
        <w:tc>
          <w:tcPr>
            <w:tcW w:w="1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Práce na rozvodech a elektroinstalacích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383A8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DE5" w:rsidRPr="00A66971" w:rsidRDefault="00906DE5" w:rsidP="0058500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A66971">
              <w:rPr>
                <w:rFonts w:cs="Calibri"/>
                <w:color w:val="000000"/>
                <w:sz w:val="28"/>
                <w:szCs w:val="28"/>
              </w:rPr>
              <w:t>Kč/hod.</w:t>
            </w:r>
          </w:p>
        </w:tc>
      </w:tr>
    </w:tbl>
    <w:p w:rsidR="00906DE5" w:rsidRPr="00EF2643" w:rsidRDefault="00906DE5" w:rsidP="00906DE5">
      <w:pPr>
        <w:rPr>
          <w:rFonts w:cs="Calibri"/>
          <w:b/>
          <w:bCs/>
          <w:color w:val="000000"/>
        </w:rPr>
      </w:pPr>
    </w:p>
    <w:p w:rsidR="00906DE5" w:rsidRDefault="00906DE5" w:rsidP="00906DE5">
      <w:pPr>
        <w:ind w:left="7788" w:firstLine="708"/>
        <w:jc w:val="center"/>
        <w:rPr>
          <w:rFonts w:cs="Calibri"/>
          <w:b/>
          <w:bCs/>
          <w:color w:val="000000"/>
          <w:sz w:val="28"/>
          <w:szCs w:val="28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906DE5" w:rsidRPr="00834C6A" w:rsidTr="00AA03EC">
        <w:trPr>
          <w:trHeight w:val="24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06DE5" w:rsidRPr="00834C6A" w:rsidRDefault="00906DE5" w:rsidP="0058500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B- </w:t>
            </w:r>
            <w:r w:rsidRPr="00834C6A">
              <w:rPr>
                <w:rFonts w:cs="Calibri"/>
                <w:b/>
                <w:bCs/>
                <w:color w:val="000000"/>
              </w:rPr>
              <w:t>NAVÝŠENÍ dle specifikace ve smlouvě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DE5" w:rsidRPr="003D0E98" w:rsidRDefault="00906DE5" w:rsidP="0058500A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v %</w:t>
            </w:r>
          </w:p>
        </w:tc>
      </w:tr>
      <w:tr w:rsidR="00906DE5" w:rsidRPr="003A6EEC" w:rsidTr="00BB221A">
        <w:trPr>
          <w:trHeight w:val="88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6DE5" w:rsidRPr="003A6EEC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3A6EEC">
              <w:rPr>
                <w:rFonts w:cs="Calibri"/>
                <w:color w:val="000000"/>
                <w:sz w:val="28"/>
                <w:szCs w:val="28"/>
              </w:rPr>
              <w:t xml:space="preserve">Navýšení  nabídkové ceny bez DPH/hod. práce při mimořádném požadavku objednatele na </w:t>
            </w:r>
            <w:r w:rsidRPr="003A6EEC">
              <w:rPr>
                <w:rFonts w:cs="Calibri"/>
                <w:b/>
                <w:color w:val="000000"/>
                <w:sz w:val="28"/>
                <w:szCs w:val="28"/>
              </w:rPr>
              <w:t>zhotovitele v době od 18.00 - 6.00 hod.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E5" w:rsidRPr="003A6EEC" w:rsidRDefault="00906DE5" w:rsidP="00BB221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906DE5" w:rsidRPr="003A6EEC" w:rsidTr="00BB221A">
        <w:trPr>
          <w:trHeight w:val="88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6DE5" w:rsidRPr="003A6EEC" w:rsidRDefault="00906DE5" w:rsidP="0058500A">
            <w:pPr>
              <w:rPr>
                <w:rFonts w:cs="Calibri"/>
                <w:color w:val="000000"/>
                <w:sz w:val="28"/>
                <w:szCs w:val="28"/>
              </w:rPr>
            </w:pPr>
            <w:r w:rsidRPr="003A6EEC">
              <w:rPr>
                <w:rFonts w:cs="Calibri"/>
                <w:color w:val="000000"/>
                <w:sz w:val="28"/>
                <w:szCs w:val="28"/>
              </w:rPr>
              <w:t xml:space="preserve">Navýšení nabídkové ceny bez DPH/hod. práce při mimořádném požadavku objednatele na zhotovitele </w:t>
            </w:r>
            <w:r w:rsidRPr="003A6EEC">
              <w:rPr>
                <w:rFonts w:cs="Calibri"/>
                <w:b/>
                <w:color w:val="000000"/>
                <w:sz w:val="28"/>
                <w:szCs w:val="28"/>
              </w:rPr>
              <w:t>o sobotách, nedělích, ve svátek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E5" w:rsidRPr="003A6EEC" w:rsidRDefault="00906DE5" w:rsidP="00BB221A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</w:tbl>
    <w:p w:rsidR="00F903D6" w:rsidRDefault="00DF2016" w:rsidP="00F903D6">
      <w:pPr>
        <w:spacing w:before="120" w:line="240" w:lineRule="atLeast"/>
        <w:ind w:left="708"/>
        <w:jc w:val="both"/>
      </w:pPr>
      <w:r>
        <w:t xml:space="preserve">Dle </w:t>
      </w:r>
      <w:r w:rsidR="00BF4D60">
        <w:t>platných norem</w:t>
      </w:r>
      <w:r>
        <w:t xml:space="preserve"> je povinností provozovatele zajistit pravidelné prohlídky zařízení    a periodické revize jednou za rok. </w:t>
      </w:r>
    </w:p>
    <w:p w:rsidR="0086079E" w:rsidRPr="00584E15" w:rsidRDefault="0086079E" w:rsidP="0086079E">
      <w:pPr>
        <w:tabs>
          <w:tab w:val="left" w:pos="284"/>
        </w:tabs>
        <w:spacing w:before="120" w:line="240" w:lineRule="atLeast"/>
        <w:ind w:left="708"/>
        <w:rPr>
          <w:szCs w:val="24"/>
        </w:rPr>
      </w:pPr>
      <w:r w:rsidRPr="00584E15">
        <w:rPr>
          <w:szCs w:val="24"/>
        </w:rPr>
        <w:t xml:space="preserve">Materiál na servisní práce bude fakturován dle skutečně vzniklých nákladů.  </w:t>
      </w:r>
    </w:p>
    <w:p w:rsidR="00DF2016" w:rsidRDefault="003F7CEA" w:rsidP="006144DA">
      <w:pPr>
        <w:spacing w:before="120" w:line="240" w:lineRule="atLeast"/>
        <w:ind w:left="708" w:hanging="708"/>
        <w:jc w:val="both"/>
      </w:pPr>
      <w:r w:rsidRPr="003F7CEA">
        <w:rPr>
          <w:b/>
          <w:sz w:val="20"/>
        </w:rPr>
        <w:t>4.2</w:t>
      </w:r>
      <w:r>
        <w:tab/>
      </w:r>
      <w:r w:rsidR="00DF2016">
        <w:t>V případě změny</w:t>
      </w:r>
      <w:r w:rsidR="00CA0272">
        <w:t xml:space="preserve"> vstupních dodavatelských cen (</w:t>
      </w:r>
      <w:r w:rsidR="00DF2016">
        <w:t>inflac</w:t>
      </w:r>
      <w:r w:rsidR="00CA0272">
        <w:t xml:space="preserve">e, změny </w:t>
      </w:r>
      <w:r w:rsidR="00CA0272" w:rsidRPr="00B74CC0">
        <w:t>valutového kurzu</w:t>
      </w:r>
      <w:r w:rsidR="00CA0272">
        <w:t xml:space="preserve"> apod.</w:t>
      </w:r>
      <w:r w:rsidR="00DF2016">
        <w:t>) mohou b</w:t>
      </w:r>
      <w:r w:rsidR="00CA0272">
        <w:t>ýt ceny upraveny (nahoru, dolů</w:t>
      </w:r>
      <w:r w:rsidR="00DF2016">
        <w:t>) jen po vzájemné dohodě smluvních stran. Při potřebě objedn</w:t>
      </w:r>
      <w:r w:rsidR="00CA0272">
        <w:t>atele pro zajišťování provozu (</w:t>
      </w:r>
      <w:r w:rsidR="00DF2016">
        <w:t>například havarijní</w:t>
      </w:r>
      <w:r w:rsidR="00CA0272">
        <w:t xml:space="preserve"> stav – povodeň, blesk, požár a</w:t>
      </w:r>
      <w:r w:rsidR="00DF2016">
        <w:t>pod.) a při okamžitém nenadálém požadavku (například změna kódu, přemístění čid</w:t>
      </w:r>
      <w:r w:rsidR="006144DA">
        <w:t>el apod.) bude cena navýšena o procento dle výše uvedené tabulky.</w:t>
      </w:r>
    </w:p>
    <w:p w:rsidR="00DF2016" w:rsidRPr="00B74CC0" w:rsidRDefault="00DF2016" w:rsidP="0086079E">
      <w:pPr>
        <w:tabs>
          <w:tab w:val="left" w:pos="284"/>
        </w:tabs>
        <w:spacing w:before="120" w:line="240" w:lineRule="atLeast"/>
        <w:ind w:left="709"/>
        <w:jc w:val="both"/>
      </w:pPr>
      <w:r w:rsidRPr="00B74CC0">
        <w:lastRenderedPageBreak/>
        <w:t>Doúčtování daně z přidané hodnoty</w:t>
      </w:r>
      <w:r w:rsidR="0074313A" w:rsidRPr="00B74CC0">
        <w:t xml:space="preserve"> bude provedeno dle Zákona č.235/2004</w:t>
      </w:r>
      <w:r w:rsidRPr="00B74CC0">
        <w:t>Sb.</w:t>
      </w:r>
      <w:r w:rsidR="0074313A" w:rsidRPr="00B74CC0">
        <w:t xml:space="preserve"> o dani z přidané hodnoty,</w:t>
      </w:r>
      <w:r w:rsidRPr="00B74CC0">
        <w:t xml:space="preserve"> v platném </w:t>
      </w:r>
      <w:r w:rsidR="0086079E" w:rsidRPr="00B74CC0">
        <w:t xml:space="preserve"> </w:t>
      </w:r>
      <w:r w:rsidRPr="00B74CC0">
        <w:t xml:space="preserve">znění. </w:t>
      </w:r>
    </w:p>
    <w:p w:rsidR="00DF2016" w:rsidRDefault="00DF2016"/>
    <w:p w:rsidR="00DF2016" w:rsidRDefault="00DF2016"/>
    <w:p w:rsidR="00DF2016" w:rsidRDefault="00DF2016">
      <w:pPr>
        <w:jc w:val="center"/>
        <w:rPr>
          <w:b/>
          <w:sz w:val="28"/>
        </w:rPr>
      </w:pPr>
      <w:r>
        <w:rPr>
          <w:b/>
          <w:sz w:val="28"/>
        </w:rPr>
        <w:t>5. Platební podmínky, úrok z prodlení,</w:t>
      </w:r>
      <w:r w:rsidR="00A57124">
        <w:rPr>
          <w:b/>
          <w:sz w:val="28"/>
        </w:rPr>
        <w:t xml:space="preserve"> </w:t>
      </w:r>
      <w:r>
        <w:rPr>
          <w:b/>
          <w:sz w:val="28"/>
        </w:rPr>
        <w:t>smluvní pokuty</w:t>
      </w:r>
    </w:p>
    <w:p w:rsidR="00DF2016" w:rsidRDefault="00DF2016"/>
    <w:p w:rsidR="00DF2016" w:rsidRDefault="00DF2016" w:rsidP="004325B1">
      <w:pPr>
        <w:ind w:left="705" w:hanging="705"/>
        <w:jc w:val="both"/>
      </w:pPr>
      <w:r>
        <w:rPr>
          <w:b/>
          <w:sz w:val="20"/>
        </w:rPr>
        <w:t>5.1</w:t>
      </w:r>
      <w:r>
        <w:tab/>
        <w:t>Splatnost fak</w:t>
      </w:r>
      <w:r w:rsidR="00ED75FA">
        <w:t xml:space="preserve">tur byla po dohodě stanovena na </w:t>
      </w:r>
      <w:r w:rsidR="00ED75FA" w:rsidRPr="00B74CC0">
        <w:t>14</w:t>
      </w:r>
      <w:r>
        <w:t xml:space="preserve"> dnů ode dne doručení objednateli (pokud objednatel neprokáže jiné datum doručení, považuje se faktura za doručenou 3.</w:t>
      </w:r>
      <w:r w:rsidR="00ED75FA">
        <w:t xml:space="preserve"> </w:t>
      </w:r>
      <w:r>
        <w:t>dnem po odeslání poštou).</w:t>
      </w:r>
    </w:p>
    <w:p w:rsidR="00DF2016" w:rsidRDefault="00DF2016" w:rsidP="004325B1">
      <w:pPr>
        <w:ind w:left="705"/>
        <w:jc w:val="both"/>
      </w:pPr>
    </w:p>
    <w:p w:rsidR="004325B1" w:rsidRDefault="00DF2016" w:rsidP="004325B1">
      <w:pPr>
        <w:jc w:val="both"/>
      </w:pPr>
      <w:r>
        <w:rPr>
          <w:b/>
          <w:sz w:val="20"/>
        </w:rPr>
        <w:t>5.2</w:t>
      </w:r>
      <w:r w:rsidR="004325B1">
        <w:tab/>
      </w:r>
      <w:r>
        <w:t>Objednatel je povinen uhradit fakturovanou  cenu ve lhůtě uvedené na příslušném</w:t>
      </w:r>
      <w:r w:rsidR="004325B1">
        <w:t xml:space="preserve">            </w:t>
      </w:r>
    </w:p>
    <w:p w:rsidR="004325B1" w:rsidRDefault="004325B1" w:rsidP="004325B1">
      <w:pPr>
        <w:ind w:firstLine="708"/>
        <w:jc w:val="both"/>
      </w:pPr>
      <w:r>
        <w:t>daňovém dokladu. Tato lhůta začíná plynout ode dne odeslání daňového dokladu.</w:t>
      </w:r>
    </w:p>
    <w:p w:rsidR="00C3717E" w:rsidRDefault="00DF2016" w:rsidP="004325B1">
      <w:pPr>
        <w:jc w:val="both"/>
      </w:pPr>
      <w:r>
        <w:t xml:space="preserve">    </w:t>
      </w:r>
      <w:r w:rsidR="00C3717E">
        <w:t xml:space="preserve">   </w:t>
      </w:r>
    </w:p>
    <w:p w:rsidR="00DF2016" w:rsidRDefault="00DF2016" w:rsidP="004325B1">
      <w:pPr>
        <w:jc w:val="both"/>
      </w:pPr>
      <w:r>
        <w:rPr>
          <w:b/>
          <w:sz w:val="20"/>
        </w:rPr>
        <w:t>5.3</w:t>
      </w:r>
      <w:r>
        <w:t xml:space="preserve">     V případě prodlení úhrady může zhotovitel po doručení objednateli požadovat za každý    </w:t>
      </w:r>
    </w:p>
    <w:p w:rsidR="00DF2016" w:rsidRDefault="00DF2016" w:rsidP="004325B1">
      <w:pPr>
        <w:jc w:val="both"/>
      </w:pPr>
      <w:r>
        <w:t xml:space="preserve">           kalendářní den prodlení úrok z prodlení 0,</w:t>
      </w:r>
      <w:r w:rsidR="003F7CEA">
        <w:t>05</w:t>
      </w:r>
      <w:r>
        <w:t xml:space="preserve"> % z fakturované ceny.</w:t>
      </w:r>
    </w:p>
    <w:p w:rsidR="00DF2016" w:rsidRDefault="00DF2016" w:rsidP="004325B1">
      <w:pPr>
        <w:jc w:val="both"/>
      </w:pPr>
    </w:p>
    <w:p w:rsidR="00DF2016" w:rsidRDefault="00DF2016" w:rsidP="004325B1">
      <w:pPr>
        <w:numPr>
          <w:ilvl w:val="1"/>
          <w:numId w:val="3"/>
        </w:numPr>
        <w:tabs>
          <w:tab w:val="left" w:pos="600"/>
        </w:tabs>
        <w:ind w:left="600" w:hanging="600"/>
        <w:jc w:val="both"/>
      </w:pPr>
      <w:r>
        <w:t>V případě nedodržení kvality a termínu požadované práce je povinen zhotovitel uhradit</w:t>
      </w:r>
    </w:p>
    <w:p w:rsidR="00DF2016" w:rsidRDefault="00DF2016" w:rsidP="004325B1">
      <w:pPr>
        <w:ind w:left="600"/>
        <w:jc w:val="both"/>
      </w:pPr>
      <w:r>
        <w:t>objednavateli za každý kalendářn</w:t>
      </w:r>
      <w:r w:rsidR="0086079E">
        <w:t>í den 0,</w:t>
      </w:r>
      <w:r w:rsidR="003F7CEA">
        <w:t>05</w:t>
      </w:r>
      <w:r w:rsidR="0086079E">
        <w:t xml:space="preserve"> % z fakturované ceny.</w:t>
      </w:r>
    </w:p>
    <w:p w:rsidR="00C84650" w:rsidRDefault="00C84650" w:rsidP="004325B1">
      <w:pPr>
        <w:ind w:left="600"/>
        <w:jc w:val="both"/>
      </w:pPr>
    </w:p>
    <w:p w:rsidR="00C84650" w:rsidRPr="002C19A6" w:rsidRDefault="00C84650" w:rsidP="00C84650">
      <w:pPr>
        <w:ind w:left="600" w:hanging="600"/>
        <w:jc w:val="both"/>
      </w:pPr>
      <w:r w:rsidRPr="002C19A6">
        <w:rPr>
          <w:b/>
          <w:sz w:val="20"/>
        </w:rPr>
        <w:t>5.5</w:t>
      </w:r>
      <w:r w:rsidRPr="002C19A6">
        <w:tab/>
        <w:t xml:space="preserve">V případě, že dodavatel nedodrží lhůty předání dokumentů objednateli dle bodu 2.2, je povinen uhradit objednateli za každý </w:t>
      </w:r>
      <w:r w:rsidRPr="002C19A6">
        <w:rPr>
          <w:b/>
        </w:rPr>
        <w:t>kalendářní den/ jednorázovou pokutu ve výši Kč</w:t>
      </w:r>
      <w:r w:rsidR="00F93668" w:rsidRPr="002C19A6">
        <w:rPr>
          <w:b/>
        </w:rPr>
        <w:t xml:space="preserve"> 200,00 vč. DPH.</w:t>
      </w:r>
    </w:p>
    <w:p w:rsidR="00DF2016" w:rsidRDefault="00DF2016">
      <w:pPr>
        <w:ind w:left="600"/>
        <w:jc w:val="both"/>
      </w:pPr>
      <w:r w:rsidRPr="002C19A6">
        <w:t xml:space="preserve">                                 </w:t>
      </w:r>
    </w:p>
    <w:p w:rsidR="00DF2016" w:rsidRDefault="00DF2016">
      <w:pPr>
        <w:jc w:val="center"/>
        <w:rPr>
          <w:b/>
          <w:sz w:val="28"/>
        </w:rPr>
      </w:pPr>
      <w:r>
        <w:rPr>
          <w:b/>
          <w:sz w:val="28"/>
        </w:rPr>
        <w:t>6.  Změny a dodatky</w:t>
      </w:r>
    </w:p>
    <w:p w:rsidR="00DF2016" w:rsidRDefault="00DF2016">
      <w:pPr>
        <w:pStyle w:val="BodyText3"/>
        <w:ind w:left="705"/>
      </w:pPr>
    </w:p>
    <w:p w:rsidR="00DF2016" w:rsidRDefault="00DF2016">
      <w:pPr>
        <w:pStyle w:val="Nad1"/>
        <w:ind w:left="705" w:hanging="705"/>
        <w:jc w:val="both"/>
        <w:rPr>
          <w:b w:val="0"/>
        </w:rPr>
      </w:pPr>
      <w:r>
        <w:rPr>
          <w:sz w:val="20"/>
        </w:rPr>
        <w:t>6.1</w:t>
      </w:r>
      <w:r>
        <w:tab/>
      </w:r>
      <w:r>
        <w:rPr>
          <w:b w:val="0"/>
        </w:rPr>
        <w:t>Pokud některá ze smluvních stran bude požadovat změnu některého ustanovení této smlouvy, musí být oboustranně písemnými číslovanými dodatky odsouhlaseny.</w:t>
      </w:r>
    </w:p>
    <w:p w:rsidR="00DF2016" w:rsidRDefault="00DF2016">
      <w:pPr>
        <w:rPr>
          <w:b/>
          <w:caps/>
        </w:rPr>
      </w:pPr>
    </w:p>
    <w:p w:rsidR="00DF2016" w:rsidRDefault="00DF2016">
      <w:pPr>
        <w:jc w:val="center"/>
        <w:rPr>
          <w:b/>
          <w:sz w:val="28"/>
        </w:rPr>
      </w:pPr>
      <w:r>
        <w:rPr>
          <w:b/>
          <w:sz w:val="28"/>
        </w:rPr>
        <w:t>7.  Zvláštní ujednání</w:t>
      </w:r>
    </w:p>
    <w:p w:rsidR="00DF2016" w:rsidRDefault="00DF2016">
      <w:pPr>
        <w:jc w:val="center"/>
      </w:pPr>
    </w:p>
    <w:p w:rsidR="00DF2016" w:rsidRDefault="00DF2016">
      <w:pPr>
        <w:jc w:val="both"/>
        <w:rPr>
          <w:b/>
        </w:rPr>
      </w:pPr>
      <w:r>
        <w:rPr>
          <w:b/>
          <w:sz w:val="20"/>
        </w:rPr>
        <w:t>7.1</w:t>
      </w:r>
      <w:r>
        <w:rPr>
          <w:b/>
        </w:rPr>
        <w:t xml:space="preserve">      Povinnost zachovat tajemství</w:t>
      </w:r>
    </w:p>
    <w:p w:rsidR="00DF2016" w:rsidRDefault="00DF2016" w:rsidP="00ED75FA">
      <w:pPr>
        <w:pStyle w:val="Zkladntext"/>
        <w:ind w:left="705"/>
        <w:jc w:val="both"/>
      </w:pPr>
      <w:r>
        <w:t xml:space="preserve">Dokumentace poskytnutá objednatelem je určena pouze pro vlastní potřebu zhotovitele ve smyslu této smlouvy. Případné jiné použití předané dokumentace </w:t>
      </w:r>
      <w:r>
        <w:lastRenderedPageBreak/>
        <w:t xml:space="preserve">(ať v celku nebo zčásti) zhotovitelem, nebo přenechání dokumentace třetí osobě bez předchozí písemné domluvy s oprávněnou stranou, by odporovalo této smlouvě. </w:t>
      </w:r>
    </w:p>
    <w:p w:rsidR="00DF2016" w:rsidRDefault="00DF2016" w:rsidP="00ED75FA">
      <w:pPr>
        <w:jc w:val="both"/>
        <w:rPr>
          <w:b/>
        </w:rPr>
      </w:pPr>
    </w:p>
    <w:p w:rsidR="00DF2016" w:rsidRDefault="00DF2016">
      <w:pPr>
        <w:jc w:val="center"/>
        <w:rPr>
          <w:b/>
          <w:sz w:val="28"/>
        </w:rPr>
      </w:pPr>
      <w:r>
        <w:rPr>
          <w:b/>
          <w:sz w:val="28"/>
        </w:rPr>
        <w:t>8. Závěrečná ustanovení</w:t>
      </w:r>
    </w:p>
    <w:p w:rsidR="00DF2016" w:rsidRDefault="00DF2016">
      <w:pPr>
        <w:pStyle w:val="Nad1"/>
        <w:jc w:val="left"/>
      </w:pPr>
    </w:p>
    <w:p w:rsidR="00DF2016" w:rsidRDefault="00DF2016">
      <w:pPr>
        <w:pStyle w:val="Nad1"/>
        <w:jc w:val="both"/>
      </w:pPr>
      <w:r>
        <w:rPr>
          <w:sz w:val="20"/>
        </w:rPr>
        <w:t>8.1</w:t>
      </w:r>
      <w:r>
        <w:tab/>
        <w:t>Právní předpis pro řízení vzájemných vztahů</w:t>
      </w:r>
    </w:p>
    <w:p w:rsidR="00DF2016" w:rsidRDefault="00DF2016">
      <w:pPr>
        <w:pStyle w:val="Nad1"/>
        <w:ind w:left="705"/>
        <w:jc w:val="both"/>
        <w:rPr>
          <w:b w:val="0"/>
        </w:rPr>
      </w:pPr>
      <w:r w:rsidRPr="00B74CC0">
        <w:rPr>
          <w:b w:val="0"/>
        </w:rPr>
        <w:t xml:space="preserve">Není-li touto smlouvou stanoveno jinak, platí příslušná ustanovení </w:t>
      </w:r>
      <w:r w:rsidR="00C3717E" w:rsidRPr="00B74CC0">
        <w:rPr>
          <w:b w:val="0"/>
        </w:rPr>
        <w:t>Občanského zákoníku č. 89/2012 Sb. v aktuálním znění.</w:t>
      </w:r>
    </w:p>
    <w:p w:rsidR="00DF2016" w:rsidRDefault="00DF2016">
      <w:pPr>
        <w:pStyle w:val="Nad1"/>
        <w:jc w:val="both"/>
      </w:pPr>
    </w:p>
    <w:p w:rsidR="00DF2016" w:rsidRDefault="00DF2016">
      <w:pPr>
        <w:pStyle w:val="Nad1"/>
        <w:jc w:val="both"/>
      </w:pPr>
      <w:r>
        <w:rPr>
          <w:sz w:val="20"/>
        </w:rPr>
        <w:t>8.2</w:t>
      </w:r>
      <w:r>
        <w:tab/>
        <w:t>Počet výtisků</w:t>
      </w:r>
    </w:p>
    <w:p w:rsidR="00DF2016" w:rsidRDefault="00DF2016">
      <w:pPr>
        <w:pStyle w:val="Nad1"/>
        <w:ind w:left="705"/>
        <w:jc w:val="both"/>
      </w:pPr>
      <w:r>
        <w:rPr>
          <w:b w:val="0"/>
        </w:rPr>
        <w:t xml:space="preserve">Tato smlouva se vyhotovuje ve </w:t>
      </w:r>
      <w:r w:rsidR="003F7CEA">
        <w:rPr>
          <w:b w:val="0"/>
        </w:rPr>
        <w:t>dvou</w:t>
      </w:r>
      <w:r>
        <w:rPr>
          <w:b w:val="0"/>
        </w:rPr>
        <w:t xml:space="preserve"> stejnopisech s platností originálu, z nichž zhotovitel obdrží jeden originál.</w:t>
      </w:r>
    </w:p>
    <w:p w:rsidR="00DF2016" w:rsidRDefault="00DF2016">
      <w:pPr>
        <w:pStyle w:val="Nad1"/>
        <w:jc w:val="both"/>
      </w:pPr>
    </w:p>
    <w:p w:rsidR="00DF2016" w:rsidRDefault="00DF2016" w:rsidP="0086079E">
      <w:r>
        <w:rPr>
          <w:b/>
          <w:sz w:val="20"/>
        </w:rPr>
        <w:t>8.3</w:t>
      </w:r>
      <w:r>
        <w:t xml:space="preserve">  </w:t>
      </w:r>
      <w:r>
        <w:tab/>
        <w:t xml:space="preserve">Obě strany prohlašují, že před uzavřením smlouvy byly obeznámeny s podmínkami </w:t>
      </w:r>
    </w:p>
    <w:p w:rsidR="00DF2016" w:rsidRDefault="00DF2016" w:rsidP="0086079E">
      <w:pPr>
        <w:ind w:left="708"/>
      </w:pPr>
      <w:r>
        <w:t>plnění a vzájemných práv a povinností</w:t>
      </w:r>
      <w:r w:rsidR="00245A34">
        <w:t>,</w:t>
      </w:r>
      <w:r>
        <w:t xml:space="preserve"> a že tuto smlouvu uzavírají bez nátlaku</w:t>
      </w:r>
      <w:r w:rsidR="0086079E">
        <w:t xml:space="preserve"> o</w:t>
      </w:r>
      <w:r>
        <w:t xml:space="preserve"> svobodné vůli.</w:t>
      </w:r>
    </w:p>
    <w:p w:rsidR="00DF2016" w:rsidRDefault="00DF2016">
      <w:pPr>
        <w:pStyle w:val="Nad1"/>
        <w:jc w:val="both"/>
      </w:pPr>
    </w:p>
    <w:p w:rsidR="00DF2016" w:rsidRDefault="00DF2016">
      <w:pPr>
        <w:pStyle w:val="Nad1"/>
        <w:jc w:val="both"/>
      </w:pPr>
      <w:r>
        <w:rPr>
          <w:sz w:val="20"/>
        </w:rPr>
        <w:t>8.4</w:t>
      </w:r>
      <w:r>
        <w:tab/>
        <w:t>Platnost a účinnost smlouvy</w:t>
      </w:r>
    </w:p>
    <w:p w:rsidR="00DF2016" w:rsidRDefault="00DF2016">
      <w:pPr>
        <w:ind w:left="705"/>
        <w:jc w:val="both"/>
      </w:pPr>
      <w:r>
        <w:t xml:space="preserve">Smlouva vstupuje v platnost </w:t>
      </w:r>
      <w:r w:rsidR="00747D8D">
        <w:t>zveřejněním v Registru smluv</w:t>
      </w:r>
      <w:r>
        <w:t>.</w:t>
      </w:r>
    </w:p>
    <w:p w:rsidR="00DF2016" w:rsidRDefault="00DF2016">
      <w:pPr>
        <w:ind w:left="705"/>
        <w:jc w:val="both"/>
      </w:pPr>
      <w:r>
        <w:t>Účinnost smlouvy v</w:t>
      </w:r>
      <w:r w:rsidR="00747D8D">
        <w:t> </w:t>
      </w:r>
      <w:r>
        <w:t>den</w:t>
      </w:r>
      <w:r w:rsidR="00747D8D">
        <w:t xml:space="preserve"> podpisu obou smluvních stran</w:t>
      </w:r>
      <w:r>
        <w:t>.</w:t>
      </w:r>
    </w:p>
    <w:p w:rsidR="00DF2016" w:rsidRDefault="00DF2016">
      <w:pPr>
        <w:pStyle w:val="Nad1"/>
        <w:jc w:val="left"/>
        <w:rPr>
          <w:sz w:val="28"/>
        </w:rPr>
      </w:pPr>
    </w:p>
    <w:p w:rsidR="00DF2016" w:rsidRDefault="00DF2016">
      <w:pPr>
        <w:pStyle w:val="Nad1"/>
        <w:rPr>
          <w:sz w:val="28"/>
        </w:rPr>
      </w:pPr>
      <w:r>
        <w:rPr>
          <w:sz w:val="28"/>
        </w:rPr>
        <w:t>9. Místo a datum podpisu smlouvy</w:t>
      </w:r>
    </w:p>
    <w:p w:rsidR="00DF2016" w:rsidRDefault="00DF2016">
      <w:pPr>
        <w:pStyle w:val="Nad1"/>
        <w:rPr>
          <w:sz w:val="28"/>
        </w:rPr>
      </w:pPr>
    </w:p>
    <w:p w:rsidR="00DF2016" w:rsidRDefault="00DF2016"/>
    <w:p w:rsidR="00DF2016" w:rsidRDefault="00DF2016">
      <w:r>
        <w:t>………………………………….</w:t>
      </w:r>
      <w:r>
        <w:tab/>
      </w:r>
      <w:r>
        <w:tab/>
      </w:r>
      <w:r>
        <w:tab/>
        <w:t>………………………………………</w:t>
      </w:r>
    </w:p>
    <w:p w:rsidR="00DF2016" w:rsidRDefault="003F7CEA">
      <w:pPr>
        <w:tabs>
          <w:tab w:val="left" w:pos="5245"/>
        </w:tabs>
      </w:pPr>
      <w:r>
        <w:t xml:space="preserve">               Objednatel</w:t>
      </w:r>
      <w:r w:rsidR="00DF2016">
        <w:tab/>
        <w:t xml:space="preserve">                 </w:t>
      </w:r>
      <w:r>
        <w:t>Zhotovitel</w:t>
      </w:r>
      <w:r w:rsidR="00DF2016">
        <w:t xml:space="preserve"> </w:t>
      </w:r>
    </w:p>
    <w:p w:rsidR="00DF2016" w:rsidRDefault="00BB221A">
      <w:pPr>
        <w:tabs>
          <w:tab w:val="left" w:pos="5245"/>
        </w:tabs>
      </w:pPr>
      <w:r>
        <w:t>PhDr. Svatopluk Aniol, ředitel organizace                    Ivo Šonka, jednatel společnosti</w:t>
      </w:r>
    </w:p>
    <w:p w:rsidR="00DF2016" w:rsidRDefault="00DF2016">
      <w:pPr>
        <w:tabs>
          <w:tab w:val="left" w:pos="5245"/>
        </w:tabs>
      </w:pPr>
    </w:p>
    <w:p w:rsidR="0086079E" w:rsidRDefault="0086079E">
      <w:pPr>
        <w:tabs>
          <w:tab w:val="left" w:pos="5245"/>
        </w:tabs>
      </w:pPr>
    </w:p>
    <w:p w:rsidR="003F7CEA" w:rsidRDefault="003F7CEA">
      <w:pPr>
        <w:tabs>
          <w:tab w:val="left" w:pos="5245"/>
        </w:tabs>
      </w:pPr>
    </w:p>
    <w:p w:rsidR="00DF2016" w:rsidRDefault="00DF2016"/>
    <w:p w:rsidR="003F7CEA" w:rsidRDefault="00DF2016" w:rsidP="003F7CEA">
      <w:r>
        <w:t>V</w:t>
      </w:r>
      <w:r w:rsidR="003F7CEA">
        <w:t xml:space="preserve"> Ostravě </w:t>
      </w:r>
      <w:r>
        <w:t xml:space="preserve">dne </w:t>
      </w:r>
      <w:r w:rsidR="0040664B">
        <w:t>1.6.2020</w:t>
      </w:r>
      <w:r w:rsidR="003F7CEA">
        <w:tab/>
      </w:r>
      <w:r w:rsidR="003F7CEA">
        <w:tab/>
      </w:r>
      <w:r w:rsidR="003F7CEA">
        <w:tab/>
      </w:r>
      <w:r w:rsidR="0040664B">
        <w:tab/>
      </w:r>
      <w:r w:rsidR="0040664B">
        <w:tab/>
      </w:r>
      <w:bookmarkStart w:id="0" w:name="_GoBack"/>
      <w:bookmarkEnd w:id="0"/>
      <w:r w:rsidR="003F7CEA">
        <w:t>V </w:t>
      </w:r>
      <w:r w:rsidR="0040664B">
        <w:t>Ostravě</w:t>
      </w:r>
      <w:r w:rsidR="003F7CEA">
        <w:t xml:space="preserve"> dne </w:t>
      </w:r>
      <w:r w:rsidR="0040664B">
        <w:t>1.6.2020</w:t>
      </w:r>
    </w:p>
    <w:p w:rsidR="00DF2016" w:rsidRPr="00AA03EC" w:rsidRDefault="00BF43E3">
      <w:pPr>
        <w:pStyle w:val="Zpat"/>
        <w:tabs>
          <w:tab w:val="clear" w:pos="4536"/>
          <w:tab w:val="clear" w:pos="9072"/>
        </w:tabs>
        <w:spacing w:before="120" w:line="240" w:lineRule="atLeast"/>
        <w:rPr>
          <w:b/>
        </w:rPr>
      </w:pPr>
      <w:r w:rsidRPr="00AA03EC">
        <w:rPr>
          <w:b/>
        </w:rPr>
        <w:t>Přílohy:</w:t>
      </w:r>
    </w:p>
    <w:p w:rsidR="00BF43E3" w:rsidRDefault="00BF43E3">
      <w:pPr>
        <w:pStyle w:val="Zpat"/>
        <w:tabs>
          <w:tab w:val="clear" w:pos="4536"/>
          <w:tab w:val="clear" w:pos="9072"/>
        </w:tabs>
        <w:spacing w:before="120" w:line="240" w:lineRule="atLeast"/>
        <w:rPr>
          <w:bCs/>
        </w:rPr>
      </w:pPr>
      <w:r w:rsidRPr="00BF43E3">
        <w:t xml:space="preserve">Příloha č 1 - </w:t>
      </w:r>
      <w:r w:rsidRPr="00BF43E3">
        <w:rPr>
          <w:bCs/>
        </w:rPr>
        <w:t>Pravidelné prohlídky a revize EZS a EPS</w:t>
      </w:r>
      <w:r w:rsidR="00F903D6">
        <w:rPr>
          <w:bCs/>
        </w:rPr>
        <w:t xml:space="preserve"> (Příloha č. 6, zadávací dokumentace)</w:t>
      </w:r>
    </w:p>
    <w:sectPr w:rsidR="00BF43E3" w:rsidSect="002E7F73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46" w:rsidRDefault="00723046">
      <w:r>
        <w:separator/>
      </w:r>
    </w:p>
  </w:endnote>
  <w:endnote w:type="continuationSeparator" w:id="0">
    <w:p w:rsidR="00723046" w:rsidRDefault="0072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BF" w:rsidRDefault="003F7CEA">
    <w:pPr>
      <w:pStyle w:val="Zpat"/>
      <w:jc w:val="right"/>
    </w:pPr>
    <w:r>
      <w:t xml:space="preserve">Strana </w:t>
    </w:r>
    <w:r w:rsidR="000D38BF">
      <w:fldChar w:fldCharType="begin"/>
    </w:r>
    <w:r w:rsidR="000D38BF">
      <w:instrText>PAGE   \* MERGEFORMAT</w:instrText>
    </w:r>
    <w:r w:rsidR="000D38BF">
      <w:fldChar w:fldCharType="separate"/>
    </w:r>
    <w:r w:rsidR="00AC23FD">
      <w:rPr>
        <w:noProof/>
      </w:rPr>
      <w:t>2</w:t>
    </w:r>
    <w:r w:rsidR="000D38BF">
      <w:fldChar w:fldCharType="end"/>
    </w:r>
    <w:r>
      <w:t xml:space="preserve"> z </w:t>
    </w:r>
    <w:r w:rsidR="007C2902">
      <w:t>6</w:t>
    </w:r>
  </w:p>
  <w:p w:rsidR="00DF2016" w:rsidRDefault="00DF2016">
    <w:pPr>
      <w:pStyle w:val="Zpat"/>
      <w:tabs>
        <w:tab w:val="clear" w:pos="4536"/>
        <w:tab w:val="clear" w:pos="9072"/>
        <w:tab w:val="right" w:pos="8647"/>
      </w:tabs>
      <w:ind w:right="360" w:firstLine="142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46" w:rsidRDefault="00723046">
      <w:r>
        <w:separator/>
      </w:r>
    </w:p>
  </w:footnote>
  <w:footnote w:type="continuationSeparator" w:id="0">
    <w:p w:rsidR="00723046" w:rsidRDefault="0072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0AF" w:rsidRDefault="00EA60AF">
    <w:pPr>
      <w:pStyle w:val="Zhlav"/>
      <w:rPr>
        <w:noProof/>
      </w:rPr>
    </w:pPr>
    <w:r w:rsidRPr="0033329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style="width:453.75pt;height:43.5pt;visibility:visible">
          <v:imagedata r:id="rId1" o:title=""/>
        </v:shape>
      </w:pict>
    </w:r>
  </w:p>
  <w:p w:rsidR="000D38BF" w:rsidRPr="00EA60AF" w:rsidRDefault="00EA60AF" w:rsidP="00AA03EC">
    <w:pPr>
      <w:pStyle w:val="Zhlav"/>
      <w:jc w:val="center"/>
      <w:rPr>
        <w:rFonts w:ascii="Tahoma" w:hAnsi="Tahoma" w:cs="Tahoma"/>
      </w:rPr>
    </w:pPr>
    <w:r w:rsidRPr="00EA60AF">
      <w:rPr>
        <w:rFonts w:ascii="Tahoma" w:hAnsi="Tahoma" w:cs="Tahoma"/>
        <w:noProof/>
      </w:rPr>
      <w:t>Veřejná zakázka: „</w:t>
    </w:r>
    <w:r w:rsidRPr="00EA60AF">
      <w:rPr>
        <w:rFonts w:ascii="Tahoma" w:hAnsi="Tahoma" w:cs="Tahoma"/>
      </w:rPr>
      <w:t>Servisní zabezpečení specifikovaných elektrických a elektronických zařízení a osvětlení</w:t>
    </w:r>
    <w:r w:rsidR="006144DA">
      <w:rPr>
        <w:rFonts w:ascii="Tahoma" w:hAnsi="Tahoma" w:cs="Tahoma"/>
      </w:rPr>
      <w:t xml:space="preserve"> na rok 20</w:t>
    </w:r>
    <w:r w:rsidR="00A80E7C">
      <w:rPr>
        <w:rFonts w:ascii="Tahoma" w:hAnsi="Tahoma" w:cs="Tahoma"/>
      </w:rPr>
      <w:t>20</w:t>
    </w:r>
    <w:r w:rsidR="006144DA">
      <w:rPr>
        <w:rFonts w:ascii="Tahoma" w:hAnsi="Tahoma" w:cs="Tahoma"/>
      </w:rPr>
      <w:t xml:space="preserve"> </w:t>
    </w:r>
    <w:r w:rsidR="008E506D">
      <w:rPr>
        <w:rFonts w:ascii="Tahoma" w:hAnsi="Tahoma" w:cs="Tahoma"/>
      </w:rPr>
      <w:t>–</w:t>
    </w:r>
    <w:r w:rsidR="006144DA">
      <w:rPr>
        <w:rFonts w:ascii="Tahoma" w:hAnsi="Tahoma" w:cs="Tahoma"/>
      </w:rPr>
      <w:t xml:space="preserve"> </w:t>
    </w:r>
    <w:r w:rsidR="002C19A6">
      <w:rPr>
        <w:rFonts w:ascii="Tahoma" w:hAnsi="Tahoma" w:cs="Tahoma"/>
      </w:rPr>
      <w:t>2025</w:t>
    </w:r>
    <w:r w:rsidR="00906DE5">
      <w:rPr>
        <w:rFonts w:ascii="Tahoma" w:hAnsi="Tahoma" w:cs="Tahoma"/>
      </w:rPr>
      <w:t xml:space="preserve"> - II</w:t>
    </w:r>
    <w:r w:rsidRPr="00EA60AF">
      <w:rPr>
        <w:rFonts w:ascii="Tahoma" w:hAnsi="Tahoma" w:cs="Tahoma"/>
      </w:rPr>
      <w:t>”</w:t>
    </w:r>
  </w:p>
  <w:p w:rsidR="00DF2016" w:rsidRDefault="00DF2016" w:rsidP="000D3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A50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99F71CA"/>
    <w:multiLevelType w:val="hybridMultilevel"/>
    <w:tmpl w:val="A8EA8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3ADB"/>
    <w:multiLevelType w:val="multilevel"/>
    <w:tmpl w:val="90D60B5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12E737C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4" w15:restartNumberingAfterBreak="0">
    <w:nsid w:val="70FA6611"/>
    <w:multiLevelType w:val="singleLevel"/>
    <w:tmpl w:val="CF686046"/>
    <w:lvl w:ilvl="0">
      <w:start w:val="2"/>
      <w:numFmt w:val="lowerLetter"/>
      <w:lvlText w:val="%1)"/>
      <w:legacy w:legacy="1" w:legacySpace="120" w:legacyIndent="705"/>
      <w:lvlJc w:val="left"/>
      <w:pPr>
        <w:ind w:left="1410" w:hanging="705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025"/>
    <w:rsid w:val="0001368E"/>
    <w:rsid w:val="00072315"/>
    <w:rsid w:val="000B39F3"/>
    <w:rsid w:val="000C095A"/>
    <w:rsid w:val="000D38BF"/>
    <w:rsid w:val="000D4D20"/>
    <w:rsid w:val="00112CC1"/>
    <w:rsid w:val="0011421D"/>
    <w:rsid w:val="00137A4F"/>
    <w:rsid w:val="00151C0C"/>
    <w:rsid w:val="001C0D13"/>
    <w:rsid w:val="001C2F14"/>
    <w:rsid w:val="00215ADF"/>
    <w:rsid w:val="00241A9C"/>
    <w:rsid w:val="00245A34"/>
    <w:rsid w:val="00250D02"/>
    <w:rsid w:val="00266958"/>
    <w:rsid w:val="00293D33"/>
    <w:rsid w:val="002C19A6"/>
    <w:rsid w:val="002C2BFD"/>
    <w:rsid w:val="002E7F73"/>
    <w:rsid w:val="002F0699"/>
    <w:rsid w:val="0030544A"/>
    <w:rsid w:val="00305B56"/>
    <w:rsid w:val="003243D8"/>
    <w:rsid w:val="00340DE8"/>
    <w:rsid w:val="00373626"/>
    <w:rsid w:val="00383A8A"/>
    <w:rsid w:val="00390E47"/>
    <w:rsid w:val="00391943"/>
    <w:rsid w:val="003A1BC0"/>
    <w:rsid w:val="003B270C"/>
    <w:rsid w:val="003F7CEA"/>
    <w:rsid w:val="0040664B"/>
    <w:rsid w:val="004208FF"/>
    <w:rsid w:val="00421AD1"/>
    <w:rsid w:val="004301F8"/>
    <w:rsid w:val="004325B1"/>
    <w:rsid w:val="00441D8B"/>
    <w:rsid w:val="004749D7"/>
    <w:rsid w:val="004814A4"/>
    <w:rsid w:val="00486CD0"/>
    <w:rsid w:val="004A0FED"/>
    <w:rsid w:val="004A74A7"/>
    <w:rsid w:val="004C61A9"/>
    <w:rsid w:val="004E231F"/>
    <w:rsid w:val="00561ABE"/>
    <w:rsid w:val="005766D9"/>
    <w:rsid w:val="0058500A"/>
    <w:rsid w:val="005A5452"/>
    <w:rsid w:val="005B61B5"/>
    <w:rsid w:val="005E37B0"/>
    <w:rsid w:val="005F77FF"/>
    <w:rsid w:val="006144DA"/>
    <w:rsid w:val="00633CB0"/>
    <w:rsid w:val="006648C1"/>
    <w:rsid w:val="006B1407"/>
    <w:rsid w:val="0070602B"/>
    <w:rsid w:val="007153F8"/>
    <w:rsid w:val="00721B44"/>
    <w:rsid w:val="00723046"/>
    <w:rsid w:val="0074313A"/>
    <w:rsid w:val="00747D8D"/>
    <w:rsid w:val="00751911"/>
    <w:rsid w:val="00782D2D"/>
    <w:rsid w:val="007949E7"/>
    <w:rsid w:val="0079507B"/>
    <w:rsid w:val="007C2902"/>
    <w:rsid w:val="008007D6"/>
    <w:rsid w:val="008109EE"/>
    <w:rsid w:val="008562CC"/>
    <w:rsid w:val="0086079E"/>
    <w:rsid w:val="00877025"/>
    <w:rsid w:val="008B5369"/>
    <w:rsid w:val="008D2E95"/>
    <w:rsid w:val="008E506D"/>
    <w:rsid w:val="00906DE5"/>
    <w:rsid w:val="00994259"/>
    <w:rsid w:val="009B1C7A"/>
    <w:rsid w:val="009D3883"/>
    <w:rsid w:val="009E1D89"/>
    <w:rsid w:val="009F557B"/>
    <w:rsid w:val="00A04625"/>
    <w:rsid w:val="00A15CBC"/>
    <w:rsid w:val="00A21C04"/>
    <w:rsid w:val="00A30778"/>
    <w:rsid w:val="00A314AD"/>
    <w:rsid w:val="00A47D29"/>
    <w:rsid w:val="00A57124"/>
    <w:rsid w:val="00A64623"/>
    <w:rsid w:val="00A80E7C"/>
    <w:rsid w:val="00A93050"/>
    <w:rsid w:val="00AA03EC"/>
    <w:rsid w:val="00AC23FD"/>
    <w:rsid w:val="00AC3115"/>
    <w:rsid w:val="00B33110"/>
    <w:rsid w:val="00B54E6A"/>
    <w:rsid w:val="00B74CC0"/>
    <w:rsid w:val="00BA1F0C"/>
    <w:rsid w:val="00BB0E36"/>
    <w:rsid w:val="00BB221A"/>
    <w:rsid w:val="00BB694D"/>
    <w:rsid w:val="00BF43E3"/>
    <w:rsid w:val="00BF4D60"/>
    <w:rsid w:val="00C3717E"/>
    <w:rsid w:val="00C60BD6"/>
    <w:rsid w:val="00C84650"/>
    <w:rsid w:val="00C90176"/>
    <w:rsid w:val="00CA0272"/>
    <w:rsid w:val="00CB5F78"/>
    <w:rsid w:val="00CD7D06"/>
    <w:rsid w:val="00D10898"/>
    <w:rsid w:val="00D111C6"/>
    <w:rsid w:val="00D30E4F"/>
    <w:rsid w:val="00D33D91"/>
    <w:rsid w:val="00DB41E5"/>
    <w:rsid w:val="00DD6D32"/>
    <w:rsid w:val="00DF2016"/>
    <w:rsid w:val="00DF2E7E"/>
    <w:rsid w:val="00E22D2A"/>
    <w:rsid w:val="00E630E7"/>
    <w:rsid w:val="00E678C7"/>
    <w:rsid w:val="00E752CC"/>
    <w:rsid w:val="00E770AA"/>
    <w:rsid w:val="00EA3E7A"/>
    <w:rsid w:val="00EA60AF"/>
    <w:rsid w:val="00EA6659"/>
    <w:rsid w:val="00EC2E80"/>
    <w:rsid w:val="00ED75FA"/>
    <w:rsid w:val="00EF5C7F"/>
    <w:rsid w:val="00F0269F"/>
    <w:rsid w:val="00F06516"/>
    <w:rsid w:val="00F12006"/>
    <w:rsid w:val="00F33D88"/>
    <w:rsid w:val="00F55477"/>
    <w:rsid w:val="00F76656"/>
    <w:rsid w:val="00F902AF"/>
    <w:rsid w:val="00F903D6"/>
    <w:rsid w:val="00F93668"/>
    <w:rsid w:val="00FA6060"/>
    <w:rsid w:val="00FB13D7"/>
    <w:rsid w:val="00FB2FE5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62B2EE27"/>
  <w15:chartTrackingRefBased/>
  <w15:docId w15:val="{3D29106E-0439-42B3-A7FC-19C8C29A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framePr w:hSpace="141" w:wrap="auto" w:vAnchor="text" w:hAnchor="page" w:x="2503" w:y="-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both"/>
      <w:outlineLvl w:val="1"/>
    </w:pPr>
    <w:rPr>
      <w:rFonts w:ascii="Arial" w:hAnsi="Arial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outlineLvl w:val="3"/>
    </w:pPr>
    <w:rPr>
      <w:rFonts w:ascii="Arial" w:hAnsi="Arial"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6096"/>
      </w:tabs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center"/>
      <w:outlineLvl w:val="5"/>
    </w:pPr>
    <w:rPr>
      <w:rFonts w:ascii="CG Times" w:hAnsi="CG Times"/>
      <w:b/>
      <w:sz w:val="48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ind w:left="45"/>
      <w:jc w:val="both"/>
      <w:outlineLvl w:val="6"/>
    </w:pPr>
    <w:rPr>
      <w:rFonts w:ascii="Arial" w:hAnsi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ln"/>
    <w:pPr>
      <w:tabs>
        <w:tab w:val="left" w:pos="6096"/>
      </w:tabs>
    </w:pPr>
  </w:style>
  <w:style w:type="character" w:customStyle="1" w:styleId="Hyperlink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</w:style>
  <w:style w:type="paragraph" w:customStyle="1" w:styleId="Nad1">
    <w:name w:val="Nad1"/>
    <w:basedOn w:val="Normln"/>
    <w:pPr>
      <w:jc w:val="center"/>
    </w:pPr>
    <w:rPr>
      <w:b/>
    </w:rPr>
  </w:style>
  <w:style w:type="paragraph" w:customStyle="1" w:styleId="BodyText3">
    <w:name w:val="Body Text 3"/>
    <w:basedOn w:val="Normln"/>
    <w:pPr>
      <w:jc w:val="both"/>
    </w:pPr>
  </w:style>
  <w:style w:type="paragraph" w:customStyle="1" w:styleId="BodyText20">
    <w:name w:val="Body Text 2"/>
    <w:basedOn w:val="Normln"/>
    <w:pPr>
      <w:ind w:firstLine="426"/>
      <w:jc w:val="both"/>
    </w:pPr>
  </w:style>
  <w:style w:type="paragraph" w:customStyle="1" w:styleId="BodyTextIndent2">
    <w:name w:val="Body Text Indent 2"/>
    <w:basedOn w:val="Normln"/>
    <w:pPr>
      <w:ind w:left="705"/>
      <w:jc w:val="both"/>
    </w:pPr>
  </w:style>
  <w:style w:type="paragraph" w:customStyle="1" w:styleId="xl25">
    <w:name w:val="xl25"/>
    <w:basedOn w:val="Normln"/>
    <w:pPr>
      <w:spacing w:before="100" w:after="100"/>
    </w:pPr>
    <w:rPr>
      <w:rFonts w:ascii="Arial" w:hAnsi="Arial"/>
      <w:b/>
      <w:sz w:val="16"/>
    </w:rPr>
  </w:style>
  <w:style w:type="paragraph" w:customStyle="1" w:styleId="xl26">
    <w:name w:val="xl26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7">
    <w:name w:val="xl27"/>
    <w:basedOn w:val="Normln"/>
    <w:pPr>
      <w:spacing w:before="100" w:after="100"/>
    </w:pPr>
    <w:rPr>
      <w:rFonts w:ascii="Arial" w:hAnsi="Arial"/>
      <w:b/>
    </w:rPr>
  </w:style>
  <w:style w:type="paragraph" w:customStyle="1" w:styleId="xl28">
    <w:name w:val="xl28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9">
    <w:name w:val="xl29"/>
    <w:basedOn w:val="Normln"/>
    <w:pPr>
      <w:spacing w:before="100" w:after="100"/>
      <w:jc w:val="center"/>
    </w:pPr>
    <w:rPr>
      <w:rFonts w:ascii="Arial" w:hAnsi="Arial"/>
      <w:b/>
    </w:rPr>
  </w:style>
  <w:style w:type="paragraph" w:customStyle="1" w:styleId="xl30">
    <w:name w:val="xl30"/>
    <w:basedOn w:val="Normln"/>
    <w:pPr>
      <w:spacing w:before="100" w:after="100"/>
    </w:pPr>
    <w:rPr>
      <w:rFonts w:ascii="Arial" w:hAnsi="Arial"/>
      <w:b/>
    </w:rPr>
  </w:style>
  <w:style w:type="paragraph" w:customStyle="1" w:styleId="xl31">
    <w:name w:val="xl31"/>
    <w:basedOn w:val="Normln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b/>
      <w:sz w:val="36"/>
    </w:rPr>
  </w:style>
  <w:style w:type="paragraph" w:customStyle="1" w:styleId="xl32">
    <w:name w:val="xl32"/>
    <w:basedOn w:val="Normln"/>
    <w:pPr>
      <w:pBdr>
        <w:top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  <w:sz w:val="36"/>
    </w:rPr>
  </w:style>
  <w:style w:type="paragraph" w:customStyle="1" w:styleId="xl33">
    <w:name w:val="xl33"/>
    <w:basedOn w:val="Normln"/>
    <w:pPr>
      <w:pBdr>
        <w:left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4">
    <w:name w:val="xl34"/>
    <w:basedOn w:val="Normln"/>
    <w:pP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5">
    <w:name w:val="xl35"/>
    <w:basedOn w:val="Normln"/>
    <w:pPr>
      <w:pBdr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6">
    <w:name w:val="xl36"/>
    <w:basedOn w:val="Normln"/>
    <w:pPr>
      <w:pBdr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8">
    <w:name w:val="xl38"/>
    <w:basedOn w:val="Normln"/>
    <w:pPr>
      <w:pBdr>
        <w:top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9">
    <w:name w:val="xl39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40">
    <w:name w:val="xl40"/>
    <w:basedOn w:val="Normln"/>
    <w:pPr>
      <w:spacing w:before="100" w:after="100"/>
    </w:pPr>
    <w:rPr>
      <w:rFonts w:ascii="Arial" w:hAnsi="Arial"/>
      <w:b/>
    </w:rPr>
  </w:style>
  <w:style w:type="paragraph" w:customStyle="1" w:styleId="xl41">
    <w:name w:val="xl41"/>
    <w:basedOn w:val="Normln"/>
    <w:pPr>
      <w:spacing w:before="100" w:after="100"/>
      <w:jc w:val="center"/>
    </w:pPr>
    <w:rPr>
      <w:rFonts w:ascii="Arial" w:hAnsi="Arial"/>
      <w:b/>
      <w:sz w:val="16"/>
    </w:rPr>
  </w:style>
  <w:style w:type="paragraph" w:customStyle="1" w:styleId="xl42">
    <w:name w:val="xl42"/>
    <w:basedOn w:val="Normln"/>
    <w:pPr>
      <w:spacing w:before="100" w:after="100"/>
    </w:pPr>
    <w:rPr>
      <w:rFonts w:ascii="Arial" w:hAnsi="Arial"/>
      <w:b/>
    </w:rPr>
  </w:style>
  <w:style w:type="paragraph" w:customStyle="1" w:styleId="BodyTextIndent3">
    <w:name w:val="Body Text Indent 3"/>
    <w:basedOn w:val="Normln"/>
    <w:pPr>
      <w:ind w:left="708" w:firstLine="708"/>
    </w:pPr>
  </w:style>
  <w:style w:type="paragraph" w:styleId="FormtovanvHTML">
    <w:name w:val="HTML Preformatted"/>
    <w:basedOn w:val="Normln"/>
    <w:rsid w:val="002E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</w:rPr>
  </w:style>
  <w:style w:type="character" w:styleId="Hypertextovodkaz">
    <w:name w:val="Hyperlink"/>
    <w:rsid w:val="000D38BF"/>
    <w:rPr>
      <w:color w:val="0563C1"/>
      <w:u w:val="single"/>
    </w:rPr>
  </w:style>
  <w:style w:type="character" w:customStyle="1" w:styleId="ZhlavChar">
    <w:name w:val="Záhlaví Char"/>
    <w:link w:val="Zhlav"/>
    <w:uiPriority w:val="99"/>
    <w:rsid w:val="000D38BF"/>
  </w:style>
  <w:style w:type="character" w:customStyle="1" w:styleId="ZpatChar">
    <w:name w:val="Zápatí Char"/>
    <w:link w:val="Zpat"/>
    <w:uiPriority w:val="99"/>
    <w:rsid w:val="000D38BF"/>
    <w:rPr>
      <w:sz w:val="24"/>
    </w:rPr>
  </w:style>
  <w:style w:type="character" w:styleId="Odkaznakoment">
    <w:name w:val="annotation reference"/>
    <w:rsid w:val="00F902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02A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902AF"/>
  </w:style>
  <w:style w:type="paragraph" w:styleId="Pedmtkomente">
    <w:name w:val="annotation subject"/>
    <w:basedOn w:val="Textkomente"/>
    <w:next w:val="Textkomente"/>
    <w:link w:val="PedmtkomenteChar"/>
    <w:rsid w:val="00F902AF"/>
    <w:rPr>
      <w:b/>
      <w:bCs/>
    </w:rPr>
  </w:style>
  <w:style w:type="character" w:customStyle="1" w:styleId="PedmtkomenteChar">
    <w:name w:val="Předmět komentáře Char"/>
    <w:link w:val="Pedmtkomente"/>
    <w:rsid w:val="00F902AF"/>
    <w:rPr>
      <w:b/>
      <w:bCs/>
    </w:rPr>
  </w:style>
  <w:style w:type="paragraph" w:styleId="Textbubliny">
    <w:name w:val="Balloon Text"/>
    <w:basedOn w:val="Normln"/>
    <w:link w:val="TextbublinyChar"/>
    <w:rsid w:val="00F90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902A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C19A6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F5C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1315</Words>
  <Characters>7764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o firmě  Jiří  Jendryščík  - TechCom</vt:lpstr>
    </vt:vector>
  </TitlesOfParts>
  <Company>TechCom</Company>
  <LinksUpToDate>false</LinksUpToDate>
  <CharactersWithSpaces>9061</CharactersWithSpaces>
  <SharedDoc>false</SharedDoc>
  <HLinks>
    <vt:vector size="6" baseType="variant"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mailto:sekretariat@ctyrlistekostrava.cz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o firmě  Jiří  Jendryščík  - TechCom</dc:title>
  <dc:subject/>
  <dc:creator>Jiří Jendryščík</dc:creator>
  <cp:keywords/>
  <dc:description/>
  <cp:lastModifiedBy>Šatanová Šárka</cp:lastModifiedBy>
  <cp:revision>2</cp:revision>
  <cp:lastPrinted>2020-06-02T10:56:00Z</cp:lastPrinted>
  <dcterms:created xsi:type="dcterms:W3CDTF">2020-06-02T11:10:00Z</dcterms:created>
  <dcterms:modified xsi:type="dcterms:W3CDTF">2020-06-02T11:10:00Z</dcterms:modified>
</cp:coreProperties>
</file>